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EA1535" w:rsidP="0069571C">
      <w:pPr>
        <w:jc w:val="left"/>
        <w:rPr>
          <w:color w:val="auto"/>
        </w:rPr>
      </w:pPr>
      <w:r>
        <w:rPr>
          <w:color w:val="auto"/>
        </w:rPr>
        <w:t xml:space="preserve"> </w:t>
      </w:r>
    </w:p>
    <w:tbl>
      <w:tblPr>
        <w:tblpPr w:leftFromText="180" w:rightFromText="180" w:vertAnchor="page" w:horzAnchor="margin" w:tblpXSpec="center" w:tblpY="946"/>
        <w:tblW w:w="10620" w:type="dxa"/>
        <w:tblLayout w:type="fixed"/>
        <w:tblLook w:val="04A0" w:firstRow="1" w:lastRow="0" w:firstColumn="1" w:lastColumn="0" w:noHBand="0" w:noVBand="1"/>
      </w:tblPr>
      <w:tblGrid>
        <w:gridCol w:w="3780"/>
        <w:gridCol w:w="720"/>
        <w:gridCol w:w="720"/>
        <w:gridCol w:w="720"/>
        <w:gridCol w:w="720"/>
        <w:gridCol w:w="810"/>
        <w:gridCol w:w="810"/>
        <w:gridCol w:w="810"/>
        <w:gridCol w:w="720"/>
        <w:gridCol w:w="810"/>
      </w:tblGrid>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0458A9" w:rsidRPr="00FA2FBA" w:rsidTr="007D0BE4">
        <w:trPr>
          <w:trHeight w:val="266"/>
        </w:trPr>
        <w:tc>
          <w:tcPr>
            <w:tcW w:w="3780"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0458A9" w:rsidRPr="00FA2FBA" w:rsidRDefault="000458A9" w:rsidP="00B02E3D">
            <w:pPr>
              <w:rPr>
                <w:b/>
                <w:bCs/>
                <w:color w:val="auto"/>
                <w:szCs w:val="16"/>
              </w:rPr>
            </w:pPr>
            <w:r w:rsidRPr="00FA2FBA">
              <w:rPr>
                <w:b/>
                <w:bCs/>
                <w:color w:val="auto"/>
                <w:szCs w:val="16"/>
              </w:rPr>
              <w:t>I T E M S</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0458A9" w:rsidRPr="00CC4A58" w:rsidRDefault="000458A9" w:rsidP="00B02E3D">
            <w:pPr>
              <w:jc w:val="right"/>
              <w:rPr>
                <w:b/>
                <w:bCs/>
                <w:szCs w:val="16"/>
              </w:rPr>
            </w:pPr>
            <w:r w:rsidRPr="00CC4A58">
              <w:rPr>
                <w:b/>
                <w:bCs/>
                <w:szCs w:val="16"/>
              </w:rPr>
              <w:t>FY20</w:t>
            </w:r>
          </w:p>
        </w:tc>
        <w:tc>
          <w:tcPr>
            <w:tcW w:w="720" w:type="dxa"/>
            <w:vMerge w:val="restart"/>
            <w:tcBorders>
              <w:top w:val="single" w:sz="12" w:space="0" w:color="auto"/>
              <w:left w:val="single" w:sz="4" w:space="0" w:color="auto"/>
            </w:tcBorders>
            <w:shd w:val="clear" w:color="auto" w:fill="auto"/>
            <w:vAlign w:val="center"/>
          </w:tcPr>
          <w:p w:rsidR="000458A9" w:rsidRPr="00CC4A58" w:rsidRDefault="000458A9" w:rsidP="00B02E3D">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0458A9" w:rsidRPr="00CC4A58" w:rsidRDefault="000458A9" w:rsidP="00CC4A58">
            <w:pPr>
              <w:jc w:val="right"/>
              <w:rPr>
                <w:b/>
                <w:bCs/>
                <w:szCs w:val="16"/>
              </w:rPr>
            </w:pPr>
            <w:r w:rsidRPr="00CC4A58">
              <w:rPr>
                <w:b/>
                <w:bCs/>
                <w:szCs w:val="16"/>
              </w:rPr>
              <w:t xml:space="preserve">FY22 </w:t>
            </w:r>
          </w:p>
        </w:tc>
        <w:tc>
          <w:tcPr>
            <w:tcW w:w="720" w:type="dxa"/>
            <w:tcBorders>
              <w:top w:val="single" w:sz="12" w:space="0" w:color="auto"/>
              <w:left w:val="single" w:sz="4" w:space="0" w:color="auto"/>
              <w:bottom w:val="single" w:sz="4" w:space="0" w:color="auto"/>
            </w:tcBorders>
            <w:shd w:val="clear" w:color="auto" w:fill="auto"/>
            <w:vAlign w:val="center"/>
          </w:tcPr>
          <w:p w:rsidR="000458A9" w:rsidRPr="00CC4A58" w:rsidRDefault="000458A9" w:rsidP="00B02E3D">
            <w:pPr>
              <w:rPr>
                <w:b/>
                <w:bCs/>
                <w:color w:val="auto"/>
                <w:szCs w:val="16"/>
              </w:rPr>
            </w:pPr>
            <w:r w:rsidRPr="00CC4A58">
              <w:rPr>
                <w:b/>
                <w:bCs/>
                <w:color w:val="auto"/>
                <w:szCs w:val="16"/>
              </w:rPr>
              <w:t>2022</w:t>
            </w:r>
          </w:p>
        </w:tc>
        <w:tc>
          <w:tcPr>
            <w:tcW w:w="810" w:type="dxa"/>
            <w:tcBorders>
              <w:top w:val="single" w:sz="12" w:space="0" w:color="auto"/>
              <w:left w:val="single" w:sz="4" w:space="0" w:color="auto"/>
              <w:bottom w:val="single" w:sz="4" w:space="0" w:color="auto"/>
            </w:tcBorders>
            <w:shd w:val="clear" w:color="auto" w:fill="auto"/>
            <w:vAlign w:val="center"/>
          </w:tcPr>
          <w:p w:rsidR="000458A9" w:rsidRPr="00CC4A58" w:rsidRDefault="000458A9" w:rsidP="00B02E3D">
            <w:pPr>
              <w:rPr>
                <w:b/>
                <w:bCs/>
                <w:color w:val="auto"/>
                <w:szCs w:val="16"/>
              </w:rPr>
            </w:pPr>
            <w:r>
              <w:rPr>
                <w:b/>
                <w:bCs/>
                <w:color w:val="auto"/>
                <w:szCs w:val="16"/>
              </w:rPr>
              <w:t>2022</w:t>
            </w:r>
          </w:p>
        </w:tc>
        <w:tc>
          <w:tcPr>
            <w:tcW w:w="3150" w:type="dxa"/>
            <w:gridSpan w:val="4"/>
            <w:tcBorders>
              <w:top w:val="single" w:sz="12" w:space="0" w:color="auto"/>
              <w:left w:val="single" w:sz="4" w:space="0" w:color="auto"/>
              <w:bottom w:val="single" w:sz="4" w:space="0" w:color="auto"/>
            </w:tcBorders>
            <w:shd w:val="clear" w:color="auto" w:fill="auto"/>
            <w:vAlign w:val="center"/>
          </w:tcPr>
          <w:p w:rsidR="000458A9" w:rsidRPr="00CC4A58" w:rsidRDefault="000458A9" w:rsidP="00B02E3D">
            <w:pPr>
              <w:rPr>
                <w:b/>
                <w:bCs/>
                <w:color w:val="auto"/>
                <w:szCs w:val="16"/>
              </w:rPr>
            </w:pPr>
            <w:r>
              <w:rPr>
                <w:b/>
                <w:bCs/>
                <w:color w:val="auto"/>
                <w:szCs w:val="16"/>
              </w:rPr>
              <w:t>2023</w:t>
            </w:r>
          </w:p>
        </w:tc>
      </w:tr>
      <w:tr w:rsidR="00ED0878" w:rsidRPr="00EC3772" w:rsidTr="007D0BE4">
        <w:trPr>
          <w:trHeight w:val="266"/>
        </w:trPr>
        <w:tc>
          <w:tcPr>
            <w:tcW w:w="3780" w:type="dxa"/>
            <w:vMerge/>
            <w:tcBorders>
              <w:top w:val="single" w:sz="12" w:space="0" w:color="auto"/>
              <w:left w:val="nil"/>
              <w:bottom w:val="single" w:sz="12" w:space="0" w:color="000000"/>
              <w:right w:val="single" w:sz="4" w:space="0" w:color="auto"/>
            </w:tcBorders>
            <w:shd w:val="clear" w:color="auto" w:fill="auto"/>
            <w:vAlign w:val="center"/>
            <w:hideMark/>
          </w:tcPr>
          <w:p w:rsidR="00ED0878" w:rsidRPr="00FA2FBA" w:rsidRDefault="00ED0878" w:rsidP="00ED0878">
            <w:pPr>
              <w:jc w:val="left"/>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D0878" w:rsidRPr="00CC4A58" w:rsidRDefault="00ED0878" w:rsidP="00ED087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D0878" w:rsidRPr="00CC4A58" w:rsidRDefault="00ED0878" w:rsidP="00ED087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D0878" w:rsidRPr="00CC4A58" w:rsidRDefault="00ED0878" w:rsidP="00ED0878">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Jan</w:t>
            </w:r>
          </w:p>
        </w:tc>
        <w:tc>
          <w:tcPr>
            <w:tcW w:w="810" w:type="dxa"/>
            <w:tcBorders>
              <w:left w:val="single" w:sz="4" w:space="0" w:color="auto"/>
              <w:bottom w:val="single" w:sz="12"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ED0878" w:rsidRPr="00AA1621" w:rsidRDefault="00ED0878" w:rsidP="00ED0878">
            <w:pPr>
              <w:jc w:val="right"/>
              <w:rPr>
                <w:b/>
                <w:color w:val="auto"/>
                <w:sz w:val="14"/>
                <w:szCs w:val="14"/>
              </w:rPr>
            </w:pPr>
            <w:proofErr w:type="spellStart"/>
            <w:r>
              <w:rPr>
                <w:b/>
                <w:color w:val="auto"/>
                <w:sz w:val="14"/>
                <w:szCs w:val="14"/>
              </w:rPr>
              <w:t>May</w:t>
            </w:r>
            <w:r w:rsidRPr="00367D13">
              <w:rPr>
                <w:b/>
                <w:color w:val="auto"/>
                <w:sz w:val="14"/>
                <w:szCs w:val="14"/>
                <w:vertAlign w:val="superscript"/>
              </w:rPr>
              <w:t>P</w:t>
            </w:r>
            <w:proofErr w:type="spellEnd"/>
          </w:p>
        </w:tc>
      </w:tr>
      <w:tr w:rsidR="007D0BE4" w:rsidRPr="00FA2FBA" w:rsidTr="007D0BE4">
        <w:trPr>
          <w:trHeight w:val="312"/>
        </w:trPr>
        <w:tc>
          <w:tcPr>
            <w:tcW w:w="3780" w:type="dxa"/>
            <w:tcBorders>
              <w:top w:val="single" w:sz="12" w:space="0" w:color="auto"/>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Net Foreign Assets</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209,306</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63,360</w:t>
            </w:r>
          </w:p>
        </w:tc>
        <w:tc>
          <w:tcPr>
            <w:tcW w:w="810" w:type="dxa"/>
            <w:tcBorders>
              <w:top w:val="single" w:sz="12" w:space="0" w:color="auto"/>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(1,445,654)</w:t>
            </w:r>
          </w:p>
        </w:tc>
        <w:tc>
          <w:tcPr>
            <w:tcW w:w="810" w:type="dxa"/>
            <w:tcBorders>
              <w:top w:val="single" w:sz="12" w:space="0" w:color="auto"/>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(1,192,559)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(1,062,295)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(952,762)</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(1,163,170)</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Claims on nonresidents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3,598,212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3,446,996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2,893,225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2,965,823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3,452,761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3,555,885</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3,323,908</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a) Monetary Gold, Coin and Bullion</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773,637</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758,471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1,071,319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991,822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1,167,848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1,169,727</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1,165,668</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b) Holdings of SDRs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43,863</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432,631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38,635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4,445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4,966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43,670</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5,353</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c) Foreign currency</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24,049</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24,496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17,109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19,623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21,654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21,722</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21,888</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d) Deposits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2,137,625</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1,230,599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995,509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1,238,703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1,464,240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1,536,738</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1,344,526</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e) Securities other than shares (Foreign)</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67,793</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455,097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21,730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5,092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17,245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8,765</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17,055</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f) Loans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g) Financial derivatives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92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15,104</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1,545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h) Other</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551,153</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545,612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733,821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706,139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775,263</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775,263</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769,419</w:t>
            </w:r>
          </w:p>
        </w:tc>
      </w:tr>
      <w:tr w:rsidR="007D0BE4" w:rsidRPr="001C6ED8"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i/>
                <w:iCs/>
                <w:color w:val="auto"/>
                <w:szCs w:val="16"/>
              </w:rPr>
            </w:pPr>
            <w:r w:rsidRPr="00FA2FBA">
              <w:rPr>
                <w:i/>
                <w:iCs/>
                <w:color w:val="auto"/>
                <w:szCs w:val="16"/>
              </w:rPr>
              <w:t>Of which:  Quota-IMF</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i/>
                <w:iCs/>
                <w:sz w:val="14"/>
                <w:szCs w:val="14"/>
              </w:rPr>
            </w:pPr>
            <w:r w:rsidRPr="00D72BD9">
              <w:rPr>
                <w:rFonts w:asciiTheme="majorBidi" w:hAnsiTheme="majorBidi" w:cstheme="majorBidi"/>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i/>
                <w:iCs/>
                <w:sz w:val="14"/>
                <w:szCs w:val="14"/>
              </w:rPr>
            </w:pPr>
            <w:r w:rsidRPr="00D72BD9">
              <w:rPr>
                <w:rFonts w:asciiTheme="majorBidi" w:hAnsiTheme="majorBidi" w:cstheme="majorBidi"/>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551,152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545,611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733,820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706,138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775,262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775,262</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769,417</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less: Liabilities to nonresidents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3,388,906</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3,383,636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4,338,880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4,158,382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4,515,056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4,508,646</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4,487,079</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559,614</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540,683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726,779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709,720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771,228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773,559</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780,570</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b) Securities other than shares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1,104,972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1,148,613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1,336,682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1,286,258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1,357,078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1,352,591</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1,342,394</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c) Loans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EC45AF" w:rsidP="007D0BE4">
            <w:pPr>
              <w:jc w:val="right"/>
              <w:rPr>
                <w:rFonts w:asciiTheme="majorBidi" w:hAnsiTheme="majorBidi" w:cstheme="majorBidi"/>
                <w:sz w:val="14"/>
                <w:szCs w:val="14"/>
              </w:rPr>
            </w:pPr>
            <w:r>
              <w:rPr>
                <w:rFonts w:asciiTheme="majorBidi" w:hAnsiTheme="majorBidi" w:cstheme="majorBidi"/>
                <w:sz w:val="14"/>
                <w:szCs w:val="14"/>
              </w:rPr>
              <w:t>..</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d) Financial derivatives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926,914</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905,706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1,209,050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1,152,964</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1,262,038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1,259,497</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1,250,087</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e) Other</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797,406</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788,634</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1,066,370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1,009,440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1,124,712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1,122,999</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1,114,026</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Claims on Other Depository Corporations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6,165,662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5,385,486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8,057,965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7,825,939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8,921,840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9,662,312</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9,330,003</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Net claims on General Government</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5,154,157</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5,908,348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5,250,222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5,587,138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5,660,576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5,023,360</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5,444,532</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Net claims on Central Government</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5,745,839</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6,734,938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6,119,511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6,440,045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6,679,326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5,857,489</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6,064,001</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Claims on Central Government</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6,769,725</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6,992,118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6,727,266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6,742,641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7,000,905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7,050,207</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7,111,859</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6,237,905</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6,466,111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6,010,547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6,067,088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6,250,625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6,294,741</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6,366,298</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531,820</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526,007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716,719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675,553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750,280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755,466</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745,561</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less: Liabilities to Central Government</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1,023,886</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257,180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607,755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302,596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321,579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1,192,717</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1,047,858</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1,023,886</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257,180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607,755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302,596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321,579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1,192,717</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1,047,858</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Net claims on Provincial Governments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(591,682)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(826,591)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(852,907)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(1,018,749)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(834,129)</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(619,469)</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Claims on Provincial and Local Governments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17,130</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22,569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A2FBA" w:rsidTr="007D0BE4">
        <w:trPr>
          <w:trHeight w:val="180"/>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17,130</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22,569</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608,812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826,887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875,475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1,018,749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834,129</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619,469</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608,812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826,887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875,475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1,018,749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834,129</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619,469</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Claims on other sectors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34,306</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30,522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45,791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51,360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62,666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70,858</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75,049</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a) Other financial corporations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7,941</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4,334</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13,894</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19,156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30,081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38,004</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42,134</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b) Public non-financial corporations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31</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37</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c) Other non-financial corporations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d) Other resident sectors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26,334</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26,146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31,874</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32,176</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32,554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32,817</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32,908</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Pr>
                <w:b/>
                <w:bCs/>
                <w:color w:val="auto"/>
                <w:szCs w:val="16"/>
              </w:rPr>
              <w:t>Monetary base</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9,257,114</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9,723,368</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9,727,691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9,998,770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10,076,535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11,256,363</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10,915,151</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1)  Currency in Circulation</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7,992,592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8,009,081</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8,248,703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8,438,700</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8,755,064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9,555,615</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9,061,739</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jc w:val="left"/>
              <w:rPr>
                <w:b/>
                <w:bCs/>
                <w:color w:val="auto"/>
                <w:szCs w:val="16"/>
              </w:rPr>
            </w:pPr>
            <w:r w:rsidRPr="00FA2FBA">
              <w:rPr>
                <w:b/>
                <w:bCs/>
                <w:color w:val="auto"/>
                <w:szCs w:val="16"/>
              </w:rPr>
              <w:t>2)  Liabilities to Other Depository Corporations</w:t>
            </w:r>
          </w:p>
        </w:tc>
        <w:tc>
          <w:tcPr>
            <w:tcW w:w="720" w:type="dxa"/>
            <w:tcBorders>
              <w:top w:val="nil"/>
              <w:left w:val="nil"/>
              <w:bottom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1,250,385</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1,700,443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1,471,097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1,549,775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1,311,321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1,690,320</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1,842,902</w:t>
            </w:r>
          </w:p>
        </w:tc>
      </w:tr>
      <w:tr w:rsidR="007D0BE4" w:rsidRPr="00FA2FBA" w:rsidTr="007D0BE4">
        <w:trPr>
          <w:trHeight w:val="266"/>
        </w:trPr>
        <w:tc>
          <w:tcPr>
            <w:tcW w:w="3780" w:type="dxa"/>
            <w:tcBorders>
              <w:top w:val="nil"/>
              <w:left w:val="nil"/>
              <w:bottom w:val="nil"/>
              <w:right w:val="nil"/>
            </w:tcBorders>
            <w:shd w:val="clear" w:color="auto" w:fill="auto"/>
            <w:noWrap/>
            <w:vAlign w:val="center"/>
            <w:hideMark/>
          </w:tcPr>
          <w:p w:rsidR="007D0BE4" w:rsidRPr="00FA2FBA" w:rsidRDefault="007D0BE4" w:rsidP="007D0BE4">
            <w:pPr>
              <w:ind w:left="342"/>
              <w:jc w:val="left"/>
              <w:rPr>
                <w:color w:val="auto"/>
                <w:szCs w:val="16"/>
              </w:rPr>
            </w:pPr>
            <w:r w:rsidRPr="00FA2FBA">
              <w:rPr>
                <w:color w:val="auto"/>
                <w:szCs w:val="16"/>
              </w:rPr>
              <w:t>Reserve deposits</w:t>
            </w:r>
          </w:p>
        </w:tc>
        <w:tc>
          <w:tcPr>
            <w:tcW w:w="720" w:type="dxa"/>
            <w:tcBorders>
              <w:top w:val="nil"/>
              <w:left w:val="nil"/>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1,168,496</w:t>
            </w:r>
          </w:p>
        </w:tc>
        <w:tc>
          <w:tcPr>
            <w:tcW w:w="720" w:type="dxa"/>
            <w:tcBorders>
              <w:top w:val="nil"/>
              <w:left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1,326,605</w:t>
            </w:r>
          </w:p>
        </w:tc>
        <w:tc>
          <w:tcPr>
            <w:tcW w:w="720" w:type="dxa"/>
            <w:tcBorders>
              <w:top w:val="nil"/>
              <w:left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1,250,385</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1,700,443</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1,471,097</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1,549,775</w:t>
            </w:r>
          </w:p>
        </w:tc>
        <w:tc>
          <w:tcPr>
            <w:tcW w:w="81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1,311,321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1,690,320</w:t>
            </w:r>
          </w:p>
        </w:tc>
        <w:tc>
          <w:tcPr>
            <w:tcW w:w="81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1,842,902</w:t>
            </w:r>
          </w:p>
        </w:tc>
      </w:tr>
      <w:tr w:rsidR="007D0BE4" w:rsidRPr="00FA2FBA" w:rsidTr="007D0BE4">
        <w:trPr>
          <w:trHeight w:val="266"/>
        </w:trPr>
        <w:tc>
          <w:tcPr>
            <w:tcW w:w="3780" w:type="dxa"/>
            <w:tcBorders>
              <w:top w:val="nil"/>
              <w:left w:val="nil"/>
              <w:bottom w:val="single" w:sz="12" w:space="0" w:color="auto"/>
              <w:right w:val="nil"/>
            </w:tcBorders>
            <w:shd w:val="clear" w:color="auto" w:fill="auto"/>
            <w:noWrap/>
            <w:vAlign w:val="center"/>
            <w:hideMark/>
          </w:tcPr>
          <w:p w:rsidR="007D0BE4" w:rsidRPr="00FA2FBA" w:rsidRDefault="007D0BE4" w:rsidP="007D0BE4">
            <w:pPr>
              <w:ind w:firstLineChars="200" w:firstLine="320"/>
              <w:jc w:val="left"/>
              <w:rPr>
                <w:color w:val="auto"/>
                <w:szCs w:val="16"/>
              </w:rPr>
            </w:pPr>
            <w:r w:rsidRPr="00FA2FBA">
              <w:rPr>
                <w:color w:val="auto"/>
                <w:szCs w:val="16"/>
              </w:rPr>
              <w:t>Other liabilities</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7D0BE4" w:rsidRPr="00F46ADC" w:rsidTr="00EC45AF">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7D0BE4" w:rsidRPr="002517D6" w:rsidRDefault="007D0BE4"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7D0BE4" w:rsidRPr="00CC4A58" w:rsidRDefault="007D0BE4" w:rsidP="00B02E3D">
            <w:pPr>
              <w:jc w:val="right"/>
              <w:rPr>
                <w:b/>
                <w:bCs/>
                <w:szCs w:val="16"/>
              </w:rPr>
            </w:pPr>
            <w:r w:rsidRPr="00CC4A58">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7D0BE4" w:rsidRPr="00CC4A58" w:rsidRDefault="007D0BE4" w:rsidP="00B02E3D">
            <w:pPr>
              <w:jc w:val="right"/>
              <w:rPr>
                <w:b/>
                <w:bCs/>
                <w:szCs w:val="16"/>
              </w:rPr>
            </w:pPr>
            <w:r w:rsidRPr="00CC4A58">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7D0BE4" w:rsidRPr="00CC4A58" w:rsidRDefault="007D0BE4" w:rsidP="00CC4A58">
            <w:pPr>
              <w:jc w:val="right"/>
              <w:rPr>
                <w:b/>
                <w:bCs/>
                <w:szCs w:val="16"/>
              </w:rPr>
            </w:pPr>
            <w:r w:rsidRPr="00CC4A58">
              <w:rPr>
                <w:b/>
                <w:bCs/>
                <w:szCs w:val="16"/>
              </w:rPr>
              <w:t>FY22</w:t>
            </w:r>
          </w:p>
        </w:tc>
        <w:tc>
          <w:tcPr>
            <w:tcW w:w="720" w:type="dxa"/>
            <w:tcBorders>
              <w:top w:val="single" w:sz="12" w:space="0" w:color="auto"/>
              <w:left w:val="single" w:sz="4" w:space="0" w:color="auto"/>
              <w:bottom w:val="single" w:sz="4" w:space="0" w:color="auto"/>
            </w:tcBorders>
            <w:shd w:val="clear" w:color="auto" w:fill="auto"/>
            <w:vAlign w:val="center"/>
          </w:tcPr>
          <w:p w:rsidR="007D0BE4" w:rsidRPr="00CC4A58" w:rsidRDefault="007D0BE4" w:rsidP="00DC0E6B">
            <w:pPr>
              <w:rPr>
                <w:b/>
                <w:bCs/>
                <w:color w:val="auto"/>
                <w:szCs w:val="16"/>
              </w:rPr>
            </w:pPr>
            <w:r w:rsidRPr="00CC4A58">
              <w:rPr>
                <w:b/>
                <w:bCs/>
                <w:color w:val="auto"/>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7D0BE4" w:rsidRPr="00CC4A58" w:rsidRDefault="007D0BE4" w:rsidP="00DC0E6B">
            <w:pPr>
              <w:rPr>
                <w:b/>
                <w:bCs/>
                <w:color w:val="auto"/>
                <w:szCs w:val="16"/>
              </w:rPr>
            </w:pPr>
            <w:r>
              <w:rPr>
                <w:b/>
                <w:bCs/>
                <w:color w:val="auto"/>
                <w:szCs w:val="16"/>
              </w:rPr>
              <w:t>2023</w:t>
            </w:r>
          </w:p>
        </w:tc>
      </w:tr>
      <w:tr w:rsidR="00ED0878" w:rsidRPr="00F46ADC" w:rsidTr="007D0BE4">
        <w:trPr>
          <w:trHeight w:val="268"/>
        </w:trPr>
        <w:tc>
          <w:tcPr>
            <w:tcW w:w="4088" w:type="dxa"/>
            <w:vMerge/>
            <w:tcBorders>
              <w:bottom w:val="single" w:sz="12" w:space="0" w:color="auto"/>
              <w:right w:val="single" w:sz="4" w:space="0" w:color="auto"/>
            </w:tcBorders>
            <w:shd w:val="clear" w:color="auto" w:fill="auto"/>
            <w:noWrap/>
            <w:vAlign w:val="center"/>
            <w:hideMark/>
          </w:tcPr>
          <w:p w:rsidR="00ED0878" w:rsidRPr="002517D6" w:rsidRDefault="00ED0878" w:rsidP="00ED0878">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D0878" w:rsidRPr="00CC4A58" w:rsidRDefault="00ED0878" w:rsidP="00ED0878">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D0878" w:rsidRPr="00CC4A58" w:rsidRDefault="00ED0878" w:rsidP="00ED0878">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D0878" w:rsidRPr="00CC4A58" w:rsidRDefault="00ED0878" w:rsidP="00ED0878">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D0878" w:rsidRPr="00AA1621" w:rsidRDefault="00ED0878" w:rsidP="00ED0878">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ED0878" w:rsidRPr="00AA1621" w:rsidRDefault="00ED0878" w:rsidP="00ED0878">
            <w:pPr>
              <w:jc w:val="right"/>
              <w:rPr>
                <w:b/>
                <w:color w:val="auto"/>
                <w:sz w:val="14"/>
                <w:szCs w:val="14"/>
              </w:rPr>
            </w:pPr>
            <w:proofErr w:type="spellStart"/>
            <w:r>
              <w:rPr>
                <w:b/>
                <w:color w:val="auto"/>
                <w:sz w:val="14"/>
                <w:szCs w:val="14"/>
              </w:rPr>
              <w:t>May</w:t>
            </w:r>
            <w:r w:rsidRPr="00367D13">
              <w:rPr>
                <w:b/>
                <w:color w:val="auto"/>
                <w:sz w:val="14"/>
                <w:szCs w:val="14"/>
                <w:vertAlign w:val="superscript"/>
              </w:rPr>
              <w:t>P</w:t>
            </w:r>
            <w:proofErr w:type="spellEnd"/>
          </w:p>
        </w:tc>
      </w:tr>
      <w:tr w:rsidR="007D0BE4" w:rsidRPr="00F46ADC" w:rsidTr="007D0BE4">
        <w:trPr>
          <w:trHeight w:val="245"/>
        </w:trPr>
        <w:tc>
          <w:tcPr>
            <w:tcW w:w="4088" w:type="dxa"/>
            <w:tcBorders>
              <w:top w:val="single" w:sz="12" w:space="0" w:color="auto"/>
            </w:tcBorders>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13,844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7,890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10,295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10,150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10,429</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color w:val="auto"/>
                <w:sz w:val="14"/>
                <w:szCs w:val="14"/>
              </w:rPr>
            </w:pPr>
            <w:r w:rsidRPr="007D0BE4">
              <w:rPr>
                <w:rFonts w:asciiTheme="majorBidi" w:hAnsiTheme="majorBidi" w:cstheme="majorBidi"/>
                <w:b/>
                <w:bCs/>
                <w:sz w:val="14"/>
                <w:szCs w:val="14"/>
              </w:rPr>
              <w:t>10,511</w:t>
            </w:r>
          </w:p>
        </w:tc>
      </w:tr>
      <w:tr w:rsidR="007D0BE4" w:rsidRPr="00F46ADC" w:rsidTr="007D0BE4">
        <w:trPr>
          <w:trHeight w:val="117"/>
        </w:trPr>
        <w:tc>
          <w:tcPr>
            <w:tcW w:w="4088" w:type="dxa"/>
            <w:shd w:val="clear" w:color="auto" w:fill="auto"/>
            <w:noWrap/>
            <w:vAlign w:val="center"/>
            <w:hideMark/>
          </w:tcPr>
          <w:p w:rsidR="007D0BE4" w:rsidRPr="00765D08" w:rsidRDefault="007D0BE4" w:rsidP="007D0BE4">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1,594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1,176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1,310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1,237</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1,271</w:t>
            </w:r>
          </w:p>
        </w:tc>
      </w:tr>
      <w:tr w:rsidR="007D0BE4" w:rsidRPr="00F46ADC" w:rsidTr="007D0BE4">
        <w:trPr>
          <w:trHeight w:val="153"/>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29</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27</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179</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1,416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1,115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998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1,046</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1,065</w:t>
            </w:r>
          </w:p>
        </w:tc>
      </w:tr>
      <w:tr w:rsidR="007D0BE4" w:rsidRPr="00F46ADC" w:rsidTr="007D0BE4">
        <w:trPr>
          <w:trHeight w:val="245"/>
        </w:trPr>
        <w:tc>
          <w:tcPr>
            <w:tcW w:w="4088" w:type="dxa"/>
            <w:shd w:val="clear" w:color="auto" w:fill="auto"/>
            <w:noWrap/>
            <w:vAlign w:val="center"/>
            <w:hideMark/>
          </w:tcPr>
          <w:p w:rsidR="007D0BE4" w:rsidRPr="00765D08" w:rsidRDefault="007D0BE4" w:rsidP="007D0BE4">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12,250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6,714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8,986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8,960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9,191</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9,240</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1,019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1,568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1,302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1,332</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1,357</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11,231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5,146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7,684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7,770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7,859</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7,883</w:t>
            </w:r>
          </w:p>
        </w:tc>
      </w:tr>
      <w:tr w:rsidR="007D0BE4" w:rsidRPr="00F46ADC" w:rsidTr="007D0BE4">
        <w:trPr>
          <w:trHeight w:val="245"/>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F46ADC" w:rsidTr="007D0BE4">
        <w:trPr>
          <w:trHeight w:val="245"/>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93,174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100,566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99,650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101,781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107,794</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114,699</w:t>
            </w:r>
          </w:p>
        </w:tc>
      </w:tr>
      <w:tr w:rsidR="007D0BE4" w:rsidRPr="002A38C5"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7D0BE4" w:rsidRPr="00D72BD9" w:rsidRDefault="007D0BE4" w:rsidP="007D0BE4">
            <w:pPr>
              <w:ind w:firstLineChars="200" w:firstLine="280"/>
              <w:jc w:val="right"/>
              <w:rPr>
                <w:rFonts w:asciiTheme="majorBidi" w:hAnsiTheme="majorBidi" w:cstheme="majorBidi"/>
                <w:i/>
                <w:iCs/>
                <w:sz w:val="14"/>
                <w:szCs w:val="14"/>
              </w:rPr>
            </w:pPr>
            <w:r w:rsidRPr="00D72BD9">
              <w:rPr>
                <w:rFonts w:asciiTheme="majorBidi" w:hAnsiTheme="majorBidi" w:cstheme="majorBidi"/>
                <w:i/>
                <w:i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ind w:firstLineChars="200" w:firstLine="280"/>
              <w:jc w:val="right"/>
              <w:rPr>
                <w:rFonts w:asciiTheme="majorBidi" w:hAnsiTheme="majorBidi" w:cstheme="majorBidi"/>
                <w:i/>
                <w:iCs/>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1,028,450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20,900</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75,600</w:t>
            </w:r>
          </w:p>
        </w:tc>
      </w:tr>
      <w:tr w:rsidR="007D0BE4" w:rsidRPr="002A38C5"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w:t>
            </w:r>
          </w:p>
        </w:tc>
      </w:tr>
      <w:tr w:rsidR="007D0BE4" w:rsidRPr="002A38C5" w:rsidTr="007D0BE4">
        <w:trPr>
          <w:trHeight w:val="245"/>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1,779,177</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1,934,736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2,081,820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2,278,208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2,395,458</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2,614,190</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100,000</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678,594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364,179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590,760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611,121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726,494</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949,284</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67,517</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215,099</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215,099</w:t>
            </w:r>
          </w:p>
        </w:tc>
      </w:tr>
      <w:tr w:rsidR="007D0BE4" w:rsidRPr="00F46ADC"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933,066</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color w:val="auto"/>
                <w:sz w:val="14"/>
                <w:szCs w:val="14"/>
              </w:rPr>
            </w:pPr>
            <w:r w:rsidRPr="007D0BE4">
              <w:rPr>
                <w:rFonts w:asciiTheme="majorBidi" w:hAnsiTheme="majorBidi" w:cstheme="majorBidi"/>
                <w:sz w:val="14"/>
                <w:szCs w:val="14"/>
              </w:rPr>
              <w:t>1,255,458</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1,175,961</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1,351,987</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1,353,865</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1,349,807</w:t>
            </w:r>
          </w:p>
        </w:tc>
      </w:tr>
      <w:tr w:rsidR="007D0BE4" w:rsidRPr="00901B78" w:rsidTr="007D0BE4">
        <w:trPr>
          <w:trHeight w:val="90"/>
        </w:trPr>
        <w:tc>
          <w:tcPr>
            <w:tcW w:w="4088" w:type="dxa"/>
            <w:shd w:val="clear" w:color="auto" w:fill="auto"/>
            <w:noWrap/>
            <w:vAlign w:val="center"/>
            <w:hideMark/>
          </w:tcPr>
          <w:p w:rsidR="007D0BE4" w:rsidRPr="00765D08" w:rsidRDefault="007D0BE4" w:rsidP="007D0BE4">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b/>
                <w:bCs/>
                <w:sz w:val="14"/>
                <w:szCs w:val="14"/>
              </w:rPr>
            </w:pPr>
            <w:r w:rsidRPr="00D72BD9">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(208,004)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145,330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91,637</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97,812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23,253</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b/>
                <w:bCs/>
                <w:sz w:val="14"/>
                <w:szCs w:val="14"/>
              </w:rPr>
            </w:pPr>
            <w:r w:rsidRPr="007D0BE4">
              <w:rPr>
                <w:rFonts w:asciiTheme="majorBidi" w:hAnsiTheme="majorBidi" w:cstheme="majorBidi"/>
                <w:b/>
                <w:bCs/>
                <w:sz w:val="14"/>
                <w:szCs w:val="14"/>
              </w:rPr>
              <w:t>(33,226)</w:t>
            </w:r>
          </w:p>
        </w:tc>
      </w:tr>
      <w:tr w:rsidR="007D0BE4" w:rsidRPr="002A38C5" w:rsidTr="007D0BE4">
        <w:trPr>
          <w:trHeight w:val="245"/>
        </w:trPr>
        <w:tc>
          <w:tcPr>
            <w:tcW w:w="4088" w:type="dxa"/>
            <w:shd w:val="clear" w:color="auto" w:fill="auto"/>
            <w:noWrap/>
            <w:vAlign w:val="center"/>
            <w:hideMark/>
          </w:tcPr>
          <w:p w:rsidR="007D0BE4" w:rsidRPr="00F46ADC" w:rsidRDefault="007D0BE4" w:rsidP="007D0BE4">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sz w:val="14"/>
                <w:szCs w:val="14"/>
              </w:rPr>
            </w:pPr>
            <w:r w:rsidRPr="00D72BD9">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179,874</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387,652</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441,710</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343,163</w:t>
            </w:r>
          </w:p>
        </w:tc>
        <w:tc>
          <w:tcPr>
            <w:tcW w:w="720" w:type="dxa"/>
            <w:tcBorders>
              <w:top w:val="nil"/>
              <w:left w:val="nil"/>
              <w:bottom w:val="nil"/>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251,059</w:t>
            </w:r>
          </w:p>
        </w:tc>
        <w:tc>
          <w:tcPr>
            <w:tcW w:w="720" w:type="dxa"/>
            <w:tcBorders>
              <w:top w:val="nil"/>
              <w:left w:val="nil"/>
              <w:bottom w:val="nil"/>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sz w:val="14"/>
                <w:szCs w:val="14"/>
              </w:rPr>
            </w:pPr>
            <w:r w:rsidRPr="007D0BE4">
              <w:rPr>
                <w:rFonts w:asciiTheme="majorBidi" w:hAnsiTheme="majorBidi" w:cstheme="majorBidi"/>
                <w:sz w:val="14"/>
                <w:szCs w:val="14"/>
              </w:rPr>
              <w:t>209,399</w:t>
            </w:r>
          </w:p>
        </w:tc>
      </w:tr>
      <w:tr w:rsidR="007D0BE4" w:rsidRPr="00901B78" w:rsidTr="007D0BE4">
        <w:trPr>
          <w:trHeight w:val="144"/>
        </w:trPr>
        <w:tc>
          <w:tcPr>
            <w:tcW w:w="4088" w:type="dxa"/>
            <w:tcBorders>
              <w:bottom w:val="single" w:sz="12" w:space="0" w:color="auto"/>
            </w:tcBorders>
            <w:shd w:val="clear" w:color="auto" w:fill="auto"/>
            <w:noWrap/>
            <w:vAlign w:val="center"/>
            <w:hideMark/>
          </w:tcPr>
          <w:p w:rsidR="007D0BE4" w:rsidRPr="00F46ADC" w:rsidRDefault="007D0BE4" w:rsidP="007D0BE4">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7D0BE4" w:rsidRPr="00D72BD9" w:rsidRDefault="007D0BE4" w:rsidP="007D0BE4">
            <w:pPr>
              <w:jc w:val="right"/>
              <w:rPr>
                <w:rFonts w:asciiTheme="majorBidi" w:hAnsiTheme="majorBidi" w:cstheme="majorBidi"/>
                <w:i/>
                <w:iCs/>
                <w:sz w:val="14"/>
                <w:szCs w:val="14"/>
              </w:rPr>
            </w:pPr>
            <w:r w:rsidRPr="00D72BD9">
              <w:rPr>
                <w:rFonts w:asciiTheme="majorBidi" w:hAnsiTheme="majorBidi" w:cstheme="majorBidi"/>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i/>
                <w:iCs/>
                <w:sz w:val="14"/>
                <w:szCs w:val="14"/>
              </w:rPr>
            </w:pPr>
            <w:r w:rsidRPr="00D72BD9">
              <w:rPr>
                <w:rFonts w:asciiTheme="majorBidi" w:hAnsiTheme="majorBidi" w:cstheme="majorBidi"/>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D72BD9" w:rsidRDefault="007D0BE4" w:rsidP="007D0BE4">
            <w:pPr>
              <w:jc w:val="right"/>
              <w:rPr>
                <w:rFonts w:asciiTheme="majorBidi" w:hAnsiTheme="majorBidi" w:cstheme="majorBidi"/>
                <w:i/>
                <w:iCs/>
                <w:sz w:val="14"/>
                <w:szCs w:val="14"/>
              </w:rPr>
            </w:pPr>
            <w:r w:rsidRPr="00D72BD9">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i/>
                <w:iCs/>
                <w:sz w:val="14"/>
                <w:szCs w:val="14"/>
              </w:rPr>
            </w:pPr>
            <w:r w:rsidRPr="007D0BE4">
              <w:rPr>
                <w:rFonts w:asciiTheme="majorBidi" w:hAnsiTheme="majorBidi" w:cstheme="majorBidi"/>
                <w:i/>
                <w:iCs/>
                <w:sz w:val="14"/>
                <w:szCs w:val="14"/>
              </w:rPr>
              <w:t>387,878</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i/>
                <w:iCs/>
                <w:sz w:val="14"/>
                <w:szCs w:val="14"/>
              </w:rPr>
            </w:pPr>
            <w:r w:rsidRPr="007D0BE4">
              <w:rPr>
                <w:rFonts w:asciiTheme="majorBidi" w:hAnsiTheme="majorBidi" w:cstheme="majorBidi"/>
                <w:i/>
                <w:iCs/>
                <w:sz w:val="14"/>
                <w:szCs w:val="14"/>
              </w:rPr>
              <w:t>242,322</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i/>
                <w:iCs/>
                <w:sz w:val="14"/>
                <w:szCs w:val="14"/>
              </w:rPr>
            </w:pPr>
            <w:r w:rsidRPr="007D0BE4">
              <w:rPr>
                <w:rFonts w:asciiTheme="majorBidi" w:hAnsiTheme="majorBidi" w:cstheme="majorBidi"/>
                <w:i/>
                <w:iCs/>
                <w:sz w:val="14"/>
                <w:szCs w:val="14"/>
              </w:rPr>
              <w:t>350,072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i/>
                <w:iCs/>
                <w:sz w:val="14"/>
                <w:szCs w:val="14"/>
              </w:rPr>
            </w:pPr>
            <w:r w:rsidRPr="007D0BE4">
              <w:rPr>
                <w:rFonts w:asciiTheme="majorBidi" w:hAnsiTheme="majorBidi" w:cstheme="majorBidi"/>
                <w:i/>
                <w:iCs/>
                <w:sz w:val="14"/>
                <w:szCs w:val="14"/>
              </w:rPr>
              <w:t>245,351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7D0BE4" w:rsidRPr="007D0BE4" w:rsidRDefault="007D0BE4" w:rsidP="007D0BE4">
            <w:pPr>
              <w:jc w:val="right"/>
              <w:rPr>
                <w:rFonts w:asciiTheme="majorBidi" w:hAnsiTheme="majorBidi" w:cstheme="majorBidi"/>
                <w:i/>
                <w:iCs/>
                <w:sz w:val="14"/>
                <w:szCs w:val="14"/>
              </w:rPr>
            </w:pPr>
            <w:r w:rsidRPr="007D0BE4">
              <w:rPr>
                <w:rFonts w:asciiTheme="majorBidi" w:hAnsiTheme="majorBidi" w:cstheme="majorBidi"/>
                <w:i/>
                <w:iCs/>
                <w:sz w:val="14"/>
                <w:szCs w:val="14"/>
              </w:rPr>
              <w:t>227,806</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7D0BE4" w:rsidRPr="007D0BE4" w:rsidRDefault="007D0BE4" w:rsidP="007D0BE4">
            <w:pPr>
              <w:jc w:val="right"/>
              <w:rPr>
                <w:rFonts w:asciiTheme="majorBidi" w:hAnsiTheme="majorBidi" w:cstheme="majorBidi"/>
                <w:i/>
                <w:iCs/>
                <w:sz w:val="14"/>
                <w:szCs w:val="14"/>
              </w:rPr>
            </w:pPr>
            <w:r w:rsidRPr="007D0BE4">
              <w:rPr>
                <w:rFonts w:asciiTheme="majorBidi" w:hAnsiTheme="majorBidi" w:cstheme="majorBidi"/>
                <w:i/>
                <w:iCs/>
                <w:sz w:val="14"/>
                <w:szCs w:val="14"/>
              </w:rPr>
              <w:t>242,625</w:t>
            </w:r>
          </w:p>
        </w:tc>
      </w:tr>
      <w:tr w:rsidR="007D0BE4" w:rsidRPr="00F46ADC" w:rsidTr="00A257FC">
        <w:trPr>
          <w:trHeight w:val="1181"/>
        </w:trPr>
        <w:tc>
          <w:tcPr>
            <w:tcW w:w="10440" w:type="dxa"/>
            <w:gridSpan w:val="10"/>
            <w:tcBorders>
              <w:top w:val="single" w:sz="12" w:space="0" w:color="auto"/>
            </w:tcBorders>
            <w:shd w:val="clear" w:color="auto" w:fill="auto"/>
            <w:noWrap/>
            <w:hideMark/>
          </w:tcPr>
          <w:p w:rsidR="007D0BE4" w:rsidRPr="00A257FC" w:rsidRDefault="007D0BE4" w:rsidP="007D0BE4">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7D0BE4" w:rsidRPr="00A257FC" w:rsidRDefault="007D0BE4" w:rsidP="007D0BE4">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7D0BE4" w:rsidRPr="00A257FC" w:rsidRDefault="007D0BE4" w:rsidP="007D0BE4">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r w:rsidRPr="00A257FC">
              <w:rPr>
                <w:rFonts w:asciiTheme="majorBidi" w:hAnsiTheme="majorBidi" w:cstheme="majorBidi"/>
                <w:sz w:val="14"/>
                <w:szCs w:val="14"/>
              </w:rPr>
              <w:t>1. The table shows monetary statistics of the Central Bank (State Bank of Pakistan) according to the guidelines of IMF Monetary and Financial Statistics Manual (MFSM 2000). Compilation methodology is available at:</w:t>
            </w:r>
          </w:p>
          <w:p w:rsidR="007D0BE4" w:rsidRPr="00A257FC" w:rsidRDefault="00027DE6" w:rsidP="007D0BE4">
            <w:pPr>
              <w:jc w:val="left"/>
              <w:rPr>
                <w:rFonts w:asciiTheme="majorBidi" w:hAnsiTheme="majorBidi" w:cstheme="majorBidi"/>
                <w:color w:val="0000FF"/>
                <w:sz w:val="14"/>
                <w:szCs w:val="14"/>
                <w:u w:val="single"/>
              </w:rPr>
            </w:pPr>
            <w:hyperlink r:id="rId8" w:history="1">
              <w:r w:rsidR="007D0BE4" w:rsidRPr="00A257FC">
                <w:rPr>
                  <w:rStyle w:val="Hyperlink"/>
                  <w:rFonts w:asciiTheme="majorBidi" w:hAnsiTheme="majorBidi" w:cstheme="majorBidi"/>
                  <w:sz w:val="14"/>
                  <w:szCs w:val="14"/>
                </w:rPr>
                <w:t>http://www.sbp.org.pk/departments/Guidelines.htm</w:t>
              </w:r>
            </w:hyperlink>
          </w:p>
          <w:p w:rsidR="007D0BE4" w:rsidRPr="00A257FC" w:rsidRDefault="007D0BE4" w:rsidP="007D0BE4">
            <w:pPr>
              <w:jc w:val="left"/>
              <w:rPr>
                <w:rFonts w:asciiTheme="majorBidi" w:hAnsiTheme="majorBidi" w:cstheme="majorBidi"/>
                <w:color w:val="auto"/>
                <w:sz w:val="14"/>
                <w:szCs w:val="14"/>
              </w:rPr>
            </w:pPr>
            <w:r w:rsidRPr="00A257FC">
              <w:rPr>
                <w:rFonts w:asciiTheme="majorBidi" w:hAnsiTheme="majorBidi" w:cstheme="majorBidi"/>
                <w:sz w:val="14"/>
                <w:szCs w:val="14"/>
              </w:rPr>
              <w:t>2. General Government includes Central and Provincial Governments.</w:t>
            </w:r>
          </w:p>
          <w:p w:rsidR="007D0BE4" w:rsidRPr="00A257FC" w:rsidRDefault="007D0BE4" w:rsidP="007D0BE4">
            <w:pPr>
              <w:jc w:val="left"/>
              <w:rPr>
                <w:rFonts w:asciiTheme="majorBidi" w:hAnsiTheme="majorBidi" w:cstheme="majorBidi"/>
                <w:color w:val="auto"/>
                <w:sz w:val="14"/>
                <w:szCs w:val="14"/>
              </w:rPr>
            </w:pPr>
            <w:r w:rsidRPr="00A257FC">
              <w:rPr>
                <w:rFonts w:asciiTheme="majorBidi" w:hAnsiTheme="majorBidi" w:cstheme="majorBidi"/>
                <w:sz w:val="14"/>
                <w:szCs w:val="14"/>
              </w:rPr>
              <w:t>3. Provincial Governments includes Local &amp; Provincial Governments.</w:t>
            </w:r>
          </w:p>
          <w:p w:rsidR="007D0BE4" w:rsidRPr="00A257FC" w:rsidRDefault="007D0BE4" w:rsidP="007D0BE4">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4. The data may not tally with the table 2 at </w:t>
            </w:r>
            <w:hyperlink r:id="rId9" w:history="1">
              <w:r w:rsidRPr="00AE6CD7">
                <w:rPr>
                  <w:rStyle w:val="Hyperlink"/>
                  <w:rFonts w:asciiTheme="majorBidi" w:hAnsiTheme="majorBidi" w:cstheme="majorBidi"/>
                  <w:sz w:val="14"/>
                  <w:szCs w:val="14"/>
                </w:rPr>
                <w:t>http://www.sbp.org.pk/ecodata/Ana_Acc_Sbp.pdf</w:t>
              </w:r>
            </w:hyperlink>
            <w:r>
              <w:rPr>
                <w:rFonts w:asciiTheme="majorBidi" w:hAnsiTheme="majorBidi" w:cstheme="majorBidi"/>
                <w:sz w:val="14"/>
                <w:szCs w:val="14"/>
              </w:rPr>
              <w:t xml:space="preserve"> </w:t>
            </w:r>
            <w:r w:rsidRPr="00A257FC">
              <w:rPr>
                <w:rFonts w:asciiTheme="majorBidi" w:hAnsiTheme="majorBidi" w:cstheme="majorBidi"/>
                <w:sz w:val="14"/>
                <w:szCs w:val="14"/>
              </w:rPr>
              <w:t xml:space="preserve"> and table 2.2 of Statistical Bulletin due to difference in classification and </w:t>
            </w:r>
            <w:proofErr w:type="spellStart"/>
            <w:r w:rsidRPr="00A257FC">
              <w:rPr>
                <w:rFonts w:asciiTheme="majorBidi" w:hAnsiTheme="majorBidi" w:cstheme="majorBidi"/>
                <w:sz w:val="14"/>
                <w:szCs w:val="14"/>
              </w:rPr>
              <w:t>Sectorization</w:t>
            </w:r>
            <w:proofErr w:type="spellEnd"/>
            <w:r w:rsidRPr="00A257FC">
              <w:rPr>
                <w:rFonts w:asciiTheme="majorBidi" w:hAnsiTheme="majorBidi" w:cstheme="majorBidi"/>
                <w:sz w:val="14"/>
                <w:szCs w:val="14"/>
              </w:rPr>
              <w:t>.</w:t>
            </w:r>
          </w:p>
          <w:p w:rsidR="007D0BE4" w:rsidRPr="00A257FC" w:rsidRDefault="007D0BE4" w:rsidP="007D0BE4">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5. Note Explaining major changes is available at: </w:t>
            </w:r>
            <w:hyperlink r:id="rId10" w:history="1">
              <w:r w:rsidRPr="00AE6CD7">
                <w:rPr>
                  <w:rStyle w:val="Hyperlink"/>
                  <w:rFonts w:asciiTheme="majorBidi" w:hAnsiTheme="majorBidi" w:cstheme="majorBidi"/>
                  <w:sz w:val="14"/>
                  <w:szCs w:val="14"/>
                </w:rPr>
                <w:t>http://www.sbp.org.pk/departments/stats/ntb.htm</w:t>
              </w:r>
            </w:hyperlink>
            <w:r>
              <w:rPr>
                <w:rFonts w:asciiTheme="majorBidi" w:hAnsiTheme="majorBidi" w:cstheme="majorBidi"/>
                <w:sz w:val="14"/>
                <w:szCs w:val="14"/>
              </w:rPr>
              <w:t xml:space="preserve"> </w:t>
            </w:r>
          </w:p>
          <w:p w:rsidR="007D0BE4" w:rsidRPr="00A257FC" w:rsidRDefault="007D0BE4" w:rsidP="007D0BE4">
            <w:pPr>
              <w:jc w:val="left"/>
              <w:rPr>
                <w:rFonts w:asciiTheme="majorBidi" w:hAnsiTheme="majorBidi" w:cstheme="majorBidi"/>
                <w:color w:val="auto"/>
                <w:sz w:val="14"/>
                <w:szCs w:val="14"/>
              </w:rPr>
            </w:pPr>
            <w:r w:rsidRPr="00A257FC">
              <w:rPr>
                <w:rFonts w:asciiTheme="majorBidi" w:hAnsiTheme="majorBidi" w:cstheme="majorBidi"/>
                <w:sz w:val="14"/>
                <w:szCs w:val="14"/>
              </w:rPr>
              <w:t>* This includes amounts related to SBP’s OMO mop up activities and financial institutions’ placed of their excess reserves with SBP.</w:t>
            </w:r>
            <w:r w:rsidRPr="00A257FC">
              <w:rPr>
                <w:rFonts w:asciiTheme="majorBidi" w:hAnsiTheme="majorBidi" w:cstheme="majorBidi"/>
                <w:color w:val="auto"/>
                <w:sz w:val="14"/>
                <w:szCs w:val="14"/>
              </w:rPr>
              <w:t xml:space="preserve"> </w:t>
            </w: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4B2618">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4B2618">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39135B" w:rsidRPr="008245E8" w:rsidTr="00071D6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39135B" w:rsidRPr="008245E8" w:rsidRDefault="0039135B"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39135B" w:rsidRPr="002D5FD9" w:rsidRDefault="0039135B"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39135B" w:rsidRPr="002D5FD9" w:rsidRDefault="0039135B"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39135B" w:rsidRPr="002D5FD9" w:rsidRDefault="0039135B" w:rsidP="00250281">
            <w:pPr>
              <w:jc w:val="right"/>
              <w:rPr>
                <w:b/>
                <w:bCs/>
                <w:szCs w:val="16"/>
              </w:rPr>
            </w:pPr>
            <w:r>
              <w:rPr>
                <w:b/>
                <w:bCs/>
                <w:szCs w:val="16"/>
              </w:rPr>
              <w:t xml:space="preserve">FY22 </w:t>
            </w:r>
          </w:p>
        </w:tc>
        <w:tc>
          <w:tcPr>
            <w:tcW w:w="838" w:type="dxa"/>
            <w:tcBorders>
              <w:top w:val="nil"/>
              <w:left w:val="single" w:sz="4" w:space="0" w:color="auto"/>
              <w:bottom w:val="single" w:sz="4" w:space="0" w:color="auto"/>
            </w:tcBorders>
            <w:shd w:val="clear" w:color="auto" w:fill="auto"/>
            <w:vAlign w:val="center"/>
          </w:tcPr>
          <w:p w:rsidR="0039135B" w:rsidRPr="008245E8" w:rsidRDefault="0039135B" w:rsidP="00B02E3D">
            <w:pPr>
              <w:rPr>
                <w:b/>
                <w:bCs/>
                <w:color w:val="auto"/>
                <w:szCs w:val="16"/>
              </w:rPr>
            </w:pPr>
            <w:r>
              <w:rPr>
                <w:b/>
                <w:bCs/>
                <w:color w:val="auto"/>
                <w:szCs w:val="16"/>
              </w:rPr>
              <w:t>2022</w:t>
            </w:r>
          </w:p>
        </w:tc>
        <w:tc>
          <w:tcPr>
            <w:tcW w:w="3780" w:type="dxa"/>
            <w:gridSpan w:val="5"/>
            <w:tcBorders>
              <w:top w:val="nil"/>
              <w:left w:val="single" w:sz="4" w:space="0" w:color="auto"/>
              <w:bottom w:val="single" w:sz="4" w:space="0" w:color="auto"/>
            </w:tcBorders>
            <w:shd w:val="clear" w:color="auto" w:fill="auto"/>
            <w:vAlign w:val="center"/>
          </w:tcPr>
          <w:p w:rsidR="0039135B" w:rsidRPr="008245E8" w:rsidRDefault="0039135B" w:rsidP="00B02E3D">
            <w:pPr>
              <w:rPr>
                <w:b/>
                <w:bCs/>
                <w:color w:val="auto"/>
                <w:szCs w:val="16"/>
              </w:rPr>
            </w:pPr>
            <w:r>
              <w:rPr>
                <w:b/>
                <w:bCs/>
                <w:color w:val="auto"/>
                <w:szCs w:val="16"/>
              </w:rPr>
              <w:t>2023</w:t>
            </w:r>
          </w:p>
        </w:tc>
      </w:tr>
      <w:tr w:rsidR="0039135B" w:rsidRPr="008245E8" w:rsidTr="00D801EF">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39135B" w:rsidRPr="008245E8" w:rsidRDefault="0039135B" w:rsidP="0039135B">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9135B" w:rsidRPr="006619BF" w:rsidRDefault="0039135B" w:rsidP="0039135B">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9135B" w:rsidRPr="006619BF" w:rsidRDefault="0039135B" w:rsidP="0039135B">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9135B" w:rsidRPr="006619BF" w:rsidRDefault="0039135B" w:rsidP="0039135B">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proofErr w:type="spellStart"/>
            <w:r>
              <w:rPr>
                <w:b/>
                <w:color w:val="auto"/>
                <w:sz w:val="14"/>
                <w:szCs w:val="14"/>
              </w:rPr>
              <w:t>May</w:t>
            </w:r>
            <w:r w:rsidRPr="00EE7E19">
              <w:rPr>
                <w:b/>
                <w:color w:val="auto"/>
                <w:sz w:val="14"/>
                <w:szCs w:val="14"/>
                <w:vertAlign w:val="superscript"/>
              </w:rPr>
              <w:t>P</w:t>
            </w:r>
            <w:proofErr w:type="spellEnd"/>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color w:val="auto"/>
                <w:sz w:val="14"/>
                <w:szCs w:val="14"/>
              </w:rPr>
            </w:pPr>
            <w:r w:rsidRPr="00250281">
              <w:rPr>
                <w:rFonts w:asciiTheme="majorBidi" w:hAnsiTheme="majorBidi" w:cstheme="majorBidi"/>
                <w:b/>
                <w:bCs/>
                <w:sz w:val="14"/>
                <w:szCs w:val="14"/>
              </w:rPr>
              <w:t>(295,496)</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color w:val="auto"/>
                <w:sz w:val="14"/>
                <w:szCs w:val="14"/>
              </w:rPr>
            </w:pPr>
            <w:r w:rsidRPr="00471552">
              <w:rPr>
                <w:rFonts w:asciiTheme="majorBidi" w:hAnsiTheme="majorBidi" w:cstheme="majorBidi"/>
                <w:b/>
                <w:bCs/>
                <w:sz w:val="14"/>
                <w:szCs w:val="14"/>
              </w:rPr>
              <w:t>(352,117)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(532,775)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(605,091)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(626,452)</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(701,369)</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color w:val="auto"/>
                <w:sz w:val="14"/>
                <w:szCs w:val="14"/>
              </w:rPr>
            </w:pPr>
            <w:r w:rsidRPr="00071D6E">
              <w:rPr>
                <w:rFonts w:asciiTheme="majorBidi" w:hAnsiTheme="majorBidi" w:cstheme="majorBidi"/>
                <w:b/>
                <w:bCs/>
                <w:sz w:val="14"/>
                <w:szCs w:val="14"/>
              </w:rPr>
              <w:t>(675,289)</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874,257</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790,622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912,558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867,685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1,124,334</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1,126,835</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1,158,554</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68,527</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66,843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62,399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67,065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79,413</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79,299</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82,471</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286,825</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210,193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330,299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290,893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456,983</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484,295</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494,353</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258,300</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254,005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198,749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205,859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222,177</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222,933</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217,516</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7,289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1,727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14,759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12,582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27,280</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12,788</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27,293</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1,069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2,462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15,348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2,185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3,165</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1,325</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961</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f)Shares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243,797</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247,199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280,741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278,854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307,795</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315,132</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324,785</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8,450</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8,193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10,263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10,247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27,520</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11,062</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11,175</w:t>
            </w:r>
          </w:p>
        </w:tc>
      </w:tr>
      <w:tr w:rsidR="00471552" w:rsidRPr="00F84AE3"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1,169,754</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1,142,739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1,445,333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1,472,776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1,750,786</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1,828,204</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1,833,844</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612,902</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566,096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679,026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689,553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726,009</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719,078</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729,354</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543,023</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561,990</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731,120</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758,648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999,869</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1,063,312</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1,057,514</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2,067</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14,366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2,829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2,386</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1,306</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2,615</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11,762</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11,788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20,820</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21,747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22,522</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44,508</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44,361</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2,178,580</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2,134,704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1,940,758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2,068,804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2,835,802</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2,323,720</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2,425,887</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436,373</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421,066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439,708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455,503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501,082</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609,519</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493,092</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1,236,569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1,697,537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1,457,032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1,536,425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1,302,779</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1,686,832</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1,851,841</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505,638</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16,101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44,019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76,876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1,031,941</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27,369</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80,954</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15,183,918</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13,310,993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17,653,351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17,419,166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18,211,804</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19,637,703</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20,266,060</w:t>
            </w:r>
          </w:p>
        </w:tc>
      </w:tr>
      <w:tr w:rsidR="00471552" w:rsidRPr="00FD125D"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15,694,412</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13,735,607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18,315,853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18,122,186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18,971,593</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20,245,459</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20,733,274</w:t>
            </w:r>
          </w:p>
        </w:tc>
      </w:tr>
      <w:tr w:rsidR="00471552" w:rsidRPr="00FD125D"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17,769,271</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15,716,422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20,767,942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20,466,916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21,308,262</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22,550,566</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23,082,744</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17,331,683</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15,275,334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20,174,161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19,885,533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20,416,247</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21,487,565</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21,967,577</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437,588</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441,088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593,781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581,383</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892,015</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1,063,001</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1,115,167</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1,980,815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2,452,089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2,344,731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2,336,669</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2,305,107</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2,349,470</w:t>
            </w:r>
          </w:p>
        </w:tc>
      </w:tr>
      <w:tr w:rsidR="00471552" w:rsidRPr="00A10119"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1,980,815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2,452,089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2,344,731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2,336,669</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2,305,107</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2,349,470</w:t>
            </w:r>
          </w:p>
        </w:tc>
      </w:tr>
      <w:tr w:rsidR="00471552" w:rsidRPr="00A10119"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(510,493)</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(424,614)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(662,502)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(703,019)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(759,789)</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(607,756)</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(467,214)</w:t>
            </w:r>
          </w:p>
        </w:tc>
      </w:tr>
      <w:tr w:rsidR="00471552" w:rsidRPr="008245E8" w:rsidTr="00471552">
        <w:trPr>
          <w:trHeight w:val="273"/>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840,407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655,122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637,632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595,680</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731,246</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874,902</w:t>
            </w:r>
          </w:p>
        </w:tc>
      </w:tr>
      <w:tr w:rsidR="00471552" w:rsidRPr="00A10119"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Pr>
                <w:rFonts w:asciiTheme="majorBidi" w:hAnsiTheme="majorBidi" w:cstheme="majorBidi"/>
                <w:sz w:val="14"/>
                <w:szCs w:val="14"/>
              </w:rPr>
              <w:t>-</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840,407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655,122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637,632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595,680</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731,246</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874,901</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1,307,782</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1,265,021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1,317,624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1,340,651</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1,355,468</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1,339,002</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1,342,116</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1,306,355</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1,263,747</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1,313,972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1,336,975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1,351,671</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1,330,052</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1,330,083</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1,427</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1,275</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3,652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3,676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3,797</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8,949</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12,033</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b/>
                <w:bCs/>
                <w:sz w:val="14"/>
                <w:szCs w:val="14"/>
              </w:rPr>
            </w:pPr>
            <w:r w:rsidRPr="00250281">
              <w:rPr>
                <w:rFonts w:asciiTheme="majorBidi" w:hAnsiTheme="majorBidi" w:cstheme="majorBidi"/>
                <w:b/>
                <w:bCs/>
                <w:sz w:val="14"/>
                <w:szCs w:val="14"/>
              </w:rPr>
              <w:t>11,057,929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b/>
                <w:bCs/>
                <w:sz w:val="14"/>
                <w:szCs w:val="14"/>
              </w:rPr>
            </w:pPr>
            <w:r w:rsidRPr="00471552">
              <w:rPr>
                <w:rFonts w:asciiTheme="majorBidi" w:hAnsiTheme="majorBidi" w:cstheme="majorBidi"/>
                <w:b/>
                <w:bCs/>
                <w:sz w:val="14"/>
                <w:szCs w:val="14"/>
              </w:rPr>
              <w:t>10,898,302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11,739,220</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11,875,844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11,915,089</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b/>
                <w:bCs/>
                <w:sz w:val="14"/>
                <w:szCs w:val="14"/>
              </w:rPr>
            </w:pPr>
            <w:r w:rsidRPr="00EE7E19">
              <w:rPr>
                <w:rFonts w:asciiTheme="majorBidi" w:hAnsiTheme="majorBidi" w:cstheme="majorBidi"/>
                <w:b/>
                <w:bCs/>
                <w:sz w:val="14"/>
                <w:szCs w:val="14"/>
              </w:rPr>
              <w:t>11,879,524</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b/>
                <w:bCs/>
                <w:sz w:val="14"/>
                <w:szCs w:val="14"/>
              </w:rPr>
            </w:pPr>
            <w:r w:rsidRPr="00071D6E">
              <w:rPr>
                <w:rFonts w:asciiTheme="majorBidi" w:hAnsiTheme="majorBidi" w:cstheme="majorBidi"/>
                <w:b/>
                <w:bCs/>
                <w:sz w:val="14"/>
                <w:szCs w:val="14"/>
              </w:rPr>
              <w:t>11,772,364</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185,934</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165,744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199,550</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198,386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222,586</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189,066</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210,626</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1,740,039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1,758,469</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1,946,288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2,054,658</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2,104,562</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2,194,013</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2,214,233</w:t>
            </w:r>
          </w:p>
        </w:tc>
      </w:tr>
      <w:tr w:rsidR="00471552" w:rsidRPr="008245E8" w:rsidTr="00471552">
        <w:trPr>
          <w:trHeight w:val="245"/>
        </w:trPr>
        <w:tc>
          <w:tcPr>
            <w:tcW w:w="2928" w:type="dxa"/>
            <w:tcBorders>
              <w:top w:val="nil"/>
              <w:left w:val="nil"/>
              <w:bottom w:val="nil"/>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7,315,249</w:t>
            </w:r>
          </w:p>
        </w:tc>
        <w:tc>
          <w:tcPr>
            <w:tcW w:w="838" w:type="dxa"/>
            <w:tcBorders>
              <w:top w:val="nil"/>
              <w:left w:val="nil"/>
              <w:bottom w:val="nil"/>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7,216,642</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7,698,164</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7,747,446</w:t>
            </w:r>
          </w:p>
        </w:tc>
        <w:tc>
          <w:tcPr>
            <w:tcW w:w="72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7,713,828</w:t>
            </w:r>
          </w:p>
        </w:tc>
        <w:tc>
          <w:tcPr>
            <w:tcW w:w="810" w:type="dxa"/>
            <w:tcBorders>
              <w:top w:val="nil"/>
              <w:left w:val="nil"/>
              <w:bottom w:val="nil"/>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7,645,594</w:t>
            </w:r>
          </w:p>
        </w:tc>
        <w:tc>
          <w:tcPr>
            <w:tcW w:w="810" w:type="dxa"/>
            <w:tcBorders>
              <w:top w:val="nil"/>
              <w:left w:val="nil"/>
              <w:bottom w:val="nil"/>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7,500,229</w:t>
            </w:r>
          </w:p>
        </w:tc>
      </w:tr>
      <w:tr w:rsidR="00471552" w:rsidRPr="008245E8" w:rsidTr="00471552">
        <w:trPr>
          <w:trHeight w:val="245"/>
        </w:trPr>
        <w:tc>
          <w:tcPr>
            <w:tcW w:w="2928" w:type="dxa"/>
            <w:tcBorders>
              <w:top w:val="nil"/>
              <w:left w:val="nil"/>
              <w:bottom w:val="single" w:sz="12" w:space="0" w:color="auto"/>
              <w:right w:val="nil"/>
            </w:tcBorders>
            <w:shd w:val="clear" w:color="auto" w:fill="auto"/>
            <w:noWrap/>
            <w:vAlign w:val="center"/>
            <w:hideMark/>
          </w:tcPr>
          <w:p w:rsidR="00471552" w:rsidRPr="008245E8" w:rsidRDefault="00471552" w:rsidP="00471552">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471552" w:rsidRPr="00E14675" w:rsidRDefault="00471552" w:rsidP="00471552">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471552" w:rsidRPr="00250281" w:rsidRDefault="00471552" w:rsidP="00471552">
            <w:pPr>
              <w:jc w:val="right"/>
              <w:rPr>
                <w:rFonts w:asciiTheme="majorBidi" w:hAnsiTheme="majorBidi" w:cstheme="majorBidi"/>
                <w:sz w:val="14"/>
                <w:szCs w:val="14"/>
              </w:rPr>
            </w:pPr>
            <w:r w:rsidRPr="00250281">
              <w:rPr>
                <w:rFonts w:asciiTheme="majorBidi" w:hAnsiTheme="majorBidi" w:cstheme="majorBidi"/>
                <w:sz w:val="14"/>
                <w:szCs w:val="14"/>
              </w:rPr>
              <w:t>1,816,707</w:t>
            </w:r>
          </w:p>
        </w:tc>
        <w:tc>
          <w:tcPr>
            <w:tcW w:w="838" w:type="dxa"/>
            <w:tcBorders>
              <w:top w:val="nil"/>
              <w:left w:val="nil"/>
              <w:bottom w:val="single" w:sz="12" w:space="0" w:color="auto"/>
              <w:right w:val="nil"/>
            </w:tcBorders>
            <w:shd w:val="clear" w:color="auto" w:fill="auto"/>
            <w:tcMar>
              <w:left w:w="43" w:type="dxa"/>
              <w:right w:w="43" w:type="dxa"/>
            </w:tcMar>
            <w:vAlign w:val="center"/>
          </w:tcPr>
          <w:p w:rsidR="00471552" w:rsidRPr="00471552" w:rsidRDefault="00471552" w:rsidP="00471552">
            <w:pPr>
              <w:jc w:val="right"/>
              <w:rPr>
                <w:rFonts w:asciiTheme="majorBidi" w:hAnsiTheme="majorBidi" w:cstheme="majorBidi"/>
                <w:sz w:val="14"/>
                <w:szCs w:val="14"/>
              </w:rPr>
            </w:pPr>
            <w:r w:rsidRPr="00471552">
              <w:rPr>
                <w:rFonts w:asciiTheme="majorBidi" w:hAnsiTheme="majorBidi" w:cstheme="majorBidi"/>
                <w:sz w:val="14"/>
                <w:szCs w:val="14"/>
              </w:rPr>
              <w:t>1,757,447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1,895,218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1,875,355</w:t>
            </w:r>
          </w:p>
        </w:tc>
        <w:tc>
          <w:tcPr>
            <w:tcW w:w="720" w:type="dxa"/>
            <w:tcBorders>
              <w:top w:val="nil"/>
              <w:left w:val="nil"/>
              <w:bottom w:val="single" w:sz="12" w:space="0" w:color="auto"/>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1,874,112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471552" w:rsidRPr="00EE7E19" w:rsidRDefault="00471552" w:rsidP="00471552">
            <w:pPr>
              <w:jc w:val="right"/>
              <w:rPr>
                <w:rFonts w:asciiTheme="majorBidi" w:hAnsiTheme="majorBidi" w:cstheme="majorBidi"/>
                <w:sz w:val="14"/>
                <w:szCs w:val="14"/>
              </w:rPr>
            </w:pPr>
            <w:r w:rsidRPr="00EE7E19">
              <w:rPr>
                <w:rFonts w:asciiTheme="majorBidi" w:hAnsiTheme="majorBidi" w:cstheme="majorBidi"/>
                <w:sz w:val="14"/>
                <w:szCs w:val="14"/>
              </w:rPr>
              <w:t>1,850,851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471552" w:rsidRPr="00071D6E" w:rsidRDefault="00471552" w:rsidP="00471552">
            <w:pPr>
              <w:jc w:val="right"/>
              <w:rPr>
                <w:rFonts w:asciiTheme="majorBidi" w:hAnsiTheme="majorBidi" w:cstheme="majorBidi"/>
                <w:sz w:val="14"/>
                <w:szCs w:val="14"/>
              </w:rPr>
            </w:pPr>
            <w:r w:rsidRPr="00071D6E">
              <w:rPr>
                <w:rFonts w:asciiTheme="majorBidi" w:hAnsiTheme="majorBidi" w:cstheme="majorBidi"/>
                <w:sz w:val="14"/>
                <w:szCs w:val="14"/>
              </w:rPr>
              <w:t>1,847,277</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F45BA3">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F45BA3">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39135B" w:rsidRPr="00E5171C" w:rsidTr="00071D6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9135B" w:rsidRPr="00E5171C" w:rsidRDefault="0039135B"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39135B" w:rsidRPr="002D5FD9" w:rsidRDefault="0039135B"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39135B" w:rsidRPr="002D5FD9" w:rsidRDefault="0039135B"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39135B" w:rsidRPr="002D5FD9" w:rsidRDefault="0039135B" w:rsidP="00B02E3D">
            <w:pPr>
              <w:jc w:val="right"/>
              <w:rPr>
                <w:b/>
                <w:bCs/>
                <w:szCs w:val="16"/>
              </w:rPr>
            </w:pPr>
            <w:r>
              <w:rPr>
                <w:b/>
                <w:bCs/>
                <w:szCs w:val="16"/>
              </w:rPr>
              <w:t xml:space="preserve">FY22 </w:t>
            </w:r>
          </w:p>
        </w:tc>
        <w:tc>
          <w:tcPr>
            <w:tcW w:w="792" w:type="dxa"/>
            <w:tcBorders>
              <w:top w:val="nil"/>
              <w:left w:val="single" w:sz="4" w:space="0" w:color="auto"/>
              <w:bottom w:val="single" w:sz="4" w:space="0" w:color="auto"/>
            </w:tcBorders>
            <w:shd w:val="clear" w:color="auto" w:fill="auto"/>
            <w:vAlign w:val="center"/>
          </w:tcPr>
          <w:p w:rsidR="0039135B" w:rsidRPr="00E5171C" w:rsidRDefault="0039135B" w:rsidP="00B02E3D">
            <w:pPr>
              <w:rPr>
                <w:b/>
                <w:bCs/>
                <w:color w:val="auto"/>
                <w:szCs w:val="16"/>
              </w:rPr>
            </w:pPr>
            <w:r>
              <w:rPr>
                <w:b/>
                <w:bCs/>
                <w:color w:val="auto"/>
                <w:szCs w:val="16"/>
              </w:rPr>
              <w:t>2022</w:t>
            </w:r>
          </w:p>
        </w:tc>
        <w:tc>
          <w:tcPr>
            <w:tcW w:w="3870" w:type="dxa"/>
            <w:gridSpan w:val="5"/>
            <w:tcBorders>
              <w:top w:val="nil"/>
              <w:left w:val="single" w:sz="4" w:space="0" w:color="auto"/>
              <w:bottom w:val="single" w:sz="4" w:space="0" w:color="auto"/>
            </w:tcBorders>
            <w:shd w:val="clear" w:color="auto" w:fill="auto"/>
            <w:vAlign w:val="center"/>
          </w:tcPr>
          <w:p w:rsidR="0039135B" w:rsidRPr="00E5171C" w:rsidRDefault="0039135B" w:rsidP="00B02E3D">
            <w:pPr>
              <w:rPr>
                <w:b/>
                <w:bCs/>
                <w:color w:val="auto"/>
                <w:szCs w:val="16"/>
              </w:rPr>
            </w:pPr>
            <w:r>
              <w:rPr>
                <w:b/>
                <w:bCs/>
                <w:color w:val="auto"/>
                <w:szCs w:val="16"/>
              </w:rPr>
              <w:t>2023</w:t>
            </w:r>
          </w:p>
        </w:tc>
      </w:tr>
      <w:tr w:rsidR="0039135B" w:rsidRPr="00E5171C" w:rsidTr="00D801EF">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9135B" w:rsidRPr="00E5171C" w:rsidRDefault="0039135B" w:rsidP="0039135B">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9135B" w:rsidRPr="006619BF" w:rsidRDefault="0039135B" w:rsidP="0039135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9135B" w:rsidRPr="006619BF" w:rsidRDefault="0039135B" w:rsidP="0039135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9135B" w:rsidRPr="006619BF" w:rsidRDefault="0039135B" w:rsidP="0039135B">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9135B" w:rsidRPr="00F24512" w:rsidRDefault="0039135B" w:rsidP="0039135B">
            <w:pPr>
              <w:jc w:val="right"/>
              <w:rPr>
                <w:b/>
                <w:color w:val="auto"/>
                <w:sz w:val="14"/>
                <w:szCs w:val="14"/>
              </w:rPr>
            </w:pPr>
            <w:proofErr w:type="spellStart"/>
            <w:r>
              <w:rPr>
                <w:b/>
                <w:color w:val="auto"/>
                <w:sz w:val="14"/>
                <w:szCs w:val="14"/>
              </w:rPr>
              <w:t>May</w:t>
            </w:r>
            <w:r w:rsidRPr="00EE7E19">
              <w:rPr>
                <w:b/>
                <w:color w:val="auto"/>
                <w:sz w:val="14"/>
                <w:szCs w:val="14"/>
                <w:vertAlign w:val="superscript"/>
              </w:rPr>
              <w:t>P</w:t>
            </w:r>
            <w:proofErr w:type="spellEnd"/>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6,151,771</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color w:val="auto"/>
                <w:sz w:val="14"/>
                <w:szCs w:val="14"/>
              </w:rPr>
            </w:pPr>
            <w:r w:rsidRPr="002E0727">
              <w:rPr>
                <w:rFonts w:asciiTheme="majorBidi" w:hAnsiTheme="majorBidi" w:cstheme="majorBidi"/>
                <w:b/>
                <w:bCs/>
                <w:sz w:val="14"/>
                <w:szCs w:val="14"/>
              </w:rPr>
              <w:t>5,331,987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8,084,303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7,805,075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8,913,670</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9,699,907</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color w:val="auto"/>
                <w:sz w:val="14"/>
                <w:szCs w:val="14"/>
              </w:rPr>
            </w:pPr>
            <w:r w:rsidRPr="00071D6E">
              <w:rPr>
                <w:rFonts w:asciiTheme="majorBidi" w:hAnsiTheme="majorBidi" w:cstheme="majorBidi"/>
                <w:b/>
                <w:bCs/>
                <w:sz w:val="14"/>
                <w:szCs w:val="14"/>
              </w:rPr>
              <w:t>9,331,521</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19,219,033</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18,023,002</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19,466,565</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19,874,968</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20,459,182</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20,467,692</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21,270,489</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1)Transferable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14,599,162</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13,858,174</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14,987,747</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15,146,732</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15,818,406</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15,854,931</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16,446,927</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569,937</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516,936</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477,245</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430,402</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545,543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479,158</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407,573</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644,922</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633,023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618,910</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595,777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634,434</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708,910</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691,519</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4,439,247</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3,981,297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4,576,341</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4,705,026</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4,893,391</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4,728,171</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5,063,297</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8,945,057</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8,726,918</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9,315,250</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9,415,527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9,745,039</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9,938,692</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10,284,538</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2)Other deposits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4,619,870</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4,164,828</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4,478,818</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4,728,237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4,640,776</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4,612,761</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4,823,562</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145,521</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104,080</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139,706</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128,007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137,250</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137,181</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142,587</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804,664</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787,943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670,416</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761,325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723,227</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709,766</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760,568</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1,430,618</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1,192,110</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1,278,339</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1,381,581</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1,260,696</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1,329,937</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1,426,714</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2,239,067</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2,080,695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2,390,358</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2,457,324</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2,519,603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2,435,876</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2,493,693</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43,736</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55,464</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57,376</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57,221</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56,655</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57,291</w:t>
            </w:r>
          </w:p>
        </w:tc>
      </w:tr>
      <w:tr w:rsidR="002E0727" w:rsidRPr="00A61DDD" w:rsidTr="002E0727">
        <w:trPr>
          <w:trHeight w:val="245"/>
        </w:trPr>
        <w:tc>
          <w:tcPr>
            <w:tcW w:w="3076" w:type="dxa"/>
            <w:tcBorders>
              <w:top w:val="nil"/>
              <w:left w:val="nil"/>
              <w:bottom w:val="nil"/>
              <w:right w:val="nil"/>
            </w:tcBorders>
            <w:shd w:val="clear" w:color="auto" w:fill="auto"/>
            <w:vAlign w:val="center"/>
            <w:hideMark/>
          </w:tcPr>
          <w:p w:rsidR="002E0727" w:rsidRPr="00E5171C" w:rsidRDefault="002E0727" w:rsidP="002E0727">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27,285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30,651</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36,324</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36,173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35,665</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35,935</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56,119</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62,963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145,672</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136,698</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110,173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117,398</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97,795</w:t>
            </w:r>
          </w:p>
        </w:tc>
      </w:tr>
      <w:tr w:rsidR="002E0727" w:rsidRPr="00B74CE4" w:rsidTr="002E0727">
        <w:trPr>
          <w:trHeight w:val="243"/>
        </w:trPr>
        <w:tc>
          <w:tcPr>
            <w:tcW w:w="3076" w:type="dxa"/>
            <w:tcBorders>
              <w:top w:val="nil"/>
              <w:left w:val="nil"/>
              <w:bottom w:val="nil"/>
              <w:right w:val="nil"/>
            </w:tcBorders>
            <w:shd w:val="clear" w:color="auto" w:fill="auto"/>
            <w:vAlign w:val="center"/>
            <w:hideMark/>
          </w:tcPr>
          <w:p w:rsidR="002E0727" w:rsidRPr="00E5171C" w:rsidRDefault="002E0727" w:rsidP="002E072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2E0727" w:rsidRPr="00250281" w:rsidRDefault="002E0727" w:rsidP="002E0727">
            <w:pPr>
              <w:jc w:val="right"/>
              <w:rPr>
                <w:rFonts w:asciiTheme="majorBidi" w:hAnsiTheme="majorBidi" w:cstheme="majorBidi"/>
                <w:i/>
                <w:iCs/>
                <w:sz w:val="14"/>
                <w:szCs w:val="14"/>
              </w:rPr>
            </w:pPr>
            <w:r w:rsidRPr="00250281">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i/>
                <w:iCs/>
                <w:sz w:val="14"/>
                <w:szCs w:val="14"/>
              </w:rPr>
            </w:pPr>
            <w:r w:rsidRPr="00300634">
              <w:rPr>
                <w:rFonts w:asciiTheme="majorBidi" w:hAnsiTheme="majorBidi" w:cstheme="majorBidi"/>
                <w:i/>
                <w:iCs/>
                <w:sz w:val="14"/>
                <w:szCs w:val="14"/>
              </w:rPr>
              <w:t>47,313</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54,132</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118,216</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109,230</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96,885</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84,612</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84,487</w:t>
            </w:r>
          </w:p>
        </w:tc>
      </w:tr>
      <w:tr w:rsidR="002E0727" w:rsidRPr="00DA7CC5"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10,619</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22,753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20,315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24,148</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23,540</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23,575</w:t>
            </w:r>
          </w:p>
        </w:tc>
      </w:tr>
      <w:tr w:rsidR="002E0727" w:rsidRPr="00E5171C" w:rsidTr="002E0727">
        <w:trPr>
          <w:trHeight w:val="245"/>
        </w:trPr>
        <w:tc>
          <w:tcPr>
            <w:tcW w:w="3076" w:type="dxa"/>
            <w:tcBorders>
              <w:top w:val="nil"/>
              <w:left w:val="nil"/>
              <w:bottom w:val="nil"/>
              <w:right w:val="nil"/>
            </w:tcBorders>
            <w:shd w:val="clear" w:color="auto" w:fill="auto"/>
            <w:vAlign w:val="center"/>
            <w:hideMark/>
          </w:tcPr>
          <w:p w:rsidR="002E0727" w:rsidRPr="00E5171C" w:rsidRDefault="002E0727" w:rsidP="002E072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DA7CC5"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68</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19</w:t>
            </w:r>
          </w:p>
        </w:tc>
      </w:tr>
      <w:tr w:rsidR="002E0727" w:rsidRPr="00A61DDD" w:rsidTr="002E0727">
        <w:trPr>
          <w:trHeight w:val="245"/>
        </w:trPr>
        <w:tc>
          <w:tcPr>
            <w:tcW w:w="3076" w:type="dxa"/>
            <w:tcBorders>
              <w:top w:val="nil"/>
              <w:left w:val="nil"/>
              <w:bottom w:val="nil"/>
              <w:right w:val="nil"/>
            </w:tcBorders>
            <w:shd w:val="clear" w:color="auto" w:fill="auto"/>
            <w:vAlign w:val="center"/>
            <w:hideMark/>
          </w:tcPr>
          <w:p w:rsidR="002E0727" w:rsidRPr="00E5171C" w:rsidRDefault="002E0727" w:rsidP="002E072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b/>
                <w:bCs/>
                <w:sz w:val="14"/>
                <w:szCs w:val="14"/>
              </w:rPr>
            </w:pPr>
            <w:r w:rsidRPr="00300634">
              <w:rPr>
                <w:rFonts w:asciiTheme="majorBidi" w:hAnsiTheme="majorBidi" w:cstheme="majorBidi"/>
                <w:b/>
                <w:bCs/>
                <w:sz w:val="14"/>
                <w:szCs w:val="14"/>
              </w:rPr>
              <w:t>2,216,686</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2,184,542</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2,465,573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2,391,105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2,426,039</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2,477,974</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2,573,838</w:t>
            </w:r>
          </w:p>
        </w:tc>
      </w:tr>
      <w:tr w:rsidR="002E0727" w:rsidRPr="00A263BA"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685,935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759,282</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756,147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755,661</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772,710</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775,973</w:t>
            </w:r>
          </w:p>
        </w:tc>
      </w:tr>
      <w:tr w:rsidR="002E0727" w:rsidRPr="00A263BA"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820,964</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785,853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947,823</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951,327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946,346</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962,483</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1,008,546</w:t>
            </w:r>
          </w:p>
        </w:tc>
      </w:tr>
      <w:tr w:rsidR="002E0727" w:rsidRPr="00A263BA"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621,961</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617,936</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636,187</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620,685</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650,734</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660,917</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679,825</w:t>
            </w:r>
          </w:p>
        </w:tc>
      </w:tr>
      <w:tr w:rsidR="002E0727" w:rsidRPr="00A263BA"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2E0727" w:rsidRPr="00300634" w:rsidRDefault="002E0727" w:rsidP="002E0727">
            <w:pPr>
              <w:jc w:val="right"/>
              <w:rPr>
                <w:rFonts w:asciiTheme="majorBidi" w:hAnsiTheme="majorBidi" w:cstheme="majorBidi"/>
                <w:sz w:val="14"/>
                <w:szCs w:val="14"/>
              </w:rPr>
            </w:pPr>
            <w:r w:rsidRPr="00300634">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94,817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122,282</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62,946</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73,298</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sz w:val="14"/>
                <w:szCs w:val="14"/>
              </w:rPr>
            </w:pPr>
            <w:r w:rsidRPr="00EE7E19">
              <w:rPr>
                <w:rFonts w:asciiTheme="majorBidi" w:hAnsiTheme="majorBidi" w:cstheme="majorBidi"/>
                <w:sz w:val="14"/>
                <w:szCs w:val="14"/>
              </w:rPr>
              <w:t>81,863</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109,495</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2E0727" w:rsidRPr="00E14675" w:rsidRDefault="002E0727" w:rsidP="002E0727">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426,519</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335,056</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560,242</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473,202</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345,830</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296,478</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434,532</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2E0727" w:rsidRPr="00250281" w:rsidRDefault="002E0727" w:rsidP="002E0727">
            <w:pPr>
              <w:jc w:val="right"/>
              <w:rPr>
                <w:rFonts w:asciiTheme="majorBidi" w:hAnsiTheme="majorBidi" w:cstheme="majorBidi"/>
                <w:b/>
                <w:bCs/>
                <w:sz w:val="14"/>
                <w:szCs w:val="14"/>
              </w:rPr>
            </w:pPr>
            <w:r w:rsidRPr="00250281">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2E0727" w:rsidRPr="00250281" w:rsidRDefault="002E0727" w:rsidP="002E0727">
            <w:pPr>
              <w:jc w:val="right"/>
              <w:rPr>
                <w:rFonts w:asciiTheme="majorBidi" w:hAnsiTheme="majorBidi" w:cstheme="majorBidi"/>
                <w:b/>
                <w:bCs/>
                <w:sz w:val="14"/>
                <w:szCs w:val="14"/>
              </w:rPr>
            </w:pPr>
            <w:r w:rsidRPr="00250281">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2,720,914</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2,605,468</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3,337,377</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3,131,740</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3,226,422</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3,175,282</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3,249,454</w:t>
            </w:r>
          </w:p>
        </w:tc>
      </w:tr>
      <w:tr w:rsidR="002E0727" w:rsidRPr="00E5171C" w:rsidTr="002E0727">
        <w:trPr>
          <w:trHeight w:val="245"/>
        </w:trPr>
        <w:tc>
          <w:tcPr>
            <w:tcW w:w="3076" w:type="dxa"/>
            <w:tcBorders>
              <w:top w:val="nil"/>
              <w:left w:val="nil"/>
              <w:bottom w:val="nil"/>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2E0727" w:rsidRPr="00250281" w:rsidRDefault="002E0727" w:rsidP="002E0727">
            <w:pPr>
              <w:jc w:val="right"/>
              <w:rPr>
                <w:rFonts w:asciiTheme="majorBidi" w:hAnsiTheme="majorBidi" w:cstheme="majorBidi"/>
                <w:b/>
                <w:bCs/>
                <w:sz w:val="14"/>
                <w:szCs w:val="14"/>
              </w:rPr>
            </w:pPr>
            <w:r w:rsidRPr="00250281">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2E0727" w:rsidRPr="00250281" w:rsidRDefault="002E0727" w:rsidP="002E0727">
            <w:pPr>
              <w:jc w:val="right"/>
              <w:rPr>
                <w:rFonts w:asciiTheme="majorBidi" w:hAnsiTheme="majorBidi" w:cstheme="majorBidi"/>
                <w:b/>
                <w:bCs/>
                <w:sz w:val="14"/>
                <w:szCs w:val="14"/>
              </w:rPr>
            </w:pPr>
            <w:r w:rsidRPr="00250281">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2,332,179</w:t>
            </w:r>
          </w:p>
        </w:tc>
        <w:tc>
          <w:tcPr>
            <w:tcW w:w="792" w:type="dxa"/>
            <w:tcBorders>
              <w:top w:val="nil"/>
              <w:left w:val="nil"/>
              <w:bottom w:val="nil"/>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sz w:val="14"/>
                <w:szCs w:val="14"/>
              </w:rPr>
            </w:pPr>
            <w:r w:rsidRPr="002E0727">
              <w:rPr>
                <w:rFonts w:asciiTheme="majorBidi" w:hAnsiTheme="majorBidi" w:cstheme="majorBidi"/>
                <w:sz w:val="14"/>
                <w:szCs w:val="14"/>
              </w:rPr>
              <w:t>2,280,741</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2,725,318</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2,656,107</w:t>
            </w:r>
          </w:p>
        </w:tc>
        <w:tc>
          <w:tcPr>
            <w:tcW w:w="81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2,865,474</w:t>
            </w:r>
          </w:p>
        </w:tc>
        <w:tc>
          <w:tcPr>
            <w:tcW w:w="720" w:type="dxa"/>
            <w:tcBorders>
              <w:top w:val="nil"/>
              <w:left w:val="nil"/>
              <w:bottom w:val="nil"/>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2,841,136</w:t>
            </w:r>
          </w:p>
        </w:tc>
        <w:tc>
          <w:tcPr>
            <w:tcW w:w="810" w:type="dxa"/>
            <w:tcBorders>
              <w:top w:val="nil"/>
              <w:left w:val="nil"/>
              <w:bottom w:val="nil"/>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sz w:val="14"/>
                <w:szCs w:val="14"/>
              </w:rPr>
            </w:pPr>
            <w:r w:rsidRPr="00071D6E">
              <w:rPr>
                <w:rFonts w:asciiTheme="majorBidi" w:hAnsiTheme="majorBidi" w:cstheme="majorBidi"/>
                <w:sz w:val="14"/>
                <w:szCs w:val="14"/>
              </w:rPr>
              <w:t>2,818,029</w:t>
            </w:r>
          </w:p>
        </w:tc>
      </w:tr>
      <w:tr w:rsidR="002E0727" w:rsidRPr="00E5171C" w:rsidTr="002E0727">
        <w:trPr>
          <w:trHeight w:val="245"/>
        </w:trPr>
        <w:tc>
          <w:tcPr>
            <w:tcW w:w="3076" w:type="dxa"/>
            <w:tcBorders>
              <w:top w:val="nil"/>
              <w:left w:val="nil"/>
              <w:bottom w:val="single" w:sz="12" w:space="0" w:color="auto"/>
              <w:right w:val="nil"/>
            </w:tcBorders>
            <w:shd w:val="clear" w:color="auto" w:fill="auto"/>
            <w:noWrap/>
            <w:vAlign w:val="center"/>
            <w:hideMark/>
          </w:tcPr>
          <w:p w:rsidR="002E0727" w:rsidRPr="00E5171C" w:rsidRDefault="002E0727" w:rsidP="002E0727">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2E0727" w:rsidRPr="00250281" w:rsidRDefault="002E0727" w:rsidP="002E0727">
            <w:pPr>
              <w:jc w:val="right"/>
              <w:rPr>
                <w:rFonts w:asciiTheme="majorBidi" w:hAnsiTheme="majorBidi" w:cstheme="majorBidi"/>
                <w:b/>
                <w:bCs/>
                <w:sz w:val="14"/>
                <w:szCs w:val="14"/>
              </w:rPr>
            </w:pPr>
            <w:r w:rsidRPr="00250281">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2E0727" w:rsidRPr="00250281" w:rsidRDefault="002E0727" w:rsidP="002E0727">
            <w:pPr>
              <w:jc w:val="right"/>
              <w:rPr>
                <w:rFonts w:asciiTheme="majorBidi" w:hAnsiTheme="majorBidi" w:cstheme="majorBidi"/>
                <w:b/>
                <w:bCs/>
                <w:sz w:val="14"/>
                <w:szCs w:val="14"/>
              </w:rPr>
            </w:pPr>
            <w:r w:rsidRPr="00250281">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37,784</w:t>
            </w:r>
          </w:p>
        </w:tc>
        <w:tc>
          <w:tcPr>
            <w:tcW w:w="792" w:type="dxa"/>
            <w:tcBorders>
              <w:top w:val="nil"/>
              <w:left w:val="nil"/>
              <w:bottom w:val="single" w:sz="8" w:space="0" w:color="auto"/>
              <w:right w:val="nil"/>
            </w:tcBorders>
            <w:shd w:val="clear" w:color="auto" w:fill="auto"/>
            <w:tcMar>
              <w:left w:w="43" w:type="dxa"/>
              <w:right w:w="43" w:type="dxa"/>
            </w:tcMar>
            <w:vAlign w:val="center"/>
          </w:tcPr>
          <w:p w:rsidR="002E0727" w:rsidRPr="002E0727" w:rsidRDefault="002E0727" w:rsidP="002E0727">
            <w:pPr>
              <w:jc w:val="right"/>
              <w:rPr>
                <w:rFonts w:asciiTheme="majorBidi" w:hAnsiTheme="majorBidi" w:cstheme="majorBidi"/>
                <w:b/>
                <w:bCs/>
                <w:sz w:val="14"/>
                <w:szCs w:val="14"/>
              </w:rPr>
            </w:pPr>
            <w:r w:rsidRPr="002E0727">
              <w:rPr>
                <w:rFonts w:asciiTheme="majorBidi" w:hAnsiTheme="majorBidi" w:cstheme="majorBidi"/>
                <w:b/>
                <w:bCs/>
                <w:sz w:val="14"/>
                <w:szCs w:val="14"/>
              </w:rPr>
              <w:t>10,329</w:t>
            </w:r>
          </w:p>
        </w:tc>
        <w:tc>
          <w:tcPr>
            <w:tcW w:w="810" w:type="dxa"/>
            <w:tcBorders>
              <w:top w:val="nil"/>
              <w:left w:val="nil"/>
              <w:bottom w:val="single" w:sz="4" w:space="0" w:color="auto"/>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(51,816)</w:t>
            </w:r>
          </w:p>
        </w:tc>
        <w:tc>
          <w:tcPr>
            <w:tcW w:w="720" w:type="dxa"/>
            <w:tcBorders>
              <w:top w:val="nil"/>
              <w:left w:val="nil"/>
              <w:bottom w:val="single" w:sz="8" w:space="0" w:color="auto"/>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(2,431)</w:t>
            </w:r>
          </w:p>
        </w:tc>
        <w:tc>
          <w:tcPr>
            <w:tcW w:w="810" w:type="dxa"/>
            <w:tcBorders>
              <w:top w:val="nil"/>
              <w:left w:val="nil"/>
              <w:bottom w:val="single" w:sz="8" w:space="0" w:color="auto"/>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(15,118)</w:t>
            </w:r>
          </w:p>
        </w:tc>
        <w:tc>
          <w:tcPr>
            <w:tcW w:w="720" w:type="dxa"/>
            <w:tcBorders>
              <w:top w:val="nil"/>
              <w:left w:val="nil"/>
              <w:bottom w:val="single" w:sz="8" w:space="0" w:color="auto"/>
              <w:right w:val="nil"/>
            </w:tcBorders>
            <w:shd w:val="clear" w:color="auto" w:fill="auto"/>
            <w:tcMar>
              <w:left w:w="43" w:type="dxa"/>
              <w:right w:w="43" w:type="dxa"/>
            </w:tcMar>
            <w:vAlign w:val="center"/>
          </w:tcPr>
          <w:p w:rsidR="002E0727" w:rsidRPr="00EE7E19" w:rsidRDefault="002E0727" w:rsidP="002E0727">
            <w:pPr>
              <w:jc w:val="right"/>
              <w:rPr>
                <w:rFonts w:asciiTheme="majorBidi" w:hAnsiTheme="majorBidi" w:cstheme="majorBidi"/>
                <w:b/>
                <w:bCs/>
                <w:sz w:val="14"/>
                <w:szCs w:val="14"/>
              </w:rPr>
            </w:pPr>
            <w:r w:rsidRPr="00EE7E19">
              <w:rPr>
                <w:rFonts w:asciiTheme="majorBidi" w:hAnsiTheme="majorBidi" w:cstheme="majorBidi"/>
                <w:b/>
                <w:bCs/>
                <w:sz w:val="14"/>
                <w:szCs w:val="14"/>
              </w:rPr>
              <w:t>(37,669)</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2E0727" w:rsidRPr="00071D6E" w:rsidRDefault="002E0727" w:rsidP="002E0727">
            <w:pPr>
              <w:jc w:val="right"/>
              <w:rPr>
                <w:rFonts w:asciiTheme="majorBidi" w:hAnsiTheme="majorBidi" w:cstheme="majorBidi"/>
                <w:b/>
                <w:bCs/>
                <w:sz w:val="14"/>
                <w:szCs w:val="14"/>
              </w:rPr>
            </w:pPr>
            <w:r w:rsidRPr="00071D6E">
              <w:rPr>
                <w:rFonts w:asciiTheme="majorBidi" w:hAnsiTheme="majorBidi" w:cstheme="majorBidi"/>
                <w:b/>
                <w:bCs/>
                <w:sz w:val="14"/>
                <w:szCs w:val="14"/>
              </w:rPr>
              <w:t>3,107</w:t>
            </w:r>
          </w:p>
        </w:tc>
      </w:tr>
      <w:tr w:rsidR="0039135B" w:rsidRPr="00E5171C" w:rsidTr="00F45BA3">
        <w:trPr>
          <w:trHeight w:val="245"/>
        </w:trPr>
        <w:tc>
          <w:tcPr>
            <w:tcW w:w="10170" w:type="dxa"/>
            <w:gridSpan w:val="10"/>
            <w:tcBorders>
              <w:top w:val="single" w:sz="12" w:space="0" w:color="auto"/>
              <w:left w:val="nil"/>
              <w:bottom w:val="nil"/>
              <w:right w:val="nil"/>
            </w:tcBorders>
            <w:shd w:val="clear" w:color="auto" w:fill="auto"/>
            <w:noWrap/>
            <w:vAlign w:val="center"/>
            <w:hideMark/>
          </w:tcPr>
          <w:p w:rsidR="0039135B" w:rsidRDefault="0039135B" w:rsidP="0039135B">
            <w:pPr>
              <w:jc w:val="right"/>
              <w:rPr>
                <w:b/>
                <w:bCs/>
                <w:color w:val="auto"/>
                <w:sz w:val="14"/>
                <w:szCs w:val="14"/>
              </w:rPr>
            </w:pPr>
            <w:r>
              <w:rPr>
                <w:sz w:val="14"/>
                <w:szCs w:val="14"/>
              </w:rPr>
              <w:t>Source: Core Statistics Department</w:t>
            </w:r>
          </w:p>
          <w:p w:rsidR="0039135B" w:rsidRPr="006A1E59" w:rsidRDefault="0039135B" w:rsidP="0039135B">
            <w:pPr>
              <w:jc w:val="left"/>
              <w:rPr>
                <w:rFonts w:ascii="Calibri" w:hAnsi="Calibri"/>
                <w:sz w:val="14"/>
                <w:szCs w:val="14"/>
              </w:rPr>
            </w:pPr>
            <w:r w:rsidRPr="006A1E59">
              <w:rPr>
                <w:b/>
                <w:bCs/>
                <w:color w:val="auto"/>
                <w:sz w:val="14"/>
                <w:szCs w:val="14"/>
              </w:rPr>
              <w:t>Note:</w:t>
            </w:r>
          </w:p>
        </w:tc>
      </w:tr>
      <w:tr w:rsidR="0039135B" w:rsidRPr="00E5171C" w:rsidTr="00F45BA3">
        <w:trPr>
          <w:trHeight w:val="1413"/>
        </w:trPr>
        <w:tc>
          <w:tcPr>
            <w:tcW w:w="10170" w:type="dxa"/>
            <w:gridSpan w:val="10"/>
            <w:tcBorders>
              <w:top w:val="nil"/>
              <w:left w:val="nil"/>
              <w:bottom w:val="nil"/>
              <w:right w:val="nil"/>
            </w:tcBorders>
            <w:shd w:val="clear" w:color="auto" w:fill="auto"/>
            <w:noWrap/>
            <w:hideMark/>
          </w:tcPr>
          <w:p w:rsidR="0039135B" w:rsidRPr="00A01E8B" w:rsidRDefault="0039135B" w:rsidP="0039135B">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39135B" w:rsidRPr="00A01E8B" w:rsidRDefault="0039135B" w:rsidP="0039135B">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39135B" w:rsidRPr="00A01E8B" w:rsidRDefault="0039135B" w:rsidP="0039135B">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39135B" w:rsidRPr="00A01E8B" w:rsidRDefault="0039135B" w:rsidP="0039135B">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1"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39135B" w:rsidRPr="00A01E8B" w:rsidRDefault="0039135B" w:rsidP="0039135B">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2"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39135B" w:rsidRPr="00A01E8B" w:rsidRDefault="0039135B" w:rsidP="0039135B">
            <w:pPr>
              <w:jc w:val="both"/>
            </w:pPr>
            <w:r w:rsidRPr="00A01E8B">
              <w:rPr>
                <w:rFonts w:asciiTheme="majorBidi" w:hAnsiTheme="majorBidi" w:cstheme="majorBidi"/>
                <w:sz w:val="14"/>
                <w:szCs w:val="14"/>
              </w:rPr>
              <w:t>6. From July, 2019 data on Central and Government Deposits with scheduled banks have been revised.</w:t>
            </w:r>
            <w:r w:rsidR="00C871ED">
              <w:rPr>
                <w:rFonts w:asciiTheme="majorBidi" w:hAnsiTheme="majorBidi" w:cstheme="majorBidi"/>
                <w:sz w:val="14"/>
                <w:szCs w:val="14"/>
              </w:rPr>
              <w:t xml:space="preserve"> </w:t>
            </w:r>
            <w:bookmarkStart w:id="0" w:name="_GoBack"/>
            <w:bookmarkEnd w:id="0"/>
            <w:r w:rsidRPr="00A01E8B">
              <w:rPr>
                <w:rFonts w:asciiTheme="majorBidi" w:hAnsiTheme="majorBidi" w:cstheme="majorBidi"/>
                <w:sz w:val="14"/>
                <w:szCs w:val="14"/>
              </w:rPr>
              <w:t xml:space="preserve">This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39135B" w:rsidRPr="006D1358" w:rsidRDefault="00027DE6" w:rsidP="0039135B">
            <w:pPr>
              <w:jc w:val="both"/>
              <w:rPr>
                <w:color w:val="auto"/>
                <w:sz w:val="14"/>
                <w:szCs w:val="14"/>
              </w:rPr>
            </w:pPr>
            <w:hyperlink r:id="rId13" w:history="1">
              <w:r w:rsidR="0039135B" w:rsidRPr="00A01E8B">
                <w:rPr>
                  <w:rStyle w:val="Hyperlink"/>
                  <w:sz w:val="14"/>
                  <w:szCs w:val="14"/>
                </w:rPr>
                <w:t>http://www.sbp.org.pk/ecodata/MFSM_Other_Depository.pdf</w:t>
              </w:r>
            </w:hyperlink>
            <w:r w:rsidR="0039135B">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590EAC">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590EAC">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39135B" w:rsidRPr="002D5FD9" w:rsidTr="00071D6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39135B" w:rsidRPr="002D5FD9" w:rsidRDefault="0039135B"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39135B" w:rsidRPr="002D5FD9" w:rsidRDefault="0039135B"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39135B" w:rsidRPr="002D5FD9" w:rsidRDefault="0039135B"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39135B" w:rsidRPr="002D5FD9" w:rsidRDefault="0039135B" w:rsidP="00B02E3D">
            <w:pPr>
              <w:jc w:val="right"/>
              <w:rPr>
                <w:b/>
                <w:bCs/>
                <w:szCs w:val="16"/>
              </w:rPr>
            </w:pPr>
            <w:r>
              <w:rPr>
                <w:b/>
                <w:bCs/>
                <w:szCs w:val="16"/>
              </w:rPr>
              <w:t xml:space="preserve">FY22 </w:t>
            </w:r>
          </w:p>
        </w:tc>
        <w:tc>
          <w:tcPr>
            <w:tcW w:w="810" w:type="dxa"/>
            <w:tcBorders>
              <w:top w:val="nil"/>
              <w:left w:val="single" w:sz="4" w:space="0" w:color="auto"/>
              <w:bottom w:val="single" w:sz="4" w:space="0" w:color="auto"/>
            </w:tcBorders>
            <w:shd w:val="clear" w:color="auto" w:fill="auto"/>
            <w:vAlign w:val="center"/>
          </w:tcPr>
          <w:p w:rsidR="0039135B" w:rsidRPr="002D5FD9" w:rsidRDefault="0039135B" w:rsidP="00B02E3D">
            <w:pPr>
              <w:rPr>
                <w:b/>
                <w:bCs/>
                <w:szCs w:val="16"/>
              </w:rPr>
            </w:pPr>
            <w:r>
              <w:rPr>
                <w:b/>
                <w:bCs/>
                <w:szCs w:val="16"/>
              </w:rPr>
              <w:t>2022</w:t>
            </w:r>
          </w:p>
        </w:tc>
        <w:tc>
          <w:tcPr>
            <w:tcW w:w="4055" w:type="dxa"/>
            <w:gridSpan w:val="5"/>
            <w:tcBorders>
              <w:top w:val="nil"/>
              <w:left w:val="single" w:sz="4" w:space="0" w:color="auto"/>
              <w:bottom w:val="single" w:sz="4" w:space="0" w:color="auto"/>
            </w:tcBorders>
            <w:shd w:val="clear" w:color="auto" w:fill="auto"/>
            <w:vAlign w:val="center"/>
          </w:tcPr>
          <w:p w:rsidR="0039135B" w:rsidRPr="002D5FD9" w:rsidRDefault="0039135B" w:rsidP="00B02E3D">
            <w:pPr>
              <w:rPr>
                <w:b/>
                <w:bCs/>
                <w:szCs w:val="16"/>
              </w:rPr>
            </w:pPr>
            <w:r>
              <w:rPr>
                <w:b/>
                <w:bCs/>
                <w:szCs w:val="16"/>
              </w:rPr>
              <w:t>2023</w:t>
            </w:r>
          </w:p>
        </w:tc>
      </w:tr>
      <w:tr w:rsidR="0039135B" w:rsidRPr="00414936" w:rsidTr="00D801EF">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39135B" w:rsidRPr="002D5FD9" w:rsidRDefault="0039135B" w:rsidP="0039135B">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39135B" w:rsidRPr="006619BF" w:rsidRDefault="0039135B" w:rsidP="0039135B">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39135B" w:rsidRPr="006619BF" w:rsidRDefault="0039135B" w:rsidP="0039135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39135B" w:rsidRPr="006619BF" w:rsidRDefault="0039135B" w:rsidP="0039135B">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39135B" w:rsidRPr="00F24512" w:rsidRDefault="0039135B" w:rsidP="0039135B">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vAlign w:val="center"/>
          </w:tcPr>
          <w:p w:rsidR="0039135B" w:rsidRPr="00F24512" w:rsidRDefault="0039135B" w:rsidP="0039135B">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right w:val="single" w:sz="4" w:space="0" w:color="auto"/>
            </w:tcBorders>
            <w:shd w:val="clear" w:color="auto" w:fill="auto"/>
            <w:vAlign w:val="center"/>
          </w:tcPr>
          <w:p w:rsidR="0039135B" w:rsidRPr="00F24512" w:rsidRDefault="0039135B" w:rsidP="0039135B">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vAlign w:val="center"/>
          </w:tcPr>
          <w:p w:rsidR="0039135B" w:rsidRPr="00F24512" w:rsidRDefault="0039135B" w:rsidP="0039135B">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vAlign w:val="center"/>
          </w:tcPr>
          <w:p w:rsidR="0039135B" w:rsidRPr="00F24512" w:rsidRDefault="0039135B" w:rsidP="0039135B">
            <w:pPr>
              <w:jc w:val="right"/>
              <w:rPr>
                <w:b/>
                <w:color w:val="auto"/>
                <w:sz w:val="14"/>
                <w:szCs w:val="14"/>
              </w:rPr>
            </w:pPr>
            <w:r>
              <w:rPr>
                <w:b/>
                <w:color w:val="auto"/>
                <w:sz w:val="14"/>
                <w:szCs w:val="14"/>
              </w:rPr>
              <w:t>Apr</w:t>
            </w:r>
          </w:p>
        </w:tc>
        <w:tc>
          <w:tcPr>
            <w:tcW w:w="815" w:type="dxa"/>
            <w:tcBorders>
              <w:top w:val="single" w:sz="4" w:space="0" w:color="auto"/>
              <w:left w:val="nil"/>
              <w:bottom w:val="single" w:sz="12" w:space="0" w:color="auto"/>
            </w:tcBorders>
            <w:shd w:val="clear" w:color="auto" w:fill="auto"/>
            <w:vAlign w:val="center"/>
          </w:tcPr>
          <w:p w:rsidR="0039135B" w:rsidRPr="00F24512" w:rsidRDefault="0039135B" w:rsidP="0039135B">
            <w:pPr>
              <w:jc w:val="right"/>
              <w:rPr>
                <w:b/>
                <w:color w:val="auto"/>
                <w:sz w:val="14"/>
                <w:szCs w:val="14"/>
              </w:rPr>
            </w:pPr>
            <w:proofErr w:type="spellStart"/>
            <w:r>
              <w:rPr>
                <w:b/>
                <w:color w:val="auto"/>
                <w:sz w:val="14"/>
                <w:szCs w:val="14"/>
              </w:rPr>
              <w:t>May</w:t>
            </w:r>
            <w:r w:rsidRPr="00EE7E19">
              <w:rPr>
                <w:b/>
                <w:color w:val="auto"/>
                <w:sz w:val="14"/>
                <w:szCs w:val="14"/>
                <w:vertAlign w:val="superscript"/>
              </w:rPr>
              <w:t>P</w:t>
            </w:r>
            <w:proofErr w:type="spellEnd"/>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color w:val="auto"/>
                <w:sz w:val="14"/>
                <w:szCs w:val="14"/>
              </w:rPr>
            </w:pPr>
            <w:r>
              <w:rPr>
                <w:rFonts w:asciiTheme="majorBidi" w:hAnsiTheme="majorBidi" w:cstheme="majorBidi"/>
                <w:b/>
                <w:bCs/>
                <w:sz w:val="14"/>
                <w:szCs w:val="14"/>
              </w:rPr>
              <w:t>(</w:t>
            </w:r>
            <w:r w:rsidRPr="0033726A">
              <w:rPr>
                <w:rFonts w:asciiTheme="majorBidi" w:hAnsiTheme="majorBidi" w:cstheme="majorBidi"/>
                <w:b/>
                <w:bCs/>
                <w:sz w:val="14"/>
                <w:szCs w:val="14"/>
              </w:rPr>
              <w:t>288,757</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(1,978,429)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(1,797,650)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(1,688,747)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(1,654,130)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color w:val="auto"/>
                <w:sz w:val="14"/>
                <w:szCs w:val="14"/>
              </w:rPr>
            </w:pPr>
            <w:r w:rsidRPr="00D77862">
              <w:rPr>
                <w:rFonts w:asciiTheme="majorBidi" w:hAnsiTheme="majorBidi" w:cstheme="majorBidi"/>
                <w:b/>
                <w:bCs/>
                <w:sz w:val="14"/>
                <w:szCs w:val="14"/>
              </w:rPr>
              <w:t>(1,838,460)</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4,237,618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3,805,784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3,833,508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4,577,095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4,682,720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4,482,463</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4,526,376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5,784,212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5,631,159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6,265,842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6,336,850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6,320,922</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30,148,164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34,688,583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34,933,508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35,850,135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36,611,445</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37,558,006</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19,219,340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22,903,573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23,006,304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23,872,381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24,661,063</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25,710,592</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20,470,545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24,435,364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24,562,230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25,650,918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26,102,948</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26,797,275</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22,708,540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27,495,208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27,209,557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28,309,166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29,600,772</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30,194,603</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2,237,995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3,059,844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2,647,327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2,658,248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3,497,824</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3,397,328</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Pr>
                <w:rFonts w:asciiTheme="majorBidi" w:hAnsiTheme="majorBidi" w:cstheme="majorBidi"/>
                <w:b/>
                <w:bCs/>
                <w:sz w:val="14"/>
                <w:szCs w:val="14"/>
              </w:rPr>
              <w:t>(</w:t>
            </w:r>
            <w:r w:rsidRPr="0033726A">
              <w:rPr>
                <w:rFonts w:asciiTheme="majorBidi" w:hAnsiTheme="majorBidi" w:cstheme="majorBidi"/>
                <w:b/>
                <w:bCs/>
                <w:sz w:val="14"/>
                <w:szCs w:val="14"/>
              </w:rPr>
              <w:t>1,251,205</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(1,531,791)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(1,555,926)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(1,778,538)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(1,441,885)</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(1,086,683)</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840,703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655,122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660,201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595,680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731,246</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874,902</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2,091,908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2,186,913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2,216,127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2,374,218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2,173,131</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1,961,585</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color w:val="auto"/>
                <w:sz w:val="14"/>
                <w:szCs w:val="14"/>
              </w:rPr>
            </w:pPr>
            <w:r w:rsidRPr="0033726A">
              <w:rPr>
                <w:rFonts w:asciiTheme="majorBidi" w:hAnsiTheme="majorBidi" w:cstheme="majorBidi"/>
                <w:b/>
                <w:bCs/>
                <w:sz w:val="14"/>
                <w:szCs w:val="14"/>
              </w:rPr>
              <w:t>10,928,824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11,785,010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11,927,203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11,977,754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11,950,382</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color w:val="auto"/>
                <w:sz w:val="14"/>
                <w:szCs w:val="14"/>
              </w:rPr>
            </w:pPr>
            <w:r w:rsidRPr="00D77862">
              <w:rPr>
                <w:rFonts w:asciiTheme="majorBidi" w:hAnsiTheme="majorBidi" w:cstheme="majorBidi"/>
                <w:b/>
                <w:bCs/>
                <w:sz w:val="14"/>
                <w:szCs w:val="14"/>
              </w:rPr>
              <w:t>11,847,414</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170,078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213,444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217,542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252,667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227,070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252,760</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1,758,511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1,946,311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2,054,685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2,104,593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2,194,050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2,214,241</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7,216,642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7,698,164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7,747,446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7,713,828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7,645,594</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7,500,229</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1,783,593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1,927,092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1,907,531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1,906,666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1,883,668</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1,880,185</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25,624,878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27,283,454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27,868,464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28,723,317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29,424,220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29,849,647</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7,588,014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7,808,996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7,983,197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8,253,982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8,946,096</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8,568,647</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13,859,768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14,988,923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15,148,041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15,819,597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15,856,169</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16,448,198</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516,951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477,263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430,421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545,572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479,187</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407,600</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633,023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618,910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595,777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634,434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708,910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691,519</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3,981,460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4,576,504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4,705,202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4,893,554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4,728,334</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5,063,476</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8,728,334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9,316,245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9,416,642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9,746,037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9,939,737</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10,285,603</w:t>
            </w:r>
          </w:p>
        </w:tc>
      </w:tr>
      <w:tr w:rsidR="0033726A" w:rsidRPr="00857542" w:rsidTr="0033726A">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4,177,078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4,485,532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4,737,223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4,649,735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4,621,952</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4,832,802</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105,099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141,274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129,309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138,439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138,513</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143,944</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787,943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670,416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761,325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723,227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709,766</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760,568</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1,192,110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1,278,339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1,381,581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1,260,696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1,329,937</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1,426,714</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2,091,926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2,395,504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2,465,008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2,527,373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2,443,735</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2,501,576</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Pr>
                <w:rFonts w:asciiTheme="majorBidi" w:hAnsiTheme="majorBidi" w:cstheme="majorBidi"/>
                <w:b/>
                <w:bCs/>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93,174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100,566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99,650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101,781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107,794</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114,699</w:t>
            </w:r>
          </w:p>
        </w:tc>
      </w:tr>
      <w:tr w:rsidR="0033726A" w:rsidRPr="009A2C87"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43,736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55,464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57,376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57,221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56,655</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57,291</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27,285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30,651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36,324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36,173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35,665</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35,935</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62,963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145,672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136,698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110,173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117,398</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97,795</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54,132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118,216</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109,230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96,885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84,612</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84,487</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10,619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22,753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20,315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24,148</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23,540</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23,575</w:t>
            </w:r>
          </w:p>
        </w:tc>
      </w:tr>
      <w:tr w:rsidR="0033726A" w:rsidRPr="00857542" w:rsidTr="0033726A">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68</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19</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Pr>
                <w:rFonts w:asciiTheme="majorBidi" w:hAnsiTheme="majorBidi" w:cstheme="majorBidi"/>
                <w:sz w:val="14"/>
                <w:szCs w:val="14"/>
              </w:rPr>
              <w:t>-</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3,963,719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4,400,309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4,472,925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4,704,247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4,873,432</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5,188,028</w:t>
            </w:r>
          </w:p>
        </w:tc>
      </w:tr>
      <w:tr w:rsidR="0033726A" w:rsidRPr="00857542"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b/>
                <w:bCs/>
                <w:sz w:val="14"/>
                <w:szCs w:val="14"/>
              </w:rPr>
            </w:pPr>
            <w:r w:rsidRPr="0033726A">
              <w:rPr>
                <w:rFonts w:asciiTheme="majorBidi" w:hAnsiTheme="majorBidi" w:cstheme="majorBidi"/>
                <w:b/>
                <w:bCs/>
                <w:sz w:val="14"/>
                <w:szCs w:val="14"/>
              </w:rPr>
              <w:t>60,360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701,957</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480,449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440,524</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b/>
                <w:bCs/>
                <w:sz w:val="14"/>
                <w:szCs w:val="14"/>
              </w:rPr>
            </w:pPr>
            <w:r w:rsidRPr="00EE7E19">
              <w:rPr>
                <w:rFonts w:asciiTheme="majorBidi" w:hAnsiTheme="majorBidi" w:cstheme="majorBidi"/>
                <w:b/>
                <w:bCs/>
                <w:sz w:val="14"/>
                <w:szCs w:val="14"/>
              </w:rPr>
              <w:t>354,344</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b/>
                <w:bCs/>
                <w:sz w:val="14"/>
                <w:szCs w:val="14"/>
              </w:rPr>
            </w:pPr>
            <w:r w:rsidRPr="00D77862">
              <w:rPr>
                <w:rFonts w:asciiTheme="majorBidi" w:hAnsiTheme="majorBidi" w:cstheme="majorBidi"/>
                <w:b/>
                <w:bCs/>
                <w:sz w:val="14"/>
                <w:szCs w:val="14"/>
              </w:rPr>
              <w:t>388,532</w:t>
            </w:r>
          </w:p>
        </w:tc>
      </w:tr>
      <w:tr w:rsidR="0033726A" w:rsidRPr="009A2C87"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2,785,342</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3,725,029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3,573,450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3,569,585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3,426,341</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3,458,854</w:t>
            </w:r>
          </w:p>
        </w:tc>
      </w:tr>
      <w:tr w:rsidR="0033726A" w:rsidRPr="009A2C87"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sidRPr="0033726A">
              <w:rPr>
                <w:rFonts w:asciiTheme="majorBidi" w:hAnsiTheme="majorBidi" w:cstheme="majorBidi"/>
                <w:sz w:val="14"/>
                <w:szCs w:val="14"/>
              </w:rPr>
              <w:t>2,668,619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2,967,640</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3,006,179</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3,110,825</w:t>
            </w:r>
          </w:p>
        </w:tc>
        <w:tc>
          <w:tcPr>
            <w:tcW w:w="810"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3,068,941</w:t>
            </w:r>
          </w:p>
        </w:tc>
        <w:tc>
          <w:tcPr>
            <w:tcW w:w="815" w:type="dxa"/>
            <w:tcBorders>
              <w:top w:val="nil"/>
              <w:left w:val="nil"/>
              <w:bottom w:val="nil"/>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3,060,654</w:t>
            </w:r>
          </w:p>
        </w:tc>
      </w:tr>
      <w:tr w:rsidR="0033726A" w:rsidRPr="009A2C87" w:rsidTr="0033726A">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3726A" w:rsidRPr="00394727" w:rsidRDefault="0033726A" w:rsidP="0033726A">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33726A" w:rsidRPr="0033726A" w:rsidRDefault="0033726A" w:rsidP="0033726A">
            <w:pPr>
              <w:jc w:val="right"/>
              <w:rPr>
                <w:rFonts w:asciiTheme="majorBidi" w:hAnsiTheme="majorBidi" w:cstheme="majorBidi"/>
                <w:sz w:val="14"/>
                <w:szCs w:val="14"/>
              </w:rPr>
            </w:pPr>
            <w:r>
              <w:rPr>
                <w:rFonts w:asciiTheme="majorBidi" w:hAnsiTheme="majorBidi" w:cstheme="majorBidi"/>
                <w:sz w:val="14"/>
                <w:szCs w:val="14"/>
              </w:rPr>
              <w:t>(</w:t>
            </w:r>
            <w:r w:rsidRPr="0033726A">
              <w:rPr>
                <w:rFonts w:asciiTheme="majorBidi" w:hAnsiTheme="majorBidi" w:cstheme="majorBidi"/>
                <w:sz w:val="14"/>
                <w:szCs w:val="14"/>
              </w:rPr>
              <w:t>56,364</w:t>
            </w:r>
            <w:r>
              <w:rPr>
                <w:rFonts w:asciiTheme="majorBidi" w:hAnsiTheme="majorBidi" w:cstheme="majorBidi"/>
                <w:sz w:val="14"/>
                <w:szCs w:val="14"/>
              </w:rPr>
              <w:t>)</w:t>
            </w:r>
          </w:p>
        </w:tc>
        <w:tc>
          <w:tcPr>
            <w:tcW w:w="810" w:type="dxa"/>
            <w:tcBorders>
              <w:top w:val="nil"/>
              <w:left w:val="nil"/>
              <w:bottom w:val="single" w:sz="8" w:space="0" w:color="auto"/>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(55,431)</w:t>
            </w:r>
          </w:p>
        </w:tc>
        <w:tc>
          <w:tcPr>
            <w:tcW w:w="810" w:type="dxa"/>
            <w:tcBorders>
              <w:top w:val="nil"/>
              <w:left w:val="nil"/>
              <w:bottom w:val="single" w:sz="8" w:space="0" w:color="auto"/>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(86,822)</w:t>
            </w:r>
          </w:p>
        </w:tc>
        <w:tc>
          <w:tcPr>
            <w:tcW w:w="810" w:type="dxa"/>
            <w:tcBorders>
              <w:top w:val="nil"/>
              <w:left w:val="nil"/>
              <w:bottom w:val="single" w:sz="8" w:space="0" w:color="auto"/>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(18,237)</w:t>
            </w:r>
          </w:p>
        </w:tc>
        <w:tc>
          <w:tcPr>
            <w:tcW w:w="810" w:type="dxa"/>
            <w:tcBorders>
              <w:top w:val="nil"/>
              <w:left w:val="nil"/>
              <w:bottom w:val="single" w:sz="8" w:space="0" w:color="auto"/>
              <w:right w:val="nil"/>
            </w:tcBorders>
            <w:shd w:val="clear" w:color="auto" w:fill="auto"/>
            <w:tcMar>
              <w:left w:w="43" w:type="dxa"/>
              <w:right w:w="43" w:type="dxa"/>
            </w:tcMar>
            <w:vAlign w:val="center"/>
          </w:tcPr>
          <w:p w:rsidR="0033726A" w:rsidRPr="00EE7E19" w:rsidRDefault="0033726A" w:rsidP="0033726A">
            <w:pPr>
              <w:jc w:val="right"/>
              <w:rPr>
                <w:rFonts w:asciiTheme="majorBidi" w:hAnsiTheme="majorBidi" w:cstheme="majorBidi"/>
                <w:sz w:val="14"/>
                <w:szCs w:val="14"/>
              </w:rPr>
            </w:pPr>
            <w:r w:rsidRPr="00EE7E19">
              <w:rPr>
                <w:rFonts w:asciiTheme="majorBidi" w:hAnsiTheme="majorBidi" w:cstheme="majorBidi"/>
                <w:sz w:val="14"/>
                <w:szCs w:val="14"/>
              </w:rPr>
              <w:t>(3,055)</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33726A" w:rsidRPr="00D77862" w:rsidRDefault="0033726A" w:rsidP="0033726A">
            <w:pPr>
              <w:jc w:val="right"/>
              <w:rPr>
                <w:rFonts w:asciiTheme="majorBidi" w:hAnsiTheme="majorBidi" w:cstheme="majorBidi"/>
                <w:sz w:val="14"/>
                <w:szCs w:val="14"/>
              </w:rPr>
            </w:pPr>
            <w:r w:rsidRPr="00D77862">
              <w:rPr>
                <w:rFonts w:asciiTheme="majorBidi" w:hAnsiTheme="majorBidi" w:cstheme="majorBidi"/>
                <w:sz w:val="14"/>
                <w:szCs w:val="14"/>
              </w:rPr>
              <w:t>(9,668)</w:t>
            </w:r>
          </w:p>
        </w:tc>
      </w:tr>
      <w:tr w:rsidR="0039135B" w:rsidRPr="002D5FD9" w:rsidTr="00590EAC">
        <w:trPr>
          <w:trHeight w:val="2418"/>
        </w:trPr>
        <w:tc>
          <w:tcPr>
            <w:tcW w:w="10355" w:type="dxa"/>
            <w:gridSpan w:val="10"/>
            <w:tcBorders>
              <w:top w:val="single" w:sz="12" w:space="0" w:color="auto"/>
              <w:left w:val="nil"/>
              <w:bottom w:val="nil"/>
              <w:right w:val="nil"/>
            </w:tcBorders>
            <w:shd w:val="clear" w:color="auto" w:fill="auto"/>
            <w:hideMark/>
          </w:tcPr>
          <w:p w:rsidR="0039135B" w:rsidRPr="004F44B4" w:rsidRDefault="0039135B" w:rsidP="0039135B">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39135B" w:rsidRPr="004F44B4" w:rsidRDefault="0039135B" w:rsidP="0039135B">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39135B" w:rsidRPr="004F44B4" w:rsidRDefault="00027DE6" w:rsidP="0039135B">
            <w:pPr>
              <w:jc w:val="left"/>
              <w:rPr>
                <w:rStyle w:val="Hyperlink"/>
                <w:rFonts w:asciiTheme="majorBidi" w:hAnsiTheme="majorBidi" w:cstheme="majorBidi"/>
                <w:sz w:val="14"/>
                <w:szCs w:val="14"/>
              </w:rPr>
            </w:pPr>
            <w:hyperlink r:id="rId14" w:history="1">
              <w:r w:rsidR="0039135B" w:rsidRPr="004F44B4">
                <w:rPr>
                  <w:rStyle w:val="Hyperlink"/>
                  <w:rFonts w:asciiTheme="majorBidi" w:hAnsiTheme="majorBidi" w:cstheme="majorBidi"/>
                  <w:sz w:val="14"/>
                  <w:szCs w:val="14"/>
                </w:rPr>
                <w:t>http://www.sbp.org.pk/departments/stats/ntb.htm</w:t>
              </w:r>
            </w:hyperlink>
          </w:p>
          <w:p w:rsidR="0039135B" w:rsidRPr="004F44B4" w:rsidRDefault="00027DE6" w:rsidP="0039135B">
            <w:pPr>
              <w:jc w:val="left"/>
              <w:rPr>
                <w:rFonts w:asciiTheme="majorBidi" w:hAnsiTheme="majorBidi" w:cstheme="majorBidi"/>
                <w:color w:val="0000FF"/>
                <w:sz w:val="14"/>
                <w:szCs w:val="14"/>
                <w:u w:val="single"/>
              </w:rPr>
            </w:pPr>
            <w:hyperlink r:id="rId15" w:history="1">
              <w:r w:rsidR="0039135B" w:rsidRPr="004F44B4">
                <w:rPr>
                  <w:rStyle w:val="Hyperlink"/>
                  <w:rFonts w:asciiTheme="majorBidi" w:hAnsiTheme="majorBidi" w:cstheme="majorBidi"/>
                  <w:sz w:val="14"/>
                  <w:szCs w:val="14"/>
                </w:rPr>
                <w:t>http://www.sbp.org.pk/departments/stats/Notice-27-Mar-2017.pdf</w:t>
              </w:r>
            </w:hyperlink>
            <w:r w:rsidR="0039135B" w:rsidRPr="004F44B4">
              <w:rPr>
                <w:rFonts w:asciiTheme="majorBidi" w:hAnsiTheme="majorBidi" w:cstheme="majorBidi"/>
                <w:color w:val="0000FF"/>
                <w:sz w:val="14"/>
                <w:szCs w:val="14"/>
                <w:u w:val="single"/>
              </w:rPr>
              <w:t xml:space="preserve"> </w:t>
            </w:r>
          </w:p>
          <w:p w:rsidR="0039135B" w:rsidRPr="004F44B4" w:rsidRDefault="0039135B" w:rsidP="0039135B">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39135B" w:rsidRPr="004F44B4" w:rsidRDefault="0039135B" w:rsidP="0039135B">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6"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39135B" w:rsidRPr="004F44B4" w:rsidRDefault="0039135B" w:rsidP="0039135B">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440" w:type="dxa"/>
        <w:jc w:val="center"/>
        <w:tblLayout w:type="fixed"/>
        <w:tblLook w:val="04A0" w:firstRow="1" w:lastRow="0" w:firstColumn="1" w:lastColumn="0" w:noHBand="0" w:noVBand="1"/>
      </w:tblPr>
      <w:tblGrid>
        <w:gridCol w:w="236"/>
        <w:gridCol w:w="34"/>
        <w:gridCol w:w="2880"/>
        <w:gridCol w:w="900"/>
        <w:gridCol w:w="810"/>
        <w:gridCol w:w="810"/>
        <w:gridCol w:w="720"/>
        <w:gridCol w:w="810"/>
        <w:gridCol w:w="810"/>
        <w:gridCol w:w="810"/>
        <w:gridCol w:w="810"/>
        <w:gridCol w:w="810"/>
      </w:tblGrid>
      <w:tr w:rsidR="00465AAA" w:rsidRPr="009B6E8A" w:rsidTr="00CE30FF">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17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CE30FF">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17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7F2FCC" w:rsidRPr="009B6E8A" w:rsidTr="007F2FCC">
        <w:trPr>
          <w:trHeight w:hRule="exact" w:val="282"/>
          <w:jc w:val="center"/>
        </w:trPr>
        <w:tc>
          <w:tcPr>
            <w:tcW w:w="3150" w:type="dxa"/>
            <w:gridSpan w:val="3"/>
            <w:vMerge w:val="restart"/>
            <w:tcBorders>
              <w:top w:val="nil"/>
              <w:left w:val="nil"/>
              <w:bottom w:val="single" w:sz="12" w:space="0" w:color="000000"/>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Components</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0" w:type="dxa"/>
            <w:tcBorders>
              <w:top w:val="single" w:sz="12" w:space="0" w:color="auto"/>
              <w:left w:val="nil"/>
              <w:bottom w:val="single" w:sz="4" w:space="0" w:color="auto"/>
              <w:right w:val="single" w:sz="4" w:space="0" w:color="auto"/>
            </w:tcBorders>
            <w:shd w:val="clear" w:color="auto" w:fill="auto"/>
            <w:vAlign w:val="center"/>
          </w:tcPr>
          <w:p w:rsidR="007F2FCC" w:rsidRPr="009B6E8A" w:rsidRDefault="007F2FCC" w:rsidP="00DE0718">
            <w:pPr>
              <w:rPr>
                <w:b/>
                <w:bCs/>
                <w:color w:val="auto"/>
                <w:szCs w:val="16"/>
              </w:rPr>
            </w:pPr>
            <w:r>
              <w:rPr>
                <w:b/>
                <w:bCs/>
                <w:color w:val="auto"/>
                <w:szCs w:val="16"/>
              </w:rPr>
              <w:t>2022</w:t>
            </w:r>
          </w:p>
        </w:tc>
        <w:tc>
          <w:tcPr>
            <w:tcW w:w="4050" w:type="dxa"/>
            <w:gridSpan w:val="5"/>
            <w:tcBorders>
              <w:top w:val="single" w:sz="12" w:space="0" w:color="auto"/>
              <w:left w:val="nil"/>
              <w:bottom w:val="single" w:sz="4" w:space="0" w:color="auto"/>
            </w:tcBorders>
            <w:shd w:val="clear" w:color="auto" w:fill="auto"/>
            <w:vAlign w:val="center"/>
          </w:tcPr>
          <w:p w:rsidR="007F2FCC" w:rsidRPr="009B6E8A" w:rsidRDefault="007F2FCC" w:rsidP="007F2FCC">
            <w:pPr>
              <w:rPr>
                <w:b/>
                <w:bCs/>
                <w:color w:val="auto"/>
                <w:szCs w:val="16"/>
              </w:rPr>
            </w:pPr>
            <w:r>
              <w:rPr>
                <w:b/>
                <w:bCs/>
                <w:color w:val="auto"/>
                <w:szCs w:val="16"/>
              </w:rPr>
              <w:t>2023</w:t>
            </w:r>
          </w:p>
        </w:tc>
      </w:tr>
      <w:tr w:rsidR="007F2FCC" w:rsidRPr="009B6E8A" w:rsidTr="007F2FCC">
        <w:trPr>
          <w:trHeight w:hRule="exact" w:val="270"/>
          <w:jc w:val="center"/>
        </w:trPr>
        <w:tc>
          <w:tcPr>
            <w:tcW w:w="3150" w:type="dxa"/>
            <w:gridSpan w:val="3"/>
            <w:vMerge/>
            <w:tcBorders>
              <w:top w:val="nil"/>
              <w:left w:val="nil"/>
              <w:bottom w:val="single" w:sz="12" w:space="0" w:color="000000"/>
              <w:right w:val="single" w:sz="4" w:space="0" w:color="auto"/>
            </w:tcBorders>
            <w:shd w:val="clear" w:color="auto" w:fill="auto"/>
            <w:vAlign w:val="center"/>
            <w:hideMark/>
          </w:tcPr>
          <w:p w:rsidR="007F2FCC" w:rsidRPr="009B6E8A" w:rsidRDefault="007F2FCC" w:rsidP="007F2FCC">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F2FCC" w:rsidRPr="006619BF" w:rsidRDefault="007F2FCC" w:rsidP="007F2FCC">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F2FCC" w:rsidRPr="006619BF" w:rsidRDefault="007F2FCC" w:rsidP="007F2FCC">
            <w:pPr>
              <w:jc w:val="right"/>
              <w:rPr>
                <w:b/>
                <w:bCs/>
                <w:color w:val="auto"/>
                <w:sz w:val="14"/>
                <w:szCs w:val="14"/>
              </w:rPr>
            </w:pPr>
            <w:r>
              <w:rPr>
                <w:b/>
                <w:bCs/>
                <w:color w:val="auto"/>
                <w:sz w:val="14"/>
                <w:szCs w:val="14"/>
              </w:rPr>
              <w:t>FY21</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F2FCC" w:rsidRPr="0071663A" w:rsidRDefault="007F2FCC" w:rsidP="007F2FCC">
            <w:pPr>
              <w:jc w:val="right"/>
              <w:rPr>
                <w:b/>
                <w:bCs/>
                <w:color w:val="auto"/>
                <w:sz w:val="14"/>
                <w:szCs w:val="14"/>
                <w:vertAlign w:val="superscript"/>
              </w:rPr>
            </w:pPr>
            <w:r>
              <w:rPr>
                <w:b/>
                <w:bCs/>
                <w:color w:val="auto"/>
                <w:sz w:val="14"/>
                <w:szCs w:val="14"/>
              </w:rPr>
              <w:t>FY22</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7F2FCC" w:rsidRPr="00F24512" w:rsidRDefault="007F2FCC" w:rsidP="007F2FCC">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7F2FCC" w:rsidRPr="009E1787" w:rsidRDefault="007F2FCC" w:rsidP="007F2FCC">
            <w:pPr>
              <w:jc w:val="right"/>
              <w:rPr>
                <w:b/>
                <w:color w:val="auto"/>
                <w:sz w:val="14"/>
                <w:szCs w:val="14"/>
              </w:rPr>
            </w:pPr>
            <w:proofErr w:type="spellStart"/>
            <w:r>
              <w:rPr>
                <w:b/>
                <w:color w:val="auto"/>
                <w:sz w:val="14"/>
                <w:szCs w:val="14"/>
              </w:rPr>
              <w:t>May</w:t>
            </w:r>
            <w:r w:rsidRPr="00C169DB">
              <w:rPr>
                <w:b/>
                <w:color w:val="auto"/>
                <w:sz w:val="14"/>
                <w:szCs w:val="14"/>
                <w:vertAlign w:val="superscript"/>
              </w:rPr>
              <w:t>P</w:t>
            </w:r>
            <w:proofErr w:type="spellEnd"/>
          </w:p>
        </w:tc>
      </w:tr>
      <w:tr w:rsidR="007F2FCC" w:rsidRPr="009B6E8A" w:rsidTr="00A16D35">
        <w:trPr>
          <w:trHeight w:hRule="exact" w:val="178"/>
          <w:jc w:val="center"/>
        </w:trPr>
        <w:tc>
          <w:tcPr>
            <w:tcW w:w="3150" w:type="dxa"/>
            <w:gridSpan w:val="3"/>
            <w:tcBorders>
              <w:top w:val="nil"/>
              <w:left w:val="nil"/>
              <w:bottom w:val="nil"/>
              <w:right w:val="nil"/>
            </w:tcBorders>
            <w:shd w:val="clear" w:color="auto" w:fill="auto"/>
            <w:noWrap/>
            <w:vAlign w:val="center"/>
            <w:hideMark/>
          </w:tcPr>
          <w:p w:rsidR="007F2FCC" w:rsidRPr="009B6E8A" w:rsidRDefault="007F2FCC" w:rsidP="007F2FCC">
            <w:pPr>
              <w:ind w:firstLineChars="200" w:firstLine="280"/>
              <w:jc w:val="left"/>
              <w:rPr>
                <w:b/>
                <w:bCs/>
                <w:color w:val="auto"/>
                <w:sz w:val="14"/>
                <w:szCs w:val="14"/>
              </w:rPr>
            </w:pPr>
          </w:p>
        </w:tc>
        <w:tc>
          <w:tcPr>
            <w:tcW w:w="900" w:type="dxa"/>
            <w:tcBorders>
              <w:top w:val="nil"/>
              <w:left w:val="nil"/>
              <w:right w:val="nil"/>
            </w:tcBorders>
            <w:shd w:val="clear" w:color="auto" w:fill="auto"/>
            <w:noWrap/>
            <w:tcMar>
              <w:left w:w="43" w:type="dxa"/>
              <w:right w:w="43" w:type="dxa"/>
            </w:tcMar>
            <w:vAlign w:val="center"/>
            <w:hideMark/>
          </w:tcPr>
          <w:p w:rsidR="007F2FCC" w:rsidRDefault="007F2FCC" w:rsidP="007F2FCC">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7F2FCC" w:rsidRDefault="007F2FCC" w:rsidP="007F2FCC">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7F2FCC" w:rsidRDefault="007F2FCC" w:rsidP="007F2FCC">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rsidR="007F2FCC" w:rsidRDefault="007F2FCC" w:rsidP="007F2FCC">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rsidR="007F2FCC" w:rsidRPr="00F12F3E" w:rsidRDefault="007F2FCC" w:rsidP="007F2FCC">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F2FCC" w:rsidRPr="00F12F3E" w:rsidRDefault="007F2FCC" w:rsidP="007F2FCC">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F2FCC" w:rsidRPr="00F12F3E" w:rsidRDefault="007F2FCC" w:rsidP="007F2FCC">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F2FCC" w:rsidRPr="00F12F3E" w:rsidRDefault="007F2FCC" w:rsidP="007F2FCC">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F2FCC" w:rsidRPr="00F12F3E" w:rsidRDefault="007F2FCC" w:rsidP="007F2FCC">
            <w:pPr>
              <w:jc w:val="right"/>
              <w:rPr>
                <w:b/>
                <w:bCs/>
                <w:sz w:val="13"/>
                <w:szCs w:val="13"/>
                <w:highlight w:val="yellow"/>
              </w:rPr>
            </w:pP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A. Currency in Circulation</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6,142,016</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6,909,937</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7,572,465</w:t>
            </w:r>
          </w:p>
        </w:tc>
        <w:tc>
          <w:tcPr>
            <w:tcW w:w="72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7,662,178</w:t>
            </w:r>
          </w:p>
        </w:tc>
        <w:tc>
          <w:tcPr>
            <w:tcW w:w="810" w:type="dxa"/>
            <w:tcBorders>
              <w:top w:val="nil"/>
              <w:left w:val="nil"/>
              <w:bottom w:val="nil"/>
              <w:right w:val="nil"/>
            </w:tcBorders>
            <w:shd w:val="clear" w:color="auto" w:fill="auto"/>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7,862,480</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8,059,997</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8,271,312</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8,936,340</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8,676,818</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B. Cash in Tills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325,508</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429,566</w:t>
            </w:r>
          </w:p>
        </w:tc>
        <w:tc>
          <w:tcPr>
            <w:tcW w:w="72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386,540</w:t>
            </w:r>
          </w:p>
        </w:tc>
        <w:tc>
          <w:tcPr>
            <w:tcW w:w="810" w:type="dxa"/>
            <w:tcBorders>
              <w:top w:val="nil"/>
              <w:left w:val="nil"/>
              <w:bottom w:val="nil"/>
              <w:right w:val="nil"/>
            </w:tcBorders>
            <w:shd w:val="clear" w:color="auto" w:fill="auto"/>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390,197</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394,497</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493,218</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644,258</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438,975</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C. Other Deposits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41,218</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68,004</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95,666</w:t>
            </w:r>
          </w:p>
        </w:tc>
        <w:tc>
          <w:tcPr>
            <w:tcW w:w="72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87,725</w:t>
            </w:r>
          </w:p>
        </w:tc>
        <w:tc>
          <w:tcPr>
            <w:tcW w:w="810" w:type="dxa"/>
            <w:tcBorders>
              <w:top w:val="nil"/>
              <w:left w:val="nil"/>
              <w:bottom w:val="nil"/>
              <w:right w:val="nil"/>
            </w:tcBorders>
            <w:shd w:val="clear" w:color="auto" w:fill="auto"/>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88,314</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91,975</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96,335</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101,010</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103,067</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D. Bank Deposits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1,171,104</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1,307,242</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1,228,687</w:t>
            </w:r>
          </w:p>
        </w:tc>
        <w:tc>
          <w:tcPr>
            <w:tcW w:w="72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1,300,734</w:t>
            </w:r>
          </w:p>
        </w:tc>
        <w:tc>
          <w:tcPr>
            <w:tcW w:w="810" w:type="dxa"/>
            <w:tcBorders>
              <w:top w:val="nil"/>
              <w:left w:val="nil"/>
              <w:bottom w:val="nil"/>
              <w:right w:val="nil"/>
            </w:tcBorders>
            <w:shd w:val="clear" w:color="auto" w:fill="auto"/>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1,270,682</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1,317,896</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1,287,937</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1,698,674</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1,631,608</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Reserve Money (A+B+C+D)</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7,679,845</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7F2FCC" w:rsidRPr="00F41EEB" w:rsidRDefault="007F2FCC" w:rsidP="007F2FCC">
            <w:pPr>
              <w:jc w:val="right"/>
              <w:rPr>
                <w:rFonts w:asciiTheme="majorBidi" w:hAnsiTheme="majorBidi" w:cstheme="majorBidi"/>
                <w:b/>
                <w:bCs/>
                <w:sz w:val="14"/>
                <w:szCs w:val="14"/>
              </w:rPr>
            </w:pPr>
            <w:r w:rsidRPr="00F41EEB">
              <w:rPr>
                <w:rFonts w:asciiTheme="majorBidi" w:hAnsiTheme="majorBidi" w:cstheme="majorBidi"/>
                <w:b/>
                <w:bCs/>
                <w:sz w:val="14"/>
                <w:szCs w:val="14"/>
              </w:rPr>
              <w:t>9,326,385</w:t>
            </w:r>
          </w:p>
        </w:tc>
        <w:tc>
          <w:tcPr>
            <w:tcW w:w="72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9,437,177</w:t>
            </w:r>
          </w:p>
        </w:tc>
        <w:tc>
          <w:tcPr>
            <w:tcW w:w="810" w:type="dxa"/>
            <w:tcBorders>
              <w:top w:val="nil"/>
              <w:left w:val="nil"/>
              <w:bottom w:val="nil"/>
              <w:right w:val="nil"/>
            </w:tcBorders>
            <w:shd w:val="clear" w:color="auto" w:fill="auto"/>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9,611,673</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9,864,365</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10,148,802</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11,380,281</w:t>
            </w:r>
          </w:p>
        </w:tc>
        <w:tc>
          <w:tcPr>
            <w:tcW w:w="810" w:type="dxa"/>
            <w:tcBorders>
              <w:top w:val="nil"/>
              <w:left w:val="nil"/>
              <w:bottom w:val="nil"/>
              <w:right w:val="nil"/>
            </w:tcBorders>
            <w:shd w:val="clear" w:color="auto" w:fill="auto"/>
            <w:noWrap/>
            <w:tcMar>
              <w:left w:w="43" w:type="dxa"/>
              <w:right w:w="43" w:type="dxa"/>
            </w:tcMar>
            <w:vAlign w:val="center"/>
          </w:tcPr>
          <w:p w:rsidR="007F2FCC" w:rsidRPr="00B07044" w:rsidRDefault="007F2FCC" w:rsidP="007F2FCC">
            <w:pPr>
              <w:jc w:val="right"/>
              <w:rPr>
                <w:rFonts w:asciiTheme="majorBidi" w:hAnsiTheme="majorBidi" w:cstheme="majorBidi"/>
                <w:b/>
                <w:bCs/>
                <w:sz w:val="14"/>
                <w:szCs w:val="14"/>
              </w:rPr>
            </w:pPr>
            <w:r w:rsidRPr="00B07044">
              <w:rPr>
                <w:rFonts w:asciiTheme="majorBidi" w:hAnsiTheme="majorBidi" w:cstheme="majorBidi"/>
                <w:b/>
                <w:bCs/>
                <w:sz w:val="14"/>
                <w:szCs w:val="14"/>
              </w:rPr>
              <w:t>10,850,468</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Factor affecting Reserve Money (RM)</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A. Net Foreign Assets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(181,347)</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(581,654)</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(2,320,706)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(2,219,059)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(2,225,684)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(2,117,749)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(2,217,704)</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B. Net Domestic Assets (1+2+3)</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7,861,192</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both"/>
              <w:rPr>
                <w:b/>
                <w:bCs/>
                <w:sz w:val="14"/>
                <w:szCs w:val="14"/>
              </w:rPr>
            </w:pPr>
            <w:r w:rsidRPr="007F2FCC">
              <w:rPr>
                <w:b/>
                <w:bCs/>
                <w:sz w:val="14"/>
                <w:szCs w:val="14"/>
              </w:rPr>
              <w:t xml:space="preserve">10,018,831 </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11,932,380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12,083,424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12,374,486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13,498,030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13,068,172</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6,524,286</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5,596,606</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4,970,063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5,360,873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5,532,724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4,967,420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4,972,041</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6,538,797</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5,613,566</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4,989,365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5,380,654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5,552,765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4,982,257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4,988,784</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309" w:firstLine="494"/>
              <w:jc w:val="left"/>
              <w:rPr>
                <w:szCs w:val="16"/>
              </w:rPr>
            </w:pPr>
            <w:r>
              <w:rPr>
                <w:szCs w:val="16"/>
              </w:rPr>
              <w:t xml:space="preserve"> </w:t>
            </w:r>
            <w:r w:rsidRPr="008C32C5">
              <w:rPr>
                <w:szCs w:val="16"/>
              </w:rPr>
              <w:t>a) Federal Government</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6,750,123</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6,389,281</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5,813,159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6,393,216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6,555,326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5,825,813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5,800,001</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309" w:firstLine="494"/>
              <w:jc w:val="left"/>
              <w:rPr>
                <w:szCs w:val="16"/>
              </w:rPr>
            </w:pPr>
            <w:r>
              <w:rPr>
                <w:szCs w:val="16"/>
              </w:rPr>
              <w:t xml:space="preserve">      </w:t>
            </w:r>
            <w:r w:rsidRPr="008C32C5">
              <w:rPr>
                <w:szCs w:val="16"/>
              </w:rPr>
              <w:t xml:space="preserve">of which deposits with SBP </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(565,997)</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(611,852)</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(804,499)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(314,272)</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(309,877)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(1,127,760)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(1,227,544)</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309" w:firstLine="494"/>
              <w:jc w:val="left"/>
              <w:rPr>
                <w:szCs w:val="16"/>
              </w:rPr>
            </w:pPr>
            <w:r>
              <w:rPr>
                <w:szCs w:val="16"/>
              </w:rPr>
              <w:t xml:space="preserve"> </w:t>
            </w:r>
            <w:r w:rsidRPr="008C32C5">
              <w:rPr>
                <w:szCs w:val="16"/>
              </w:rPr>
              <w:t>b) Provincial Government</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(192,737)</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(717,805)</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(782,823)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(967,473)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(956,320)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(796,337)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(749,555)</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(39,105)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(78,929)</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(22,475)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(51,441)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(54,769)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(48,458)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(47,843)</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jc w:val="left"/>
              <w:rPr>
                <w:szCs w:val="16"/>
              </w:rPr>
            </w:pPr>
            <w:r w:rsidRPr="008C32C5">
              <w:rPr>
                <w:szCs w:val="16"/>
              </w:rPr>
              <w:t xml:space="preserve">                      Khyber  Pakhtunkhwa </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(8,321)</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(12,881)</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(29,258)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(44,019)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(48,109)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(49,178)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(33,131)</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jc w:val="left"/>
              <w:rPr>
                <w:szCs w:val="16"/>
              </w:rPr>
            </w:pPr>
            <w:r w:rsidRPr="008C32C5">
              <w:rPr>
                <w:szCs w:val="16"/>
              </w:rPr>
              <w:t xml:space="preserve">                      Punjab </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(81,570)</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(490,680)</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(574,525)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(674,729)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(658,068)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(544,086)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(510,576)</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jc w:val="left"/>
              <w:rPr>
                <w:szCs w:val="16"/>
              </w:rPr>
            </w:pPr>
            <w:r w:rsidRPr="008C32C5">
              <w:rPr>
                <w:szCs w:val="16"/>
              </w:rPr>
              <w:t xml:space="preserve">                      Sindh </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(63,741)</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(135,315)</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(156,565)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(197,284)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(195,374)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(154,615)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(158,005)</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196" w:firstLine="314"/>
              <w:jc w:val="left"/>
              <w:rPr>
                <w:szCs w:val="16"/>
              </w:rPr>
            </w:pPr>
            <w:r>
              <w:rPr>
                <w:szCs w:val="16"/>
              </w:rPr>
              <w:t xml:space="preserve">       </w:t>
            </w:r>
            <w:r w:rsidRPr="008C32C5">
              <w:rPr>
                <w:szCs w:val="16"/>
              </w:rPr>
              <w:t>c) AJK Government</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(5,047)</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(23,962)</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(19,196)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(20,239)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(20,586)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(18,780)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(29,134)</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(13,543)</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(33,947)</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(21,775)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(24,851)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(25,656)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(28,440)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(32,529)</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84" w:firstLine="134"/>
              <w:jc w:val="left"/>
              <w:rPr>
                <w:szCs w:val="16"/>
              </w:rPr>
            </w:pPr>
            <w:r w:rsidRPr="008C32C5">
              <w:rPr>
                <w:szCs w:val="16"/>
              </w:rPr>
              <w:t xml:space="preserve">    ii. Others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(14,510)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(12,344)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(17,273)</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(16,960)</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(19,302)</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(19,781)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(20,041)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(14,837)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(16,743)</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Default="007F2FCC" w:rsidP="007F2FCC">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895,663</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1,620,361</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1,585,691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1,584,037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1,531,268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1,555,404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1,578,558</w:t>
            </w:r>
          </w:p>
        </w:tc>
      </w:tr>
      <w:tr w:rsidR="007F2FCC"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7F2FCC" w:rsidRPr="008C32C5" w:rsidRDefault="007F2FCC" w:rsidP="007F2FCC">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876,619</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1,563,933</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1,522,059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1,520,549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1,467,996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1,492,422</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1,515,792</w:t>
            </w:r>
          </w:p>
        </w:tc>
      </w:tr>
      <w:tr w:rsidR="007F2FCC"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7F2FCC" w:rsidRDefault="007F2FCC" w:rsidP="007F2FCC">
            <w:pPr>
              <w:ind w:firstLineChars="309" w:firstLine="494"/>
              <w:jc w:val="both"/>
              <w:rPr>
                <w:szCs w:val="16"/>
              </w:rPr>
            </w:pPr>
            <w:r>
              <w:rPr>
                <w:szCs w:val="16"/>
              </w:rPr>
              <w:t>a. Agriculture Sector</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1,972</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4,736</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5,658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5,767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5,771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5,663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5,595</w:t>
            </w:r>
          </w:p>
        </w:tc>
      </w:tr>
      <w:tr w:rsidR="007F2FCC"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7F2FCC" w:rsidRDefault="007F2FCC" w:rsidP="007F2FCC">
            <w:pPr>
              <w:ind w:firstLineChars="309" w:firstLine="494"/>
              <w:jc w:val="both"/>
              <w:rPr>
                <w:szCs w:val="16"/>
              </w:rPr>
            </w:pPr>
            <w:r>
              <w:rPr>
                <w:szCs w:val="16"/>
              </w:rPr>
              <w:t>b. Industrial Sector</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191,951</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665,357</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640,423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641,599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637,871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633,995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631,438</w:t>
            </w:r>
          </w:p>
        </w:tc>
      </w:tr>
      <w:tr w:rsidR="007F2FCC"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7F2FCC" w:rsidRDefault="007F2FCC" w:rsidP="007F2FCC">
            <w:pPr>
              <w:ind w:firstLineChars="309" w:firstLine="494"/>
              <w:jc w:val="both"/>
              <w:rPr>
                <w:szCs w:val="16"/>
              </w:rPr>
            </w:pPr>
            <w:r>
              <w:rPr>
                <w:szCs w:val="16"/>
              </w:rPr>
              <w:t>c. Export Sector</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528,035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756,705</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744,363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741,245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692,165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720,309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743,388</w:t>
            </w:r>
          </w:p>
        </w:tc>
      </w:tr>
      <w:tr w:rsidR="007F2FCC"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7F2FCC" w:rsidRDefault="007F2FCC" w:rsidP="007F2FCC">
            <w:pPr>
              <w:ind w:firstLineChars="309" w:firstLine="494"/>
              <w:jc w:val="both"/>
              <w:rPr>
                <w:szCs w:val="16"/>
              </w:rPr>
            </w:pPr>
            <w:r>
              <w:rPr>
                <w:szCs w:val="16"/>
              </w:rPr>
              <w:t>d. Housing Sector</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w:t>
            </w:r>
          </w:p>
        </w:tc>
      </w:tr>
      <w:tr w:rsidR="007F2FCC"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7F2FCC" w:rsidRDefault="007F2FCC" w:rsidP="007F2FCC">
            <w:pPr>
              <w:ind w:firstLineChars="309" w:firstLine="494"/>
              <w:jc w:val="both"/>
              <w:rPr>
                <w:szCs w:val="16"/>
              </w:rPr>
            </w:pPr>
            <w:r>
              <w:rPr>
                <w:szCs w:val="16"/>
              </w:rPr>
              <w:t>e. Others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154,661</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137,135</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131,615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131,938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132,189</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132,455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135,371</w:t>
            </w:r>
          </w:p>
        </w:tc>
      </w:tr>
      <w:tr w:rsidR="007F2FCC" w:rsidRPr="0077375F" w:rsidTr="00A16D35">
        <w:trPr>
          <w:trHeight w:hRule="exact" w:val="236"/>
          <w:jc w:val="center"/>
        </w:trPr>
        <w:tc>
          <w:tcPr>
            <w:tcW w:w="3150" w:type="dxa"/>
            <w:gridSpan w:val="3"/>
            <w:tcBorders>
              <w:top w:val="nil"/>
              <w:left w:val="nil"/>
              <w:right w:val="nil"/>
            </w:tcBorders>
            <w:shd w:val="clear" w:color="auto" w:fill="auto"/>
            <w:noWrap/>
            <w:vAlign w:val="center"/>
            <w:hideMark/>
          </w:tcPr>
          <w:p w:rsidR="007F2FCC" w:rsidRPr="008C32C5" w:rsidRDefault="007F2FCC" w:rsidP="007F2FCC">
            <w:pPr>
              <w:ind w:firstLineChars="196" w:firstLine="314"/>
              <w:jc w:val="left"/>
              <w:rPr>
                <w:szCs w:val="16"/>
              </w:rPr>
            </w:pPr>
            <w:r w:rsidRPr="008C32C5">
              <w:rPr>
                <w:szCs w:val="16"/>
              </w:rPr>
              <w:t>ii. Claims on NBFIs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43,288</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80,671</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87,876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87,732</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87,516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87,226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87,010</w:t>
            </w:r>
          </w:p>
        </w:tc>
      </w:tr>
      <w:tr w:rsidR="007F2FCC" w:rsidRPr="0077375F" w:rsidTr="00A16D35">
        <w:trPr>
          <w:trHeight w:hRule="exact" w:val="369"/>
          <w:jc w:val="center"/>
        </w:trPr>
        <w:tc>
          <w:tcPr>
            <w:tcW w:w="3150" w:type="dxa"/>
            <w:gridSpan w:val="3"/>
            <w:tcBorders>
              <w:top w:val="nil"/>
              <w:left w:val="nil"/>
              <w:right w:val="nil"/>
            </w:tcBorders>
            <w:shd w:val="clear" w:color="auto" w:fill="auto"/>
            <w:noWrap/>
            <w:vAlign w:val="center"/>
            <w:hideMark/>
          </w:tcPr>
          <w:p w:rsidR="007F2FCC" w:rsidRDefault="007F2FCC" w:rsidP="007F2FCC">
            <w:pPr>
              <w:ind w:firstLineChars="196" w:firstLine="314"/>
              <w:jc w:val="left"/>
              <w:rPr>
                <w:szCs w:val="16"/>
              </w:rPr>
            </w:pPr>
            <w:r>
              <w:rPr>
                <w:szCs w:val="16"/>
              </w:rPr>
              <w:t>iii. PSEs Special A/C</w:t>
            </w:r>
            <w:r w:rsidRPr="008C32C5">
              <w:rPr>
                <w:szCs w:val="16"/>
              </w:rPr>
              <w:t xml:space="preserve"> Debt Repayment</w:t>
            </w:r>
          </w:p>
          <w:p w:rsidR="007F2FCC" w:rsidRPr="008C32C5" w:rsidRDefault="007F2FCC" w:rsidP="007F2FCC">
            <w:pPr>
              <w:ind w:firstLineChars="196" w:firstLine="314"/>
              <w:jc w:val="left"/>
              <w:rPr>
                <w:szCs w:val="16"/>
              </w:rPr>
            </w:pPr>
            <w:r>
              <w:rPr>
                <w:szCs w:val="16"/>
              </w:rPr>
              <w:t xml:space="preserve">     with SBP/PSPC</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(24,244)</w:t>
            </w:r>
          </w:p>
        </w:tc>
      </w:tr>
      <w:tr w:rsidR="007F2FCC" w:rsidRPr="0077375F" w:rsidTr="00A16D35">
        <w:trPr>
          <w:trHeight w:hRule="exact" w:val="276"/>
          <w:jc w:val="center"/>
        </w:trPr>
        <w:tc>
          <w:tcPr>
            <w:tcW w:w="3150" w:type="dxa"/>
            <w:gridSpan w:val="3"/>
            <w:tcBorders>
              <w:top w:val="nil"/>
              <w:left w:val="nil"/>
              <w:right w:val="nil"/>
            </w:tcBorders>
            <w:shd w:val="clear" w:color="auto" w:fill="auto"/>
            <w:noWrap/>
            <w:vAlign w:val="center"/>
            <w:hideMark/>
          </w:tcPr>
          <w:p w:rsidR="007F2FCC" w:rsidRDefault="007F2FCC" w:rsidP="007F2FCC">
            <w:pPr>
              <w:jc w:val="left"/>
              <w:rPr>
                <w:b/>
                <w:bCs/>
                <w:szCs w:val="16"/>
              </w:rPr>
            </w:pPr>
            <w:r>
              <w:rPr>
                <w:b/>
                <w:bCs/>
                <w:szCs w:val="16"/>
              </w:rPr>
              <w:t xml:space="preserve">  3. Other Items (Net)</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441,243</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2,801,865</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5,376,625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5,138,513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5,310,493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6,975,205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6,517,573</w:t>
            </w:r>
          </w:p>
        </w:tc>
      </w:tr>
      <w:tr w:rsidR="007F2FCC"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7F2FCC" w:rsidRPr="00F12B79" w:rsidRDefault="007F2FCC" w:rsidP="007F2FCC">
            <w:pPr>
              <w:jc w:val="right"/>
              <w:rPr>
                <w:b/>
                <w:bCs/>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p>
        </w:tc>
      </w:tr>
      <w:tr w:rsidR="007F2FCC" w:rsidRPr="009B6E8A" w:rsidTr="00A16D35">
        <w:trPr>
          <w:trHeight w:hRule="exact" w:val="236"/>
          <w:jc w:val="center"/>
        </w:trPr>
        <w:tc>
          <w:tcPr>
            <w:tcW w:w="3150" w:type="dxa"/>
            <w:gridSpan w:val="3"/>
            <w:tcBorders>
              <w:left w:val="nil"/>
              <w:bottom w:val="single" w:sz="12" w:space="0" w:color="auto"/>
              <w:right w:val="nil"/>
            </w:tcBorders>
            <w:shd w:val="clear" w:color="auto" w:fill="auto"/>
            <w:noWrap/>
            <w:vAlign w:val="center"/>
            <w:hideMark/>
          </w:tcPr>
          <w:p w:rsidR="007F2FCC" w:rsidRDefault="007F2FCC" w:rsidP="007F2FCC">
            <w:pPr>
              <w:ind w:firstLine="315"/>
              <w:jc w:val="left"/>
              <w:rPr>
                <w:szCs w:val="16"/>
              </w:rPr>
            </w:pPr>
            <w:r>
              <w:rPr>
                <w:b/>
                <w:bCs/>
                <w:szCs w:val="16"/>
              </w:rPr>
              <w:t>Reserve Money(RM) (A+B)</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7F2FCC" w:rsidRPr="00C92D86" w:rsidRDefault="007F2FCC" w:rsidP="007F2FCC">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9,437,177</w:t>
            </w:r>
          </w:p>
        </w:tc>
        <w:tc>
          <w:tcPr>
            <w:tcW w:w="810" w:type="dxa"/>
            <w:tcBorders>
              <w:top w:val="nil"/>
              <w:left w:val="nil"/>
              <w:bottom w:val="single" w:sz="8" w:space="0" w:color="auto"/>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9,611,673</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9,864,365</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10,148,802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11,380,281</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10,850,468</w:t>
            </w:r>
          </w:p>
        </w:tc>
      </w:tr>
      <w:tr w:rsidR="007F2FCC" w:rsidRPr="009B6E8A" w:rsidTr="00CE30FF">
        <w:trPr>
          <w:trHeight w:hRule="exact" w:val="236"/>
          <w:jc w:val="center"/>
        </w:trPr>
        <w:tc>
          <w:tcPr>
            <w:tcW w:w="270" w:type="dxa"/>
            <w:gridSpan w:val="2"/>
            <w:tcBorders>
              <w:top w:val="single" w:sz="12" w:space="0" w:color="auto"/>
              <w:left w:val="nil"/>
              <w:right w:val="nil"/>
            </w:tcBorders>
          </w:tcPr>
          <w:p w:rsidR="007F2FCC" w:rsidRDefault="007F2FCC" w:rsidP="007F2FCC">
            <w:pPr>
              <w:jc w:val="right"/>
              <w:rPr>
                <w:sz w:val="14"/>
                <w:szCs w:val="14"/>
              </w:rPr>
            </w:pPr>
          </w:p>
        </w:tc>
        <w:tc>
          <w:tcPr>
            <w:tcW w:w="10170" w:type="dxa"/>
            <w:gridSpan w:val="10"/>
            <w:tcBorders>
              <w:top w:val="single" w:sz="12" w:space="0" w:color="auto"/>
              <w:left w:val="nil"/>
              <w:right w:val="nil"/>
            </w:tcBorders>
            <w:shd w:val="clear" w:color="auto" w:fill="auto"/>
            <w:noWrap/>
            <w:vAlign w:val="center"/>
            <w:hideMark/>
          </w:tcPr>
          <w:p w:rsidR="007F2FCC" w:rsidRPr="00DF4806" w:rsidRDefault="007F2FCC" w:rsidP="007F2FCC">
            <w:pPr>
              <w:jc w:val="left"/>
              <w:rPr>
                <w:color w:val="auto"/>
                <w:sz w:val="14"/>
                <w:szCs w:val="14"/>
              </w:rPr>
            </w:pPr>
            <w:r w:rsidRPr="00DF4806">
              <w:rPr>
                <w:color w:val="auto"/>
                <w:sz w:val="14"/>
                <w:szCs w:val="14"/>
              </w:rPr>
              <w:t>R: Revised, P: Provisional</w:t>
            </w:r>
            <w:r>
              <w:rPr>
                <w:color w:val="auto"/>
                <w:sz w:val="14"/>
                <w:szCs w:val="14"/>
              </w:rPr>
              <w:t xml:space="preserve">                                                                                                                                                                                     </w:t>
            </w:r>
            <w:r w:rsidRPr="00DF4806">
              <w:rPr>
                <w:color w:val="auto"/>
                <w:sz w:val="14"/>
                <w:szCs w:val="14"/>
              </w:rPr>
              <w:t>Source: Core Statistics Department</w:t>
            </w:r>
          </w:p>
        </w:tc>
      </w:tr>
      <w:tr w:rsidR="007F2FCC" w:rsidRPr="009B6E8A" w:rsidTr="00CE30FF">
        <w:trPr>
          <w:trHeight w:val="792"/>
          <w:jc w:val="center"/>
        </w:trPr>
        <w:tc>
          <w:tcPr>
            <w:tcW w:w="270" w:type="dxa"/>
            <w:gridSpan w:val="2"/>
            <w:tcBorders>
              <w:left w:val="nil"/>
              <w:bottom w:val="single" w:sz="12" w:space="0" w:color="auto"/>
              <w:right w:val="nil"/>
            </w:tcBorders>
          </w:tcPr>
          <w:p w:rsidR="007F2FCC" w:rsidRPr="00916320" w:rsidRDefault="007F2FCC" w:rsidP="007F2FCC">
            <w:pPr>
              <w:ind w:left="405" w:hanging="180"/>
              <w:jc w:val="left"/>
              <w:rPr>
                <w:color w:val="auto"/>
                <w:sz w:val="14"/>
                <w:szCs w:val="14"/>
              </w:rPr>
            </w:pPr>
          </w:p>
        </w:tc>
        <w:tc>
          <w:tcPr>
            <w:tcW w:w="10170" w:type="dxa"/>
            <w:gridSpan w:val="10"/>
            <w:tcBorders>
              <w:left w:val="nil"/>
              <w:bottom w:val="single" w:sz="12" w:space="0" w:color="auto"/>
              <w:right w:val="nil"/>
            </w:tcBorders>
            <w:shd w:val="clear" w:color="auto" w:fill="auto"/>
            <w:noWrap/>
            <w:hideMark/>
          </w:tcPr>
          <w:p w:rsidR="007F2FCC" w:rsidRPr="00DF4806" w:rsidRDefault="007F2FCC" w:rsidP="007F2FCC">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7F2FCC" w:rsidRPr="00DF4806" w:rsidRDefault="007F2FCC" w:rsidP="007F2FCC">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7F2FCC" w:rsidRPr="00DF4806" w:rsidRDefault="007F2FCC" w:rsidP="007F2FCC">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7F2FCC" w:rsidRPr="00DF4806" w:rsidRDefault="007F2FCC" w:rsidP="007F2FCC">
            <w:pPr>
              <w:jc w:val="left"/>
              <w:rPr>
                <w:color w:val="auto"/>
                <w:sz w:val="14"/>
                <w:szCs w:val="14"/>
              </w:rPr>
            </w:pPr>
            <w:r w:rsidRPr="00DF4806">
              <w:rPr>
                <w:sz w:val="14"/>
                <w:szCs w:val="14"/>
              </w:rPr>
              <w:t>4/ Total may differ due to rounding off.</w:t>
            </w:r>
          </w:p>
          <w:p w:rsidR="007F2FCC" w:rsidRPr="00DF4806" w:rsidRDefault="007F2FCC" w:rsidP="007F2FCC">
            <w:pPr>
              <w:jc w:val="left"/>
              <w:rPr>
                <w:color w:val="auto"/>
                <w:sz w:val="14"/>
                <w:szCs w:val="14"/>
              </w:rPr>
            </w:pPr>
          </w:p>
        </w:tc>
      </w:tr>
      <w:tr w:rsidR="007F2FCC" w:rsidRPr="009B6E8A" w:rsidTr="00CE30FF">
        <w:trPr>
          <w:trHeight w:hRule="exact" w:val="309"/>
          <w:jc w:val="center"/>
        </w:trPr>
        <w:tc>
          <w:tcPr>
            <w:tcW w:w="270" w:type="dxa"/>
            <w:gridSpan w:val="2"/>
            <w:tcBorders>
              <w:top w:val="single" w:sz="12" w:space="0" w:color="auto"/>
              <w:left w:val="nil"/>
              <w:right w:val="nil"/>
            </w:tcBorders>
          </w:tcPr>
          <w:p w:rsidR="007F2FCC" w:rsidRPr="004708B4" w:rsidRDefault="007F2FCC" w:rsidP="007F2FCC">
            <w:pPr>
              <w:rPr>
                <w:b/>
                <w:bCs/>
                <w:sz w:val="28"/>
                <w:szCs w:val="28"/>
              </w:rPr>
            </w:pPr>
          </w:p>
        </w:tc>
        <w:tc>
          <w:tcPr>
            <w:tcW w:w="10170" w:type="dxa"/>
            <w:gridSpan w:val="10"/>
            <w:tcBorders>
              <w:top w:val="single" w:sz="12" w:space="0" w:color="auto"/>
              <w:left w:val="nil"/>
              <w:right w:val="nil"/>
            </w:tcBorders>
            <w:shd w:val="clear" w:color="auto" w:fill="auto"/>
            <w:noWrap/>
            <w:vAlign w:val="center"/>
            <w:hideMark/>
          </w:tcPr>
          <w:p w:rsidR="007F2FCC" w:rsidRDefault="007F2FCC" w:rsidP="007F2FCC">
            <w:pPr>
              <w:rPr>
                <w:b/>
                <w:bCs/>
                <w:sz w:val="28"/>
                <w:szCs w:val="28"/>
              </w:rPr>
            </w:pPr>
            <w:r w:rsidRPr="004708B4">
              <w:rPr>
                <w:b/>
                <w:bCs/>
                <w:sz w:val="28"/>
                <w:szCs w:val="28"/>
              </w:rPr>
              <w:t>2.5 Currency in Circulation</w:t>
            </w:r>
          </w:p>
        </w:tc>
      </w:tr>
      <w:tr w:rsidR="007F2FCC" w:rsidRPr="009B6E8A" w:rsidTr="00CE30FF">
        <w:trPr>
          <w:trHeight w:hRule="exact" w:val="207"/>
          <w:jc w:val="center"/>
        </w:trPr>
        <w:tc>
          <w:tcPr>
            <w:tcW w:w="270" w:type="dxa"/>
            <w:gridSpan w:val="2"/>
            <w:tcBorders>
              <w:top w:val="nil"/>
              <w:left w:val="nil"/>
              <w:bottom w:val="single" w:sz="12" w:space="0" w:color="auto"/>
              <w:right w:val="nil"/>
            </w:tcBorders>
          </w:tcPr>
          <w:p w:rsidR="007F2FCC" w:rsidRDefault="007F2FCC" w:rsidP="007F2FCC">
            <w:pPr>
              <w:jc w:val="right"/>
              <w:rPr>
                <w:szCs w:val="16"/>
              </w:rPr>
            </w:pPr>
          </w:p>
        </w:tc>
        <w:tc>
          <w:tcPr>
            <w:tcW w:w="10170" w:type="dxa"/>
            <w:gridSpan w:val="10"/>
            <w:tcBorders>
              <w:top w:val="nil"/>
              <w:left w:val="nil"/>
              <w:bottom w:val="single" w:sz="12" w:space="0" w:color="auto"/>
              <w:right w:val="nil"/>
            </w:tcBorders>
            <w:shd w:val="clear" w:color="auto" w:fill="auto"/>
            <w:noWrap/>
            <w:vAlign w:val="center"/>
            <w:hideMark/>
          </w:tcPr>
          <w:p w:rsidR="007F2FCC" w:rsidRDefault="007F2FCC" w:rsidP="007F2FCC">
            <w:pPr>
              <w:jc w:val="right"/>
              <w:rPr>
                <w:szCs w:val="16"/>
              </w:rPr>
            </w:pPr>
            <w:r>
              <w:rPr>
                <w:szCs w:val="16"/>
              </w:rPr>
              <w:t>Million Rupees</w:t>
            </w:r>
          </w:p>
        </w:tc>
      </w:tr>
      <w:tr w:rsidR="007F2FCC" w:rsidRPr="009B6E8A" w:rsidTr="007F2FCC">
        <w:trPr>
          <w:trHeight w:hRule="exact" w:val="264"/>
          <w:jc w:val="center"/>
        </w:trPr>
        <w:tc>
          <w:tcPr>
            <w:tcW w:w="3150" w:type="dxa"/>
            <w:gridSpan w:val="3"/>
            <w:tcBorders>
              <w:top w:val="single" w:sz="12" w:space="0" w:color="auto"/>
              <w:left w:val="nil"/>
              <w:right w:val="single" w:sz="4" w:space="0" w:color="auto"/>
            </w:tcBorders>
            <w:shd w:val="clear" w:color="auto" w:fill="auto"/>
            <w:noWrap/>
            <w:vAlign w:val="center"/>
            <w:hideMark/>
          </w:tcPr>
          <w:p w:rsidR="007F2FCC" w:rsidRPr="009B6E8A" w:rsidRDefault="007F2FCC" w:rsidP="007F2FCC">
            <w:pPr>
              <w:jc w:val="left"/>
              <w:rPr>
                <w:b/>
                <w:bCs/>
                <w:color w:val="auto"/>
                <w:sz w:val="14"/>
                <w:szCs w:val="14"/>
              </w:rPr>
            </w:pP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7F2FCC" w:rsidRPr="000D5A5A" w:rsidRDefault="007F2FCC" w:rsidP="007F2FCC">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7F2FCC" w:rsidRPr="000D5A5A" w:rsidRDefault="007F2FCC" w:rsidP="007F2FCC">
            <w:pPr>
              <w:rPr>
                <w:b/>
                <w:bCs/>
                <w:color w:val="auto"/>
                <w:szCs w:val="16"/>
              </w:rPr>
            </w:pPr>
            <w:r>
              <w:rPr>
                <w:b/>
                <w:bCs/>
                <w:color w:val="auto"/>
                <w:szCs w:val="16"/>
              </w:rPr>
              <w:t>2022</w:t>
            </w:r>
          </w:p>
        </w:tc>
        <w:tc>
          <w:tcPr>
            <w:tcW w:w="4050" w:type="dxa"/>
            <w:gridSpan w:val="5"/>
            <w:tcBorders>
              <w:top w:val="single" w:sz="12" w:space="0" w:color="auto"/>
              <w:left w:val="single" w:sz="4" w:space="0" w:color="auto"/>
              <w:bottom w:val="single" w:sz="4" w:space="0" w:color="auto"/>
            </w:tcBorders>
            <w:shd w:val="clear" w:color="auto" w:fill="auto"/>
            <w:vAlign w:val="center"/>
          </w:tcPr>
          <w:p w:rsidR="007F2FCC" w:rsidRPr="000D5A5A" w:rsidRDefault="007F2FCC" w:rsidP="007F2FCC">
            <w:pPr>
              <w:rPr>
                <w:b/>
                <w:bCs/>
                <w:color w:val="auto"/>
                <w:szCs w:val="16"/>
              </w:rPr>
            </w:pPr>
            <w:r>
              <w:rPr>
                <w:b/>
                <w:bCs/>
                <w:color w:val="auto"/>
                <w:szCs w:val="16"/>
              </w:rPr>
              <w:t>2023</w:t>
            </w:r>
          </w:p>
        </w:tc>
      </w:tr>
      <w:tr w:rsidR="007F2FCC" w:rsidRPr="009B6E8A" w:rsidTr="007F2FCC">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7F2FCC" w:rsidRPr="009B6E8A" w:rsidRDefault="007F2FCC" w:rsidP="007F2FCC">
            <w:pPr>
              <w:jc w:val="left"/>
              <w:rPr>
                <w:b/>
                <w:bCs/>
                <w:color w:val="auto"/>
                <w:sz w:val="14"/>
                <w:szCs w:val="14"/>
              </w:rPr>
            </w:pPr>
          </w:p>
        </w:tc>
        <w:tc>
          <w:tcPr>
            <w:tcW w:w="2914" w:type="dxa"/>
            <w:gridSpan w:val="2"/>
            <w:tcBorders>
              <w:top w:val="single" w:sz="4" w:space="0" w:color="auto"/>
              <w:bottom w:val="single" w:sz="12" w:space="0" w:color="auto"/>
              <w:right w:val="single" w:sz="4" w:space="0" w:color="auto"/>
            </w:tcBorders>
            <w:shd w:val="clear" w:color="auto" w:fill="auto"/>
            <w:vAlign w:val="center"/>
          </w:tcPr>
          <w:p w:rsidR="007F2FCC" w:rsidRPr="009B6E8A" w:rsidRDefault="007F2FCC" w:rsidP="007F2FCC">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F2FCC" w:rsidRPr="006619BF" w:rsidRDefault="007F2FCC" w:rsidP="007F2FCC">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F2FCC" w:rsidRPr="006619BF" w:rsidRDefault="007F2FCC" w:rsidP="007F2FCC">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F2FCC" w:rsidRPr="00B02E3D" w:rsidRDefault="007F2FCC" w:rsidP="007F2FCC">
            <w:pPr>
              <w:jc w:val="right"/>
              <w:rPr>
                <w:b/>
                <w:bCs/>
                <w:color w:val="auto"/>
                <w:sz w:val="14"/>
                <w:szCs w:val="14"/>
              </w:rPr>
            </w:pPr>
            <w:r w:rsidRPr="00B02E3D">
              <w:rPr>
                <w:b/>
                <w:bCs/>
                <w:sz w:val="14"/>
                <w:szCs w:val="14"/>
              </w:rPr>
              <w:t xml:space="preserve">FY22 </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7F2FCC" w:rsidRPr="006619BF" w:rsidRDefault="007F2FCC" w:rsidP="007F2FCC">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Jan</w:t>
            </w:r>
          </w:p>
        </w:tc>
        <w:tc>
          <w:tcPr>
            <w:tcW w:w="810" w:type="dxa"/>
            <w:tcBorders>
              <w:left w:val="nil"/>
              <w:bottom w:val="single" w:sz="12" w:space="0" w:color="auto"/>
            </w:tcBorders>
            <w:shd w:val="clear" w:color="auto" w:fill="auto"/>
            <w:noWrap/>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F2FCC" w:rsidRPr="009E1787" w:rsidRDefault="007F2FCC" w:rsidP="007F2FCC">
            <w:pPr>
              <w:jc w:val="right"/>
              <w:rPr>
                <w:b/>
                <w:color w:val="auto"/>
                <w:sz w:val="14"/>
                <w:szCs w:val="14"/>
              </w:rPr>
            </w:pPr>
            <w:r>
              <w:rPr>
                <w:b/>
                <w:color w:val="auto"/>
                <w:sz w:val="14"/>
                <w:szCs w:val="14"/>
              </w:rPr>
              <w:t>Apr</w:t>
            </w:r>
          </w:p>
        </w:tc>
        <w:tc>
          <w:tcPr>
            <w:tcW w:w="810" w:type="dxa"/>
            <w:tcBorders>
              <w:top w:val="single" w:sz="4" w:space="0" w:color="auto"/>
              <w:left w:val="nil"/>
              <w:bottom w:val="single" w:sz="12" w:space="0" w:color="auto"/>
            </w:tcBorders>
            <w:vAlign w:val="center"/>
          </w:tcPr>
          <w:p w:rsidR="007F2FCC" w:rsidRPr="009E1787" w:rsidRDefault="007F2FCC" w:rsidP="007F2FCC">
            <w:pPr>
              <w:jc w:val="right"/>
              <w:rPr>
                <w:b/>
                <w:color w:val="auto"/>
                <w:sz w:val="14"/>
                <w:szCs w:val="14"/>
              </w:rPr>
            </w:pPr>
            <w:proofErr w:type="spellStart"/>
            <w:r>
              <w:rPr>
                <w:b/>
                <w:color w:val="auto"/>
                <w:sz w:val="14"/>
                <w:szCs w:val="14"/>
              </w:rPr>
              <w:t>May</w:t>
            </w:r>
            <w:r w:rsidRPr="007F2FCC">
              <w:rPr>
                <w:b/>
                <w:color w:val="auto"/>
                <w:sz w:val="14"/>
                <w:szCs w:val="14"/>
                <w:vertAlign w:val="superscript"/>
              </w:rPr>
              <w:t>P</w:t>
            </w:r>
            <w:proofErr w:type="spellEnd"/>
          </w:p>
        </w:tc>
      </w:tr>
      <w:tr w:rsidR="007F2FCC" w:rsidRPr="009B6E8A" w:rsidTr="007F2FCC">
        <w:trPr>
          <w:trHeight w:hRule="exact" w:val="236"/>
          <w:jc w:val="center"/>
        </w:trPr>
        <w:tc>
          <w:tcPr>
            <w:tcW w:w="236" w:type="dxa"/>
            <w:tcBorders>
              <w:top w:val="single" w:sz="4" w:space="0" w:color="auto"/>
              <w:left w:val="nil"/>
            </w:tcBorders>
            <w:shd w:val="clear" w:color="auto" w:fill="auto"/>
            <w:noWrap/>
            <w:vAlign w:val="center"/>
            <w:hideMark/>
          </w:tcPr>
          <w:p w:rsidR="007F2FCC" w:rsidRDefault="007F2FCC" w:rsidP="007F2FCC">
            <w:pPr>
              <w:jc w:val="left"/>
              <w:rPr>
                <w:sz w:val="14"/>
                <w:szCs w:val="14"/>
              </w:rPr>
            </w:pPr>
            <w:r>
              <w:rPr>
                <w:sz w:val="14"/>
                <w:szCs w:val="14"/>
              </w:rPr>
              <w:t>1</w:t>
            </w:r>
          </w:p>
        </w:tc>
        <w:tc>
          <w:tcPr>
            <w:tcW w:w="2914" w:type="dxa"/>
            <w:gridSpan w:val="2"/>
            <w:tcBorders>
              <w:top w:val="single" w:sz="12" w:space="0" w:color="auto"/>
              <w:right w:val="nil"/>
            </w:tcBorders>
            <w:shd w:val="clear" w:color="auto" w:fill="auto"/>
            <w:vAlign w:val="center"/>
          </w:tcPr>
          <w:p w:rsidR="007F2FCC" w:rsidRDefault="007F2FCC" w:rsidP="007F2FCC">
            <w:pPr>
              <w:jc w:val="left"/>
              <w:rPr>
                <w:sz w:val="14"/>
                <w:szCs w:val="14"/>
              </w:rPr>
            </w:pPr>
            <w:r>
              <w:rPr>
                <w:sz w:val="14"/>
                <w:szCs w:val="14"/>
              </w:rPr>
              <w:t>Banknotes</w:t>
            </w: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7F2FCC" w:rsidRDefault="007F2FCC" w:rsidP="007F2FCC">
            <w:pPr>
              <w:jc w:val="right"/>
              <w:rPr>
                <w:sz w:val="14"/>
                <w:szCs w:val="14"/>
              </w:rPr>
            </w:pPr>
            <w:r>
              <w:rPr>
                <w:sz w:val="14"/>
                <w:szCs w:val="14"/>
              </w:rPr>
              <w:t>6,458,763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7,278,860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 xml:space="preserve">7,992,592 </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8,039,245</w:t>
            </w:r>
          </w:p>
        </w:tc>
        <w:tc>
          <w:tcPr>
            <w:tcW w:w="810" w:type="dxa"/>
            <w:tcBorders>
              <w:top w:val="single" w:sz="12" w:space="0" w:color="auto"/>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8,243,199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8,445,016</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8,755,063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9,571,147</w:t>
            </w:r>
          </w:p>
        </w:tc>
        <w:tc>
          <w:tcPr>
            <w:tcW w:w="810" w:type="dxa"/>
            <w:tcBorders>
              <w:top w:val="nil"/>
              <w:left w:val="nil"/>
              <w:bottom w:val="nil"/>
              <w:right w:val="nil"/>
            </w:tcBorders>
            <w:vAlign w:val="center"/>
          </w:tcPr>
          <w:p w:rsidR="007F2FCC" w:rsidRPr="007F2FCC" w:rsidRDefault="007F2FCC" w:rsidP="007F2FCC">
            <w:pPr>
              <w:jc w:val="right"/>
              <w:rPr>
                <w:sz w:val="14"/>
                <w:szCs w:val="14"/>
              </w:rPr>
            </w:pPr>
            <w:r w:rsidRPr="007F2FCC">
              <w:rPr>
                <w:sz w:val="14"/>
                <w:szCs w:val="14"/>
              </w:rPr>
              <w:t>9,106,305</w:t>
            </w:r>
          </w:p>
        </w:tc>
      </w:tr>
      <w:tr w:rsidR="007F2FCC" w:rsidRPr="009B6E8A" w:rsidTr="007F2FCC">
        <w:trPr>
          <w:trHeight w:hRule="exact" w:val="236"/>
          <w:jc w:val="center"/>
        </w:trPr>
        <w:tc>
          <w:tcPr>
            <w:tcW w:w="236" w:type="dxa"/>
            <w:tcBorders>
              <w:top w:val="nil"/>
              <w:left w:val="nil"/>
            </w:tcBorders>
            <w:shd w:val="clear" w:color="auto" w:fill="auto"/>
            <w:noWrap/>
            <w:vAlign w:val="center"/>
            <w:hideMark/>
          </w:tcPr>
          <w:p w:rsidR="007F2FCC" w:rsidRDefault="007F2FCC" w:rsidP="007F2FCC">
            <w:pPr>
              <w:jc w:val="left"/>
              <w:rPr>
                <w:sz w:val="14"/>
                <w:szCs w:val="14"/>
              </w:rPr>
            </w:pPr>
            <w:r>
              <w:rPr>
                <w:sz w:val="14"/>
                <w:szCs w:val="14"/>
              </w:rPr>
              <w:t>2</w:t>
            </w:r>
          </w:p>
        </w:tc>
        <w:tc>
          <w:tcPr>
            <w:tcW w:w="2914" w:type="dxa"/>
            <w:gridSpan w:val="2"/>
            <w:tcBorders>
              <w:top w:val="nil"/>
              <w:right w:val="nil"/>
            </w:tcBorders>
            <w:shd w:val="clear" w:color="auto" w:fill="auto"/>
            <w:vAlign w:val="center"/>
          </w:tcPr>
          <w:p w:rsidR="007F2FCC" w:rsidRDefault="007F2FCC" w:rsidP="007F2FCC">
            <w:pPr>
              <w:jc w:val="left"/>
              <w:rPr>
                <w:sz w:val="14"/>
                <w:szCs w:val="14"/>
              </w:rPr>
            </w:pPr>
            <w:r>
              <w:rPr>
                <w:sz w:val="14"/>
                <w:szCs w:val="14"/>
              </w:rPr>
              <w:t>One Rupee Coins and above</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Default="007F2FCC" w:rsidP="007F2FCC">
            <w:pPr>
              <w:jc w:val="right"/>
              <w:rPr>
                <w:sz w:val="14"/>
                <w:szCs w:val="14"/>
              </w:rPr>
            </w:pPr>
            <w:r>
              <w:rPr>
                <w:sz w:val="14"/>
                <w:szCs w:val="14"/>
              </w:rPr>
              <w:t>9,962</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9,947</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 xml:space="preserve">9,991 </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9,868</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9,891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9,926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9,813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9,796</w:t>
            </w:r>
          </w:p>
        </w:tc>
        <w:tc>
          <w:tcPr>
            <w:tcW w:w="810" w:type="dxa"/>
            <w:tcBorders>
              <w:top w:val="nil"/>
              <w:left w:val="nil"/>
              <w:bottom w:val="nil"/>
              <w:right w:val="nil"/>
            </w:tcBorders>
            <w:vAlign w:val="center"/>
          </w:tcPr>
          <w:p w:rsidR="007F2FCC" w:rsidRPr="007F2FCC" w:rsidRDefault="007F2FCC" w:rsidP="007F2FCC">
            <w:pPr>
              <w:jc w:val="right"/>
              <w:rPr>
                <w:sz w:val="14"/>
                <w:szCs w:val="14"/>
              </w:rPr>
            </w:pPr>
            <w:r w:rsidRPr="007F2FCC">
              <w:rPr>
                <w:sz w:val="14"/>
                <w:szCs w:val="14"/>
              </w:rPr>
              <w:t>9,801</w:t>
            </w:r>
          </w:p>
        </w:tc>
      </w:tr>
      <w:tr w:rsidR="007F2FCC" w:rsidRPr="003D2B79" w:rsidTr="007F2FCC">
        <w:trPr>
          <w:trHeight w:hRule="exact" w:val="236"/>
          <w:jc w:val="center"/>
        </w:trPr>
        <w:tc>
          <w:tcPr>
            <w:tcW w:w="236" w:type="dxa"/>
            <w:tcBorders>
              <w:top w:val="nil"/>
              <w:left w:val="nil"/>
            </w:tcBorders>
            <w:shd w:val="clear" w:color="auto" w:fill="auto"/>
            <w:noWrap/>
            <w:vAlign w:val="center"/>
            <w:hideMark/>
          </w:tcPr>
          <w:p w:rsidR="007F2FCC" w:rsidRDefault="007F2FCC" w:rsidP="007F2FCC">
            <w:pPr>
              <w:jc w:val="left"/>
              <w:rPr>
                <w:b/>
                <w:bCs/>
                <w:sz w:val="14"/>
                <w:szCs w:val="14"/>
              </w:rPr>
            </w:pPr>
            <w:r>
              <w:rPr>
                <w:b/>
                <w:bCs/>
                <w:sz w:val="14"/>
                <w:szCs w:val="14"/>
              </w:rPr>
              <w:t>3</w:t>
            </w:r>
          </w:p>
        </w:tc>
        <w:tc>
          <w:tcPr>
            <w:tcW w:w="2914" w:type="dxa"/>
            <w:gridSpan w:val="2"/>
            <w:tcBorders>
              <w:top w:val="nil"/>
              <w:right w:val="nil"/>
            </w:tcBorders>
            <w:shd w:val="clear" w:color="auto" w:fill="auto"/>
            <w:vAlign w:val="center"/>
          </w:tcPr>
          <w:p w:rsidR="007F2FCC" w:rsidRDefault="007F2FCC" w:rsidP="007F2FCC">
            <w:pPr>
              <w:jc w:val="left"/>
              <w:rPr>
                <w:b/>
                <w:bCs/>
                <w:sz w:val="14"/>
                <w:szCs w:val="14"/>
              </w:rPr>
            </w:pPr>
            <w:r>
              <w:rPr>
                <w:b/>
                <w:bCs/>
                <w:sz w:val="14"/>
                <w:szCs w:val="14"/>
              </w:rPr>
              <w:t>Total (1+2)</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Default="007F2FCC" w:rsidP="007F2FCC">
            <w:pPr>
              <w:jc w:val="right"/>
              <w:rPr>
                <w:b/>
                <w:bCs/>
                <w:sz w:val="14"/>
                <w:szCs w:val="14"/>
              </w:rPr>
            </w:pPr>
            <w:r>
              <w:rPr>
                <w:b/>
                <w:bCs/>
                <w:sz w:val="14"/>
                <w:szCs w:val="14"/>
              </w:rPr>
              <w:t>6,468,725</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b/>
                <w:bCs/>
                <w:sz w:val="14"/>
                <w:szCs w:val="14"/>
              </w:rPr>
            </w:pPr>
            <w:r w:rsidRPr="003B2DA1">
              <w:rPr>
                <w:b/>
                <w:bCs/>
                <w:sz w:val="14"/>
                <w:szCs w:val="14"/>
              </w:rPr>
              <w:t>7,288,807</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b/>
                <w:bCs/>
                <w:sz w:val="14"/>
                <w:szCs w:val="14"/>
              </w:rPr>
            </w:pPr>
            <w:r w:rsidRPr="003B2DA1">
              <w:rPr>
                <w:b/>
                <w:bCs/>
                <w:sz w:val="14"/>
                <w:szCs w:val="14"/>
              </w:rPr>
              <w:t xml:space="preserve">8,002,583 </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8,049,113</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sz w:val="14"/>
                <w:szCs w:val="14"/>
              </w:rPr>
            </w:pPr>
            <w:r w:rsidRPr="007F2FCC">
              <w:rPr>
                <w:rFonts w:asciiTheme="majorBidi" w:hAnsiTheme="majorBidi" w:cstheme="majorBidi"/>
                <w:b/>
                <w:bCs/>
                <w:sz w:val="14"/>
                <w:szCs w:val="14"/>
              </w:rPr>
              <w:t>8,253,090</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8,454,942</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8,764,876</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9,580,943</w:t>
            </w:r>
          </w:p>
        </w:tc>
        <w:tc>
          <w:tcPr>
            <w:tcW w:w="810" w:type="dxa"/>
            <w:tcBorders>
              <w:top w:val="nil"/>
              <w:left w:val="nil"/>
              <w:bottom w:val="nil"/>
              <w:right w:val="nil"/>
            </w:tcBorders>
            <w:vAlign w:val="center"/>
          </w:tcPr>
          <w:p w:rsidR="007F2FCC" w:rsidRPr="007F2FCC" w:rsidRDefault="007F2FCC" w:rsidP="007F2FCC">
            <w:pPr>
              <w:jc w:val="right"/>
              <w:rPr>
                <w:b/>
                <w:bCs/>
                <w:sz w:val="14"/>
                <w:szCs w:val="14"/>
              </w:rPr>
            </w:pPr>
            <w:r w:rsidRPr="007F2FCC">
              <w:rPr>
                <w:b/>
                <w:bCs/>
                <w:sz w:val="14"/>
                <w:szCs w:val="14"/>
              </w:rPr>
              <w:t>9,116,106</w:t>
            </w:r>
          </w:p>
        </w:tc>
      </w:tr>
      <w:tr w:rsidR="007F2FCC" w:rsidRPr="009B6E8A" w:rsidTr="007F2FCC">
        <w:trPr>
          <w:trHeight w:hRule="exact" w:val="236"/>
          <w:jc w:val="center"/>
        </w:trPr>
        <w:tc>
          <w:tcPr>
            <w:tcW w:w="236" w:type="dxa"/>
            <w:tcBorders>
              <w:top w:val="nil"/>
              <w:left w:val="nil"/>
            </w:tcBorders>
            <w:shd w:val="clear" w:color="auto" w:fill="auto"/>
            <w:noWrap/>
            <w:vAlign w:val="center"/>
            <w:hideMark/>
          </w:tcPr>
          <w:p w:rsidR="007F2FCC" w:rsidRDefault="007F2FCC" w:rsidP="007F2FCC">
            <w:pPr>
              <w:jc w:val="left"/>
              <w:rPr>
                <w:sz w:val="14"/>
                <w:szCs w:val="14"/>
              </w:rPr>
            </w:pPr>
            <w:r>
              <w:rPr>
                <w:sz w:val="14"/>
                <w:szCs w:val="14"/>
              </w:rPr>
              <w:t>4</w:t>
            </w:r>
          </w:p>
        </w:tc>
        <w:tc>
          <w:tcPr>
            <w:tcW w:w="2914" w:type="dxa"/>
            <w:gridSpan w:val="2"/>
            <w:tcBorders>
              <w:top w:val="nil"/>
              <w:right w:val="nil"/>
            </w:tcBorders>
            <w:shd w:val="clear" w:color="auto" w:fill="auto"/>
            <w:vAlign w:val="center"/>
          </w:tcPr>
          <w:p w:rsidR="007F2FCC" w:rsidRDefault="007F2FCC" w:rsidP="007F2FCC">
            <w:pPr>
              <w:jc w:val="left"/>
              <w:rPr>
                <w:sz w:val="14"/>
                <w:szCs w:val="14"/>
              </w:rPr>
            </w:pPr>
            <w:r>
              <w:rPr>
                <w:sz w:val="14"/>
                <w:szCs w:val="14"/>
              </w:rPr>
              <w:t>Held by Banking Department of SBP</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Default="007F2FCC" w:rsidP="007F2FCC">
            <w:pPr>
              <w:jc w:val="right"/>
              <w:rPr>
                <w:sz w:val="14"/>
                <w:szCs w:val="14"/>
              </w:rPr>
            </w:pPr>
            <w:r>
              <w:rPr>
                <w:sz w:val="14"/>
                <w:szCs w:val="14"/>
              </w:rPr>
              <w:t>173</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150</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 xml:space="preserve">146 </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191</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118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177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103</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110</w:t>
            </w:r>
          </w:p>
        </w:tc>
        <w:tc>
          <w:tcPr>
            <w:tcW w:w="810" w:type="dxa"/>
            <w:tcBorders>
              <w:top w:val="nil"/>
              <w:left w:val="nil"/>
              <w:bottom w:val="nil"/>
              <w:right w:val="nil"/>
            </w:tcBorders>
            <w:vAlign w:val="center"/>
          </w:tcPr>
          <w:p w:rsidR="007F2FCC" w:rsidRPr="007F2FCC" w:rsidRDefault="007F2FCC" w:rsidP="007F2FCC">
            <w:pPr>
              <w:jc w:val="right"/>
              <w:rPr>
                <w:sz w:val="14"/>
                <w:szCs w:val="14"/>
              </w:rPr>
            </w:pPr>
            <w:r w:rsidRPr="007F2FCC">
              <w:rPr>
                <w:sz w:val="14"/>
                <w:szCs w:val="14"/>
              </w:rPr>
              <w:t>115</w:t>
            </w:r>
          </w:p>
        </w:tc>
      </w:tr>
      <w:tr w:rsidR="007F2FCC" w:rsidRPr="009B6E8A" w:rsidTr="007F2FCC">
        <w:trPr>
          <w:trHeight w:hRule="exact" w:val="236"/>
          <w:jc w:val="center"/>
        </w:trPr>
        <w:tc>
          <w:tcPr>
            <w:tcW w:w="236" w:type="dxa"/>
            <w:tcBorders>
              <w:top w:val="nil"/>
              <w:left w:val="nil"/>
            </w:tcBorders>
            <w:shd w:val="clear" w:color="auto" w:fill="auto"/>
            <w:noWrap/>
            <w:vAlign w:val="center"/>
            <w:hideMark/>
          </w:tcPr>
          <w:p w:rsidR="007F2FCC" w:rsidRDefault="007F2FCC" w:rsidP="007F2FCC">
            <w:pPr>
              <w:jc w:val="left"/>
              <w:rPr>
                <w:sz w:val="14"/>
                <w:szCs w:val="14"/>
              </w:rPr>
            </w:pPr>
            <w:r>
              <w:rPr>
                <w:sz w:val="14"/>
                <w:szCs w:val="14"/>
              </w:rPr>
              <w:t>5</w:t>
            </w:r>
          </w:p>
        </w:tc>
        <w:tc>
          <w:tcPr>
            <w:tcW w:w="2914" w:type="dxa"/>
            <w:gridSpan w:val="2"/>
            <w:tcBorders>
              <w:top w:val="nil"/>
              <w:right w:val="nil"/>
            </w:tcBorders>
            <w:shd w:val="clear" w:color="auto" w:fill="auto"/>
            <w:vAlign w:val="center"/>
          </w:tcPr>
          <w:p w:rsidR="007F2FCC" w:rsidRDefault="007F2FCC" w:rsidP="007F2FCC">
            <w:pPr>
              <w:jc w:val="left"/>
              <w:rPr>
                <w:sz w:val="14"/>
                <w:szCs w:val="14"/>
              </w:rPr>
            </w:pPr>
            <w:r>
              <w:rPr>
                <w:sz w:val="14"/>
                <w:szCs w:val="14"/>
              </w:rPr>
              <w:t>Held by Issue Department of SBP</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Default="007F2FCC" w:rsidP="007F2FCC">
            <w:pPr>
              <w:jc w:val="right"/>
              <w:rPr>
                <w:sz w:val="14"/>
                <w:szCs w:val="14"/>
              </w:rPr>
            </w:pPr>
            <w:r>
              <w:rPr>
                <w:sz w:val="14"/>
                <w:szCs w:val="14"/>
              </w:rPr>
              <w:t>1029</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418</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 xml:space="preserve">406 </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204</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295</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271</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244</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235</w:t>
            </w:r>
          </w:p>
        </w:tc>
        <w:tc>
          <w:tcPr>
            <w:tcW w:w="810" w:type="dxa"/>
            <w:tcBorders>
              <w:top w:val="nil"/>
              <w:left w:val="nil"/>
              <w:bottom w:val="nil"/>
              <w:right w:val="nil"/>
            </w:tcBorders>
            <w:vAlign w:val="center"/>
          </w:tcPr>
          <w:p w:rsidR="007F2FCC" w:rsidRPr="007F2FCC" w:rsidRDefault="007F2FCC" w:rsidP="007F2FCC">
            <w:pPr>
              <w:jc w:val="right"/>
              <w:rPr>
                <w:sz w:val="14"/>
                <w:szCs w:val="14"/>
              </w:rPr>
            </w:pPr>
            <w:r w:rsidRPr="007F2FCC">
              <w:rPr>
                <w:sz w:val="14"/>
                <w:szCs w:val="14"/>
              </w:rPr>
              <w:t>198</w:t>
            </w:r>
          </w:p>
        </w:tc>
      </w:tr>
      <w:tr w:rsidR="007F2FCC" w:rsidRPr="009B6E8A" w:rsidTr="007F2FCC">
        <w:trPr>
          <w:trHeight w:hRule="exact" w:val="236"/>
          <w:jc w:val="center"/>
        </w:trPr>
        <w:tc>
          <w:tcPr>
            <w:tcW w:w="236" w:type="dxa"/>
            <w:tcBorders>
              <w:top w:val="nil"/>
              <w:left w:val="nil"/>
            </w:tcBorders>
            <w:shd w:val="clear" w:color="auto" w:fill="auto"/>
            <w:noWrap/>
            <w:vAlign w:val="center"/>
            <w:hideMark/>
          </w:tcPr>
          <w:p w:rsidR="007F2FCC" w:rsidRPr="00C12EB9" w:rsidRDefault="007F2FCC" w:rsidP="007F2FCC">
            <w:pPr>
              <w:jc w:val="left"/>
              <w:rPr>
                <w:sz w:val="14"/>
                <w:szCs w:val="14"/>
              </w:rPr>
            </w:pPr>
            <w:r w:rsidRPr="00C12EB9">
              <w:rPr>
                <w:sz w:val="14"/>
                <w:szCs w:val="14"/>
              </w:rPr>
              <w:t>6</w:t>
            </w:r>
          </w:p>
        </w:tc>
        <w:tc>
          <w:tcPr>
            <w:tcW w:w="2914" w:type="dxa"/>
            <w:gridSpan w:val="2"/>
            <w:tcBorders>
              <w:top w:val="nil"/>
              <w:right w:val="nil"/>
            </w:tcBorders>
            <w:shd w:val="clear" w:color="auto" w:fill="auto"/>
            <w:vAlign w:val="center"/>
          </w:tcPr>
          <w:p w:rsidR="007F2FCC" w:rsidRDefault="007F2FCC" w:rsidP="007F2FCC">
            <w:pPr>
              <w:jc w:val="left"/>
              <w:rPr>
                <w:sz w:val="14"/>
                <w:szCs w:val="14"/>
              </w:rPr>
            </w:pPr>
            <w:r>
              <w:rPr>
                <w:sz w:val="14"/>
                <w:szCs w:val="14"/>
              </w:rPr>
              <w:t>Currency in tills of Scheduled Banks</w:t>
            </w:r>
          </w:p>
        </w:tc>
        <w:tc>
          <w:tcPr>
            <w:tcW w:w="900" w:type="dxa"/>
            <w:tcBorders>
              <w:top w:val="nil"/>
              <w:left w:val="nil"/>
              <w:bottom w:val="nil"/>
              <w:right w:val="nil"/>
            </w:tcBorders>
            <w:shd w:val="clear" w:color="auto" w:fill="auto"/>
            <w:noWrap/>
            <w:tcMar>
              <w:left w:w="43" w:type="dxa"/>
              <w:right w:w="43" w:type="dxa"/>
            </w:tcMar>
            <w:vAlign w:val="center"/>
            <w:hideMark/>
          </w:tcPr>
          <w:p w:rsidR="007F2FCC" w:rsidRDefault="007F2FCC" w:rsidP="007F2FCC">
            <w:pPr>
              <w:jc w:val="right"/>
              <w:rPr>
                <w:sz w:val="14"/>
                <w:szCs w:val="14"/>
              </w:rPr>
            </w:pPr>
            <w:r>
              <w:rPr>
                <w:sz w:val="14"/>
                <w:szCs w:val="14"/>
              </w:rPr>
              <w:t>325,508</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7F2FCC" w:rsidRPr="003B2DA1" w:rsidRDefault="007F2FCC" w:rsidP="007F2FCC">
            <w:pPr>
              <w:jc w:val="right"/>
              <w:rPr>
                <w:sz w:val="14"/>
                <w:szCs w:val="14"/>
              </w:rPr>
            </w:pPr>
            <w:r w:rsidRPr="003B2DA1">
              <w:rPr>
                <w:sz w:val="14"/>
                <w:szCs w:val="14"/>
              </w:rPr>
              <w:t xml:space="preserve">429,566 </w:t>
            </w:r>
          </w:p>
        </w:tc>
        <w:tc>
          <w:tcPr>
            <w:tcW w:w="72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386,540</w:t>
            </w:r>
          </w:p>
        </w:tc>
        <w:tc>
          <w:tcPr>
            <w:tcW w:w="810" w:type="dxa"/>
            <w:tcBorders>
              <w:top w:val="nil"/>
              <w:left w:val="nil"/>
              <w:bottom w:val="nil"/>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sz w:val="14"/>
                <w:szCs w:val="14"/>
              </w:rPr>
            </w:pPr>
            <w:r w:rsidRPr="007F2FCC">
              <w:rPr>
                <w:rFonts w:asciiTheme="majorBidi" w:hAnsiTheme="majorBidi" w:cstheme="majorBidi"/>
                <w:sz w:val="14"/>
                <w:szCs w:val="14"/>
              </w:rPr>
              <w:t>390,197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394,497</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493,218</w:t>
            </w:r>
          </w:p>
        </w:tc>
        <w:tc>
          <w:tcPr>
            <w:tcW w:w="810" w:type="dxa"/>
            <w:tcBorders>
              <w:top w:val="nil"/>
              <w:left w:val="nil"/>
              <w:bottom w:val="nil"/>
              <w:right w:val="nil"/>
            </w:tcBorders>
            <w:shd w:val="clear" w:color="auto" w:fill="auto"/>
            <w:noWrap/>
            <w:tcMar>
              <w:left w:w="43" w:type="dxa"/>
              <w:right w:w="43" w:type="dxa"/>
            </w:tcMar>
            <w:vAlign w:val="center"/>
          </w:tcPr>
          <w:p w:rsidR="007F2FCC" w:rsidRPr="007F2FCC" w:rsidRDefault="007F2FCC" w:rsidP="007F2FCC">
            <w:pPr>
              <w:jc w:val="right"/>
              <w:rPr>
                <w:sz w:val="14"/>
                <w:szCs w:val="14"/>
              </w:rPr>
            </w:pPr>
            <w:r w:rsidRPr="007F2FCC">
              <w:rPr>
                <w:sz w:val="14"/>
                <w:szCs w:val="14"/>
              </w:rPr>
              <w:t>644,258</w:t>
            </w:r>
          </w:p>
        </w:tc>
        <w:tc>
          <w:tcPr>
            <w:tcW w:w="810" w:type="dxa"/>
            <w:tcBorders>
              <w:top w:val="nil"/>
              <w:left w:val="nil"/>
              <w:bottom w:val="nil"/>
              <w:right w:val="nil"/>
            </w:tcBorders>
            <w:vAlign w:val="center"/>
          </w:tcPr>
          <w:p w:rsidR="007F2FCC" w:rsidRPr="007F2FCC" w:rsidRDefault="007F2FCC" w:rsidP="007F2FCC">
            <w:pPr>
              <w:jc w:val="right"/>
              <w:rPr>
                <w:sz w:val="14"/>
                <w:szCs w:val="14"/>
              </w:rPr>
            </w:pPr>
            <w:r w:rsidRPr="007F2FCC">
              <w:rPr>
                <w:sz w:val="14"/>
                <w:szCs w:val="14"/>
              </w:rPr>
              <w:t>438,975</w:t>
            </w:r>
          </w:p>
        </w:tc>
      </w:tr>
      <w:tr w:rsidR="007F2FCC" w:rsidRPr="005E3896" w:rsidTr="007F2FCC">
        <w:trPr>
          <w:trHeight w:hRule="exact" w:val="198"/>
          <w:jc w:val="center"/>
        </w:trPr>
        <w:tc>
          <w:tcPr>
            <w:tcW w:w="236" w:type="dxa"/>
            <w:tcBorders>
              <w:top w:val="nil"/>
              <w:left w:val="nil"/>
              <w:bottom w:val="single" w:sz="12" w:space="0" w:color="auto"/>
            </w:tcBorders>
            <w:shd w:val="clear" w:color="auto" w:fill="auto"/>
            <w:noWrap/>
            <w:vAlign w:val="center"/>
            <w:hideMark/>
          </w:tcPr>
          <w:p w:rsidR="007F2FCC" w:rsidRDefault="007F2FCC" w:rsidP="007F2FCC">
            <w:pPr>
              <w:jc w:val="left"/>
              <w:rPr>
                <w:b/>
                <w:bCs/>
                <w:sz w:val="14"/>
                <w:szCs w:val="14"/>
              </w:rPr>
            </w:pPr>
            <w:r>
              <w:rPr>
                <w:b/>
                <w:bCs/>
                <w:sz w:val="14"/>
                <w:szCs w:val="14"/>
              </w:rPr>
              <w:t>7</w:t>
            </w:r>
          </w:p>
        </w:tc>
        <w:tc>
          <w:tcPr>
            <w:tcW w:w="2914" w:type="dxa"/>
            <w:gridSpan w:val="2"/>
            <w:tcBorders>
              <w:top w:val="nil"/>
              <w:bottom w:val="single" w:sz="12" w:space="0" w:color="auto"/>
              <w:right w:val="nil"/>
            </w:tcBorders>
            <w:shd w:val="clear" w:color="auto" w:fill="auto"/>
            <w:vAlign w:val="center"/>
          </w:tcPr>
          <w:p w:rsidR="007F2FCC" w:rsidRDefault="007F2FCC" w:rsidP="007F2FCC">
            <w:pPr>
              <w:jc w:val="left"/>
              <w:rPr>
                <w:b/>
                <w:bCs/>
                <w:sz w:val="14"/>
                <w:szCs w:val="14"/>
              </w:rPr>
            </w:pPr>
            <w:r>
              <w:rPr>
                <w:b/>
                <w:bCs/>
                <w:sz w:val="14"/>
                <w:szCs w:val="14"/>
              </w:rPr>
              <w:t>Currency in Circulation (3-4-5-6)</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F2FCC" w:rsidRDefault="007F2FCC" w:rsidP="007F2FCC">
            <w:pPr>
              <w:jc w:val="right"/>
              <w:rPr>
                <w:b/>
                <w:bCs/>
                <w:sz w:val="14"/>
                <w:szCs w:val="14"/>
              </w:rPr>
            </w:pPr>
            <w:r>
              <w:rPr>
                <w:b/>
                <w:bCs/>
                <w:sz w:val="14"/>
                <w:szCs w:val="14"/>
              </w:rPr>
              <w:t>6,142,016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2FCC" w:rsidRPr="003B2DA1" w:rsidRDefault="007F2FCC" w:rsidP="007F2FCC">
            <w:pPr>
              <w:jc w:val="right"/>
              <w:rPr>
                <w:b/>
                <w:bCs/>
                <w:sz w:val="14"/>
                <w:szCs w:val="14"/>
              </w:rPr>
            </w:pPr>
            <w:r w:rsidRPr="003B2DA1">
              <w:rPr>
                <w:b/>
                <w:bCs/>
                <w:sz w:val="14"/>
                <w:szCs w:val="14"/>
              </w:rPr>
              <w:t>6,909,937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2FCC" w:rsidRPr="003B2DA1" w:rsidRDefault="007F2FCC" w:rsidP="007F2FCC">
            <w:pPr>
              <w:jc w:val="right"/>
              <w:rPr>
                <w:b/>
                <w:bCs/>
                <w:sz w:val="14"/>
                <w:szCs w:val="14"/>
              </w:rPr>
            </w:pPr>
            <w:r w:rsidRPr="003B2DA1">
              <w:rPr>
                <w:b/>
                <w:bCs/>
                <w:sz w:val="14"/>
                <w:szCs w:val="14"/>
              </w:rPr>
              <w:t xml:space="preserve">7,572,465 </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7,662,178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F2FCC" w:rsidRPr="007F2FCC" w:rsidRDefault="007F2FCC" w:rsidP="007F2FCC">
            <w:pPr>
              <w:jc w:val="right"/>
              <w:rPr>
                <w:rFonts w:asciiTheme="majorBidi" w:hAnsiTheme="majorBidi" w:cstheme="majorBidi"/>
                <w:b/>
                <w:bCs/>
                <w:color w:val="auto"/>
                <w:sz w:val="14"/>
                <w:szCs w:val="14"/>
              </w:rPr>
            </w:pPr>
            <w:r w:rsidRPr="007F2FCC">
              <w:rPr>
                <w:rFonts w:asciiTheme="majorBidi" w:hAnsiTheme="majorBidi" w:cstheme="majorBidi"/>
                <w:b/>
                <w:bCs/>
                <w:sz w:val="14"/>
                <w:szCs w:val="14"/>
              </w:rPr>
              <w:t>7,862,480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8,059,997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8,271,312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2FCC" w:rsidRPr="007F2FCC" w:rsidRDefault="007F2FCC" w:rsidP="007F2FCC">
            <w:pPr>
              <w:jc w:val="right"/>
              <w:rPr>
                <w:b/>
                <w:bCs/>
                <w:sz w:val="14"/>
                <w:szCs w:val="14"/>
              </w:rPr>
            </w:pPr>
            <w:r w:rsidRPr="007F2FCC">
              <w:rPr>
                <w:b/>
                <w:bCs/>
                <w:sz w:val="14"/>
                <w:szCs w:val="14"/>
              </w:rPr>
              <w:t>8,936,340</w:t>
            </w:r>
          </w:p>
        </w:tc>
        <w:tc>
          <w:tcPr>
            <w:tcW w:w="810" w:type="dxa"/>
            <w:tcBorders>
              <w:top w:val="nil"/>
              <w:left w:val="nil"/>
              <w:bottom w:val="single" w:sz="12" w:space="0" w:color="auto"/>
              <w:right w:val="nil"/>
            </w:tcBorders>
            <w:vAlign w:val="center"/>
          </w:tcPr>
          <w:p w:rsidR="007F2FCC" w:rsidRPr="007F2FCC" w:rsidRDefault="007F2FCC" w:rsidP="007F2FCC">
            <w:pPr>
              <w:jc w:val="right"/>
              <w:rPr>
                <w:b/>
                <w:bCs/>
                <w:sz w:val="14"/>
                <w:szCs w:val="14"/>
              </w:rPr>
            </w:pPr>
            <w:r w:rsidRPr="007F2FCC">
              <w:rPr>
                <w:b/>
                <w:bCs/>
                <w:sz w:val="14"/>
                <w:szCs w:val="14"/>
              </w:rPr>
              <w:t>8,676,818</w:t>
            </w:r>
          </w:p>
        </w:tc>
      </w:tr>
      <w:tr w:rsidR="007F2FCC" w:rsidRPr="009B6E8A" w:rsidTr="00CE30FF">
        <w:trPr>
          <w:trHeight w:val="825"/>
          <w:jc w:val="center"/>
        </w:trPr>
        <w:tc>
          <w:tcPr>
            <w:tcW w:w="270" w:type="dxa"/>
            <w:gridSpan w:val="2"/>
            <w:tcBorders>
              <w:top w:val="nil"/>
              <w:left w:val="nil"/>
              <w:right w:val="nil"/>
            </w:tcBorders>
          </w:tcPr>
          <w:p w:rsidR="007F2FCC" w:rsidRPr="00916320" w:rsidRDefault="007F2FCC" w:rsidP="007F2FCC">
            <w:pPr>
              <w:ind w:left="405" w:hanging="180"/>
              <w:jc w:val="left"/>
              <w:rPr>
                <w:color w:val="auto"/>
                <w:sz w:val="14"/>
                <w:szCs w:val="14"/>
              </w:rPr>
            </w:pPr>
          </w:p>
        </w:tc>
        <w:tc>
          <w:tcPr>
            <w:tcW w:w="10170" w:type="dxa"/>
            <w:gridSpan w:val="10"/>
            <w:tcBorders>
              <w:top w:val="nil"/>
              <w:left w:val="nil"/>
              <w:right w:val="nil"/>
            </w:tcBorders>
            <w:shd w:val="clear" w:color="auto" w:fill="auto"/>
            <w:noWrap/>
            <w:hideMark/>
          </w:tcPr>
          <w:p w:rsidR="007F2FCC" w:rsidRPr="00916320" w:rsidRDefault="007F2FCC" w:rsidP="007F2FCC">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7F2FCC" w:rsidRDefault="007F2FCC" w:rsidP="007F2FCC">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7F2FCC" w:rsidRPr="00CC02B9" w:rsidRDefault="007F2FCC" w:rsidP="007F2FCC">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20"/>
        <w:gridCol w:w="720"/>
        <w:gridCol w:w="810"/>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7F2FCC" w:rsidRPr="00247299" w:rsidTr="007F2FCC">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7F2FCC" w:rsidRPr="00247299" w:rsidRDefault="007F2FCC" w:rsidP="007B4774">
            <w:pPr>
              <w:rPr>
                <w:b/>
                <w:bCs/>
                <w:color w:val="auto"/>
                <w:sz w:val="14"/>
                <w:szCs w:val="14"/>
              </w:rPr>
            </w:pPr>
          </w:p>
          <w:p w:rsidR="007F2FCC" w:rsidRPr="00247299" w:rsidRDefault="007F2FCC"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AE17B5" w:rsidRDefault="007F2FCC"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2022</w:t>
            </w:r>
          </w:p>
        </w:tc>
        <w:tc>
          <w:tcPr>
            <w:tcW w:w="3690" w:type="dxa"/>
            <w:gridSpan w:val="5"/>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2023</w:t>
            </w:r>
          </w:p>
        </w:tc>
      </w:tr>
      <w:tr w:rsidR="007F2FCC" w:rsidRPr="00247299" w:rsidTr="007F2FCC">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7F2FCC" w:rsidRPr="00247299" w:rsidRDefault="007F2FCC" w:rsidP="007F2FCC">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F2FCC" w:rsidRPr="006619BF" w:rsidRDefault="007F2FCC" w:rsidP="007F2FCC">
            <w:pPr>
              <w:jc w:val="right"/>
              <w:rPr>
                <w:b/>
                <w:bCs/>
                <w:color w:val="auto"/>
                <w:sz w:val="14"/>
                <w:szCs w:val="14"/>
              </w:rPr>
            </w:pPr>
            <w:r>
              <w:rPr>
                <w:b/>
                <w:bCs/>
                <w:color w:val="auto"/>
                <w:sz w:val="14"/>
                <w:szCs w:val="14"/>
              </w:rPr>
              <w:t>FY20</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F2FCC" w:rsidRPr="006619BF" w:rsidRDefault="007F2FCC" w:rsidP="007F2FCC">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F2FCC" w:rsidRPr="0071663A" w:rsidRDefault="007F2FCC" w:rsidP="007F2FCC">
            <w:pPr>
              <w:jc w:val="right"/>
              <w:rPr>
                <w:b/>
                <w:bCs/>
                <w:color w:val="auto"/>
                <w:sz w:val="14"/>
                <w:szCs w:val="14"/>
                <w:vertAlign w:val="superscript"/>
              </w:rPr>
            </w:pPr>
            <w:r w:rsidRPr="00B02E3D">
              <w:rPr>
                <w:b/>
                <w:bCs/>
                <w:sz w:val="14"/>
                <w:szCs w:val="14"/>
              </w:rPr>
              <w:t xml:space="preserve">FY22 </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7F2FCC" w:rsidRPr="007D172F" w:rsidRDefault="007F2FCC" w:rsidP="007F2FCC">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F2FCC" w:rsidRPr="007D172F" w:rsidRDefault="007F2FCC" w:rsidP="007F2FCC">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F2FCC" w:rsidRPr="007D172F" w:rsidRDefault="007F2FCC" w:rsidP="007F2FCC">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7F2FCC" w:rsidRPr="007D172F" w:rsidRDefault="007F2FCC" w:rsidP="007F2FCC">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F2FCC" w:rsidRPr="007D172F" w:rsidRDefault="007F2FCC" w:rsidP="007F2FCC">
            <w:pPr>
              <w:jc w:val="right"/>
              <w:rPr>
                <w:b/>
                <w:color w:val="auto"/>
                <w:sz w:val="14"/>
                <w:szCs w:val="14"/>
              </w:rPr>
            </w:pPr>
            <w:r>
              <w:rPr>
                <w:b/>
                <w:color w:val="auto"/>
                <w:sz w:val="14"/>
                <w:szCs w:val="14"/>
              </w:rPr>
              <w:t>Apr</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7F2FCC" w:rsidRPr="007D172F" w:rsidRDefault="007F2FCC" w:rsidP="007F2FCC">
            <w:pPr>
              <w:jc w:val="right"/>
              <w:rPr>
                <w:b/>
                <w:color w:val="auto"/>
                <w:sz w:val="14"/>
                <w:szCs w:val="14"/>
              </w:rPr>
            </w:pPr>
            <w:proofErr w:type="spellStart"/>
            <w:r>
              <w:rPr>
                <w:b/>
                <w:color w:val="auto"/>
                <w:sz w:val="14"/>
                <w:szCs w:val="14"/>
              </w:rPr>
              <w:t>May</w:t>
            </w:r>
            <w:r w:rsidRPr="007F2FCC">
              <w:rPr>
                <w:b/>
                <w:color w:val="auto"/>
                <w:sz w:val="14"/>
                <w:szCs w:val="14"/>
                <w:vertAlign w:val="superscript"/>
              </w:rPr>
              <w:t>P</w:t>
            </w:r>
            <w:proofErr w:type="spellEnd"/>
          </w:p>
        </w:tc>
      </w:tr>
      <w:tr w:rsidR="007F2FCC" w:rsidRPr="00247299" w:rsidTr="00826895">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7F2FCC" w:rsidRPr="00AC5C7D" w:rsidRDefault="007F2FCC" w:rsidP="007F2FCC">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hideMark/>
          </w:tcPr>
          <w:p w:rsidR="007F2FCC" w:rsidRPr="00247299" w:rsidRDefault="007F2FCC" w:rsidP="007F2FCC">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7F2FCC" w:rsidRPr="00247299" w:rsidRDefault="007F2FCC" w:rsidP="007F2FCC">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7F2FCC" w:rsidRPr="00247299" w:rsidRDefault="007F2FCC" w:rsidP="007F2FCC">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7F2FCC" w:rsidRPr="007D172F" w:rsidRDefault="007F2FCC" w:rsidP="007F2FCC">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bottom"/>
          </w:tcPr>
          <w:p w:rsidR="007F2FCC" w:rsidRDefault="007F2FCC" w:rsidP="007F2FCC">
            <w:pPr>
              <w:rPr>
                <w:sz w:val="20"/>
              </w:rPr>
            </w:pPr>
          </w:p>
        </w:tc>
        <w:tc>
          <w:tcPr>
            <w:tcW w:w="720" w:type="dxa"/>
            <w:tcBorders>
              <w:top w:val="nil"/>
              <w:left w:val="nil"/>
              <w:right w:val="nil"/>
            </w:tcBorders>
            <w:shd w:val="clear" w:color="auto" w:fill="auto"/>
            <w:tcMar>
              <w:left w:w="43" w:type="dxa"/>
              <w:right w:w="43" w:type="dxa"/>
            </w:tcMar>
            <w:vAlign w:val="bottom"/>
          </w:tcPr>
          <w:p w:rsidR="007F2FCC" w:rsidRDefault="007F2FCC" w:rsidP="007F2FCC">
            <w:pPr>
              <w:rPr>
                <w:sz w:val="20"/>
              </w:rPr>
            </w:pPr>
          </w:p>
        </w:tc>
        <w:tc>
          <w:tcPr>
            <w:tcW w:w="810" w:type="dxa"/>
            <w:tcBorders>
              <w:top w:val="nil"/>
              <w:left w:val="nil"/>
              <w:right w:val="nil"/>
            </w:tcBorders>
            <w:shd w:val="clear" w:color="auto" w:fill="auto"/>
            <w:tcMar>
              <w:left w:w="43" w:type="dxa"/>
              <w:right w:w="43" w:type="dxa"/>
            </w:tcMar>
            <w:vAlign w:val="bottom"/>
          </w:tcPr>
          <w:p w:rsidR="007F2FCC" w:rsidRDefault="007F2FCC" w:rsidP="007F2FCC">
            <w:pPr>
              <w:rPr>
                <w:sz w:val="20"/>
              </w:rPr>
            </w:pPr>
          </w:p>
        </w:tc>
        <w:tc>
          <w:tcPr>
            <w:tcW w:w="720" w:type="dxa"/>
            <w:tcBorders>
              <w:top w:val="nil"/>
              <w:left w:val="nil"/>
              <w:right w:val="nil"/>
            </w:tcBorders>
            <w:shd w:val="clear" w:color="auto" w:fill="auto"/>
            <w:tcMar>
              <w:left w:w="43" w:type="dxa"/>
              <w:right w:w="43" w:type="dxa"/>
            </w:tcMar>
            <w:vAlign w:val="bottom"/>
          </w:tcPr>
          <w:p w:rsidR="007F2FCC" w:rsidRDefault="007F2FCC" w:rsidP="007F2FCC">
            <w:pPr>
              <w:rPr>
                <w:sz w:val="20"/>
              </w:rPr>
            </w:pPr>
          </w:p>
        </w:tc>
        <w:tc>
          <w:tcPr>
            <w:tcW w:w="720" w:type="dxa"/>
            <w:tcBorders>
              <w:top w:val="nil"/>
              <w:left w:val="nil"/>
              <w:right w:val="nil"/>
            </w:tcBorders>
            <w:shd w:val="clear" w:color="auto" w:fill="auto"/>
            <w:noWrap/>
            <w:tcMar>
              <w:left w:w="43" w:type="dxa"/>
              <w:right w:w="43" w:type="dxa"/>
            </w:tcMar>
            <w:vAlign w:val="bottom"/>
          </w:tcPr>
          <w:p w:rsidR="007F2FCC" w:rsidRDefault="007F2FCC" w:rsidP="007F2FCC">
            <w:pPr>
              <w:rPr>
                <w:sz w:val="20"/>
              </w:rPr>
            </w:pP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6,142,016</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6,909,937</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7,572,465</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7,662,178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7,862,480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8,059,997</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8,271,312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8,936,340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8,676,818</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41,218</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68,004</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95,666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87,725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88,314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91,975</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96,335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101,010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103,067</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14,724,770</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17,319,755</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19,934,849</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18,222,015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19,723,277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19,766,319</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20,428,951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20,291,200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20,719,819</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w:t>
            </w:r>
            <w:r w:rsidRPr="00AC5C7D">
              <w:rPr>
                <w:i/>
                <w:iCs/>
                <w:sz w:val="14"/>
                <w:szCs w:val="14"/>
              </w:rPr>
              <w:t>of which : RFCDs</w:t>
            </w:r>
          </w:p>
        </w:tc>
        <w:tc>
          <w:tcPr>
            <w:tcW w:w="793" w:type="dxa"/>
            <w:tcBorders>
              <w:top w:val="nil"/>
              <w:left w:val="nil"/>
              <w:bottom w:val="nil"/>
              <w:right w:val="nil"/>
            </w:tcBorders>
            <w:shd w:val="clear" w:color="auto" w:fill="auto"/>
            <w:tcMar>
              <w:left w:w="29" w:type="dxa"/>
              <w:right w:w="29" w:type="dxa"/>
            </w:tcMar>
            <w:vAlign w:val="center"/>
            <w:hideMark/>
          </w:tcPr>
          <w:p w:rsidR="008D1A60" w:rsidRPr="008D1A60" w:rsidRDefault="008D1A60" w:rsidP="008D1A60">
            <w:pPr>
              <w:jc w:val="right"/>
              <w:rPr>
                <w:i/>
                <w:iCs/>
                <w:sz w:val="13"/>
                <w:szCs w:val="13"/>
              </w:rPr>
            </w:pPr>
            <w:r w:rsidRPr="008D1A60">
              <w:rPr>
                <w:i/>
                <w:iCs/>
                <w:sz w:val="13"/>
                <w:szCs w:val="13"/>
              </w:rPr>
              <w:t>1,074,511</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i/>
                <w:iCs/>
                <w:sz w:val="13"/>
                <w:szCs w:val="13"/>
              </w:rPr>
            </w:pPr>
            <w:r w:rsidRPr="008D1A60">
              <w:rPr>
                <w:i/>
                <w:iCs/>
                <w:sz w:val="13"/>
                <w:szCs w:val="13"/>
              </w:rPr>
              <w:t>1,046,150</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i/>
                <w:iCs/>
                <w:sz w:val="13"/>
                <w:szCs w:val="13"/>
              </w:rPr>
            </w:pPr>
            <w:r w:rsidRPr="008D1A60">
              <w:rPr>
                <w:i/>
                <w:iCs/>
                <w:sz w:val="13"/>
                <w:szCs w:val="13"/>
              </w:rPr>
              <w:t>1,230,183</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1,195,492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1,422,190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1,347,158</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1,483,438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1,489,420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1,502,235</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20,908,003</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24,297,696</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27,602,981</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25,971,918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27,674,071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27,918,292</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28,796,598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29,328,549</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29,499,705</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1"/>
              </w:numPr>
              <w:ind w:left="162" w:hanging="270"/>
              <w:jc w:val="left"/>
              <w:rPr>
                <w:b/>
                <w:bCs/>
                <w:sz w:val="14"/>
                <w:szCs w:val="14"/>
              </w:rPr>
            </w:pPr>
            <w:r w:rsidRPr="000A114A">
              <w:rPr>
                <w:b/>
                <w:bCs/>
                <w:sz w:val="14"/>
                <w:szCs w:val="14"/>
              </w:rPr>
              <w:t xml:space="preserve">Factors Affecting Money Supply ( M2)  </w:t>
            </w:r>
          </w:p>
        </w:tc>
        <w:tc>
          <w:tcPr>
            <w:tcW w:w="793" w:type="dxa"/>
            <w:tcBorders>
              <w:top w:val="nil"/>
              <w:left w:val="nil"/>
              <w:bottom w:val="nil"/>
              <w:right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(516,153)</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724,723</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(756,593)</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(831,095)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(2,820,896)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(2,736,658)</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(2,826,250)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(2,794,432)</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(2,874,734)</w:t>
            </w:r>
          </w:p>
        </w:tc>
      </w:tr>
      <w:tr w:rsidR="008D1A60" w:rsidRPr="00A06B42"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(181,347)</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930,509</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(563,261)</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(581,654)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(2,320,706)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(2,219,059)</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(2,225,684)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(2,117,749)</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(2,217,704)</w:t>
            </w:r>
          </w:p>
        </w:tc>
      </w:tr>
      <w:tr w:rsidR="008D1A60" w:rsidRPr="00A06B42"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(334,806)</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(205,786)</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(193,332)</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(249,442)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(500,189)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(517,600)</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(600,566)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(676,683)</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(657,029)</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21,424,157</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23,572,973</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28,359,573</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26,803,014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30,494,967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30,654,950</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31,622,849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32,122,981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32,374,438</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6,984,573</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6,467,778</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8,272,328</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8,454,898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10,410,321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10,562,875</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10,906,490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12,005,608</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11,552,381</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14,439,583</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17,105,195</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20,087,246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18,348,116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20,084,647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20,092,075</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20,716,359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20,117,373</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20,822,058</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14,547,233</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16,265,119</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19,666,796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18,431,334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21,215,965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21,429,108</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21,999,903</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22,331,059</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22,984,221</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13,748,309</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15,373,463</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18,550,414</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17,266,944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20,107,301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20,326,534</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20,908,359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21,008,708</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21,520,708</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6,538,797</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5,332,490</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5,185,379</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5,613,566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4,989,365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5,380,654</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5,552,765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4,982,257</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4,988,784</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6,750,123</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5,712,275</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5,770,613</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6,389,281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5,813,159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6,393,216</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6,555,326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5,825,813</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5,800,001</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(565,997)</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(1,016,725)</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(968,090)</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(611,852)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(804,499)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(314,272)</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(309,877)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(1,127,760)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(1,227,544)</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(192,737)</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(346,850)</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(547,818)</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(717,805)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(782,823)</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(967,473)</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(956,320)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(796,337)</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(749,555)</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(39,105)</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(37,307)</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(16,552)</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(78,929)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(22,475)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(51,441)</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(54,769)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(48,458)</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(47,843)</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(8,321)</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(31,540)</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(1,039)</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(12,881)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(29,258)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(44,019)</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(48,109)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(49,178)</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(33,131)</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(81,570)</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(207,104)</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(440,053)</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(490,680)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(574,525)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(674,729)</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(658,068)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(544,086)</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(510,576)</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(63,741)</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(70,899)</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(90,174)</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(135,315)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(156,565)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(197,284)</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(195,374)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(154,615)</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(158,005)</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(5,047)</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(12,368)</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(14,770)</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(23,962)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(19,196)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(20,239)</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(20,586)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(18,780)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(29,134)</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(13,543)</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(20,566)</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(22,646)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(33,947)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(21,775)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(24,851)</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(25,656)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(28,440)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(32,529)</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7,209,512</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10,040,973</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13,365,035</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11,653,379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15,117,936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14,945,880</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15,355,594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16,026,451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16,531,924</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8,222,465</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11,181,917</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14,630,114</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12,877,680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16,384,726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16,229,732</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16,648,936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17,291,526</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17,795,079</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(1,371,965)</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(1,659,001)</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(2,020,076)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(1,922,838)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(2,319,089)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(2,262,373)</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(2,248,397)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(2,201,241)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(2,240,146)</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(1,012,953)</w:t>
            </w:r>
          </w:p>
        </w:tc>
        <w:tc>
          <w:tcPr>
            <w:tcW w:w="78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(1,140,944)</w:t>
            </w:r>
          </w:p>
        </w:tc>
        <w:tc>
          <w:tcPr>
            <w:tcW w:w="807"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sz w:val="13"/>
                <w:szCs w:val="13"/>
              </w:rPr>
            </w:pPr>
            <w:r w:rsidRPr="008D1A60">
              <w:rPr>
                <w:sz w:val="13"/>
                <w:szCs w:val="13"/>
              </w:rPr>
              <w:t>(1,265,079)</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(1,224,302)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(1,266,790)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(1,283,852)</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(1,293,342)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(1,265,074)</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(1,263,155)</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sz w:val="13"/>
                <w:szCs w:val="13"/>
              </w:rPr>
            </w:pPr>
            <w:r w:rsidRPr="002B7FBC">
              <w:rPr>
                <w:sz w:val="13"/>
                <w:szCs w:val="13"/>
              </w:rPr>
              <w:t>(1,013,977)</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(1,141,968)</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(1,266,103)</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(1,225,326)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(1,267,814)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(1,284,876)</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(1,294,366)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(1,266,098)</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(1,264,179)</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813,435</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903,999</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1,133,655</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1,181,350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1,127,966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1,122,355</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1,111,585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1,337,187</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1,480,256</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(14,510)</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(12,344)</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(17,273)</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(16,960)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(19,302)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(19,781)</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(20,041)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(14,837)</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(16,743)</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8,372,428</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9,114,395</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10,692,806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10,522,360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11,444,389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11,435,862</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11,348,657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11,317,643</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11,098,692</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6,862,862</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7,629,069</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9,241,217</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9,051,211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9,408,260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9,266,395</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9,258,346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9,193,233</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9,031,009</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5,305,518</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5,685,109</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6,656,744</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6,554,961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6,879,989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6,722,231</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6,672,193</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6,648,441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6,489,779</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868,473</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1,030,612</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1,269,892</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1,244,418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1,323,395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1,310,018</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1,356,025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1,329,401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1,323,788</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688,871</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913,348</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1,314,582</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1,251,832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1,204,876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1,234,146</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1,230,127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1,215,391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1,217,442</w:t>
            </w:r>
          </w:p>
        </w:tc>
      </w:tr>
      <w:tr w:rsidR="008D1A60" w:rsidRPr="005E47E9" w:rsidTr="008D1A60">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D1A60" w:rsidRPr="00AC5C7D" w:rsidRDefault="008D1A60" w:rsidP="008D1A60">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1,490,522</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1,436,745</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1,393,446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1,414,721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1,482,587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1,530,734</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1,588,779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1,675,255</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1,656,368</w:t>
            </w:r>
          </w:p>
        </w:tc>
      </w:tr>
      <w:tr w:rsidR="008D1A60" w:rsidRPr="005E47E9" w:rsidTr="008D1A60">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8D1A60" w:rsidRPr="00AC5C7D" w:rsidRDefault="008D1A60" w:rsidP="008D1A60">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(24,244)</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(24,244)</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(24,244)</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(24,244)</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(24,244)</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43,288</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72,825</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82,386</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80,671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577,787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662,977</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525,775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473,399</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435,558</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(1,495,505)</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(1,806,541)</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(2,000,029)</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(2,150,680)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(2,165,387)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(2,210,020)</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(1,725,711)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(1,525,720)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(1,708,475)</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hideMark/>
          </w:tcPr>
          <w:p w:rsidR="008D1A60" w:rsidRPr="002B7FBC" w:rsidRDefault="008D1A60" w:rsidP="008D1A60">
            <w:pPr>
              <w:jc w:val="right"/>
              <w:rPr>
                <w:b/>
                <w:bCs/>
                <w:sz w:val="13"/>
                <w:szCs w:val="13"/>
              </w:rPr>
            </w:pPr>
            <w:r w:rsidRPr="002B7FBC">
              <w:rPr>
                <w:b/>
                <w:bCs/>
                <w:sz w:val="13"/>
                <w:szCs w:val="13"/>
              </w:rPr>
              <w:t>20,908,003</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24,297,696</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r w:rsidRPr="002B7FBC">
              <w:rPr>
                <w:b/>
                <w:bCs/>
                <w:sz w:val="13"/>
                <w:szCs w:val="13"/>
              </w:rPr>
              <w:t>27,602,981</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25,971,918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27,674,071</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27,918,292</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28,796,598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29,328,549</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r w:rsidRPr="008D1A60">
              <w:rPr>
                <w:rFonts w:asciiTheme="majorBidi" w:hAnsiTheme="majorBidi" w:cstheme="majorBidi"/>
                <w:b/>
                <w:bCs/>
                <w:sz w:val="14"/>
                <w:szCs w:val="14"/>
              </w:rPr>
              <w:t>29,499,705</w:t>
            </w: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hideMark/>
          </w:tcPr>
          <w:p w:rsidR="008D1A60" w:rsidRPr="002B7FBC" w:rsidRDefault="008D1A60" w:rsidP="008D1A60">
            <w:pPr>
              <w:jc w:val="right"/>
              <w:rPr>
                <w:b/>
                <w:bCs/>
                <w:sz w:val="13"/>
                <w:szCs w:val="13"/>
              </w:rPr>
            </w:pP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b/>
                <w:bCs/>
                <w:sz w:val="13"/>
                <w:szCs w:val="13"/>
              </w:rPr>
            </w:pP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b/>
                <w:bCs/>
                <w:sz w:val="14"/>
                <w:szCs w:val="14"/>
              </w:rPr>
            </w:pPr>
          </w:p>
        </w:tc>
      </w:tr>
      <w:tr w:rsidR="008D1A60" w:rsidRPr="005E47E9" w:rsidTr="008D1A60">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D1A60" w:rsidRPr="00AC5C7D" w:rsidRDefault="008D1A60" w:rsidP="008D1A60">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83,618</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58,537</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108,301</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370,046</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285,339</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376,855</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535,015</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623,336</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697,330</w:t>
            </w:r>
          </w:p>
        </w:tc>
      </w:tr>
      <w:tr w:rsidR="008D1A60" w:rsidRPr="005E47E9" w:rsidTr="008D1A60">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8D1A60" w:rsidRPr="00AC5C7D" w:rsidRDefault="008D1A60" w:rsidP="008D1A60">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4,956,617</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5,979,180</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5,493,007</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4,410,588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4,393,548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4,007,089</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3,871,183</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4,163,970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4,279,904</w:t>
            </w:r>
          </w:p>
        </w:tc>
      </w:tr>
      <w:tr w:rsidR="008D1A60" w:rsidRPr="005E47E9" w:rsidTr="008D1A60">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8D1A60" w:rsidRPr="00B53708" w:rsidRDefault="008D1A60" w:rsidP="008D1A60">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sz w:val="13"/>
                <w:szCs w:val="13"/>
              </w:rPr>
            </w:pPr>
            <w:r w:rsidRPr="002B7FBC">
              <w:rPr>
                <w:sz w:val="13"/>
                <w:szCs w:val="13"/>
              </w:rPr>
              <w:t>13,471,051</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15,247,857</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sz w:val="13"/>
                <w:szCs w:val="13"/>
              </w:rPr>
            </w:pPr>
            <w:r w:rsidRPr="002B7FBC">
              <w:rPr>
                <w:sz w:val="13"/>
                <w:szCs w:val="13"/>
              </w:rPr>
              <w:t>18,370,734</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16,829,452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19,727,367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19,848,993</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20,289,538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20,318,741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sz w:val="14"/>
                <w:szCs w:val="14"/>
              </w:rPr>
            </w:pPr>
            <w:r w:rsidRPr="008D1A60">
              <w:rPr>
                <w:rFonts w:asciiTheme="majorBidi" w:hAnsiTheme="majorBidi" w:cstheme="majorBidi"/>
                <w:sz w:val="14"/>
                <w:szCs w:val="14"/>
              </w:rPr>
              <w:t>20,749,897</w:t>
            </w:r>
          </w:p>
        </w:tc>
      </w:tr>
      <w:tr w:rsidR="008D1A60" w:rsidRPr="005E47E9" w:rsidTr="008D1A60">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8D1A60" w:rsidRPr="0018778B" w:rsidRDefault="008D1A60" w:rsidP="008D1A60">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hideMark/>
          </w:tcPr>
          <w:p w:rsidR="008D1A60" w:rsidRPr="002B7FBC" w:rsidRDefault="008D1A60" w:rsidP="008D1A60">
            <w:pPr>
              <w:jc w:val="right"/>
              <w:rPr>
                <w:i/>
                <w:iCs/>
                <w:sz w:val="13"/>
                <w:szCs w:val="13"/>
              </w:rPr>
            </w:pPr>
            <w:r w:rsidRPr="002B7FBC">
              <w:rPr>
                <w:i/>
                <w:iCs/>
                <w:sz w:val="13"/>
                <w:szCs w:val="13"/>
              </w:rPr>
              <w:t>6,455,179</w:t>
            </w:r>
          </w:p>
        </w:tc>
        <w:tc>
          <w:tcPr>
            <w:tcW w:w="78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i/>
                <w:iCs/>
                <w:sz w:val="13"/>
                <w:szCs w:val="13"/>
              </w:rPr>
            </w:pPr>
            <w:r w:rsidRPr="002B7FBC">
              <w:rPr>
                <w:i/>
                <w:iCs/>
                <w:sz w:val="13"/>
                <w:szCs w:val="13"/>
              </w:rPr>
              <w:t>5,273,953</w:t>
            </w:r>
          </w:p>
        </w:tc>
        <w:tc>
          <w:tcPr>
            <w:tcW w:w="807" w:type="dxa"/>
            <w:tcBorders>
              <w:top w:val="nil"/>
              <w:left w:val="nil"/>
              <w:bottom w:val="nil"/>
              <w:right w:val="nil"/>
            </w:tcBorders>
            <w:shd w:val="clear" w:color="auto" w:fill="auto"/>
            <w:tcMar>
              <w:left w:w="29" w:type="dxa"/>
              <w:right w:w="29" w:type="dxa"/>
            </w:tcMar>
            <w:vAlign w:val="center"/>
          </w:tcPr>
          <w:p w:rsidR="008D1A60" w:rsidRPr="002B7FBC" w:rsidRDefault="008D1A60" w:rsidP="008D1A60">
            <w:pPr>
              <w:jc w:val="right"/>
              <w:rPr>
                <w:i/>
                <w:iCs/>
                <w:sz w:val="13"/>
                <w:szCs w:val="13"/>
              </w:rPr>
            </w:pPr>
            <w:r w:rsidRPr="002B7FBC">
              <w:rPr>
                <w:i/>
                <w:iCs/>
                <w:sz w:val="13"/>
                <w:szCs w:val="13"/>
              </w:rPr>
              <w:t>5,077,078</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5,243,520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4,704,027</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5,003,799</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5,017,750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4,358,921</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4,291,454</w:t>
            </w:r>
          </w:p>
        </w:tc>
      </w:tr>
      <w:tr w:rsidR="008D1A60" w:rsidRPr="005E47E9" w:rsidTr="008D1A60">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8D1A60" w:rsidRPr="0018778B" w:rsidRDefault="008D1A60" w:rsidP="008D1A60">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hideMark/>
          </w:tcPr>
          <w:p w:rsidR="008D1A60" w:rsidRPr="00826895" w:rsidRDefault="008D1A60" w:rsidP="008D1A60">
            <w:pPr>
              <w:jc w:val="right"/>
              <w:rPr>
                <w:i/>
                <w:iCs/>
                <w:sz w:val="13"/>
                <w:szCs w:val="13"/>
              </w:rPr>
            </w:pPr>
            <w:r w:rsidRPr="00826895">
              <w:rPr>
                <w:i/>
                <w:iCs/>
                <w:sz w:val="13"/>
                <w:szCs w:val="13"/>
              </w:rPr>
              <w:t>7,015,872</w:t>
            </w:r>
          </w:p>
        </w:tc>
        <w:tc>
          <w:tcPr>
            <w:tcW w:w="787" w:type="dxa"/>
            <w:tcBorders>
              <w:top w:val="nil"/>
              <w:left w:val="nil"/>
              <w:bottom w:val="nil"/>
              <w:right w:val="nil"/>
            </w:tcBorders>
            <w:shd w:val="clear" w:color="auto" w:fill="auto"/>
            <w:tcMar>
              <w:left w:w="29" w:type="dxa"/>
              <w:right w:w="29" w:type="dxa"/>
            </w:tcMar>
            <w:vAlign w:val="center"/>
          </w:tcPr>
          <w:p w:rsidR="008D1A60" w:rsidRPr="00826895" w:rsidRDefault="008D1A60" w:rsidP="008D1A60">
            <w:pPr>
              <w:jc w:val="right"/>
              <w:rPr>
                <w:i/>
                <w:iCs/>
                <w:sz w:val="13"/>
                <w:szCs w:val="13"/>
              </w:rPr>
            </w:pPr>
            <w:r w:rsidRPr="00826895">
              <w:rPr>
                <w:i/>
                <w:iCs/>
                <w:sz w:val="13"/>
                <w:szCs w:val="13"/>
              </w:rPr>
              <w:t>9,973,904</w:t>
            </w:r>
          </w:p>
        </w:tc>
        <w:tc>
          <w:tcPr>
            <w:tcW w:w="807" w:type="dxa"/>
            <w:tcBorders>
              <w:top w:val="nil"/>
              <w:left w:val="nil"/>
              <w:bottom w:val="nil"/>
              <w:right w:val="nil"/>
            </w:tcBorders>
            <w:shd w:val="clear" w:color="auto" w:fill="auto"/>
            <w:tcMar>
              <w:left w:w="29" w:type="dxa"/>
              <w:right w:w="29" w:type="dxa"/>
            </w:tcMar>
            <w:vAlign w:val="center"/>
          </w:tcPr>
          <w:p w:rsidR="008D1A60" w:rsidRPr="00826895" w:rsidRDefault="008D1A60" w:rsidP="008D1A60">
            <w:pPr>
              <w:jc w:val="right"/>
              <w:rPr>
                <w:i/>
                <w:iCs/>
                <w:sz w:val="13"/>
                <w:szCs w:val="13"/>
              </w:rPr>
            </w:pPr>
            <w:r w:rsidRPr="00826895">
              <w:rPr>
                <w:i/>
                <w:iCs/>
                <w:sz w:val="13"/>
                <w:szCs w:val="13"/>
              </w:rPr>
              <w:t>13,293,657</w:t>
            </w:r>
          </w:p>
        </w:tc>
        <w:tc>
          <w:tcPr>
            <w:tcW w:w="86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11,585,932</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15,023,340</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14,845,194</w:t>
            </w:r>
          </w:p>
        </w:tc>
        <w:tc>
          <w:tcPr>
            <w:tcW w:w="81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15,271,788</w:t>
            </w:r>
          </w:p>
        </w:tc>
        <w:tc>
          <w:tcPr>
            <w:tcW w:w="720" w:type="dxa"/>
            <w:tcBorders>
              <w:top w:val="nil"/>
              <w:left w:val="nil"/>
              <w:bottom w:val="nil"/>
              <w:right w:val="nil"/>
            </w:tcBorders>
            <w:shd w:val="clear" w:color="auto" w:fill="auto"/>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15,959,820</w:t>
            </w:r>
          </w:p>
        </w:tc>
        <w:tc>
          <w:tcPr>
            <w:tcW w:w="720" w:type="dxa"/>
            <w:tcBorders>
              <w:top w:val="nil"/>
              <w:left w:val="nil"/>
              <w:bottom w:val="nil"/>
              <w:right w:val="nil"/>
            </w:tcBorders>
            <w:shd w:val="clear" w:color="auto" w:fill="auto"/>
            <w:noWrap/>
            <w:tcMar>
              <w:left w:w="29" w:type="dxa"/>
              <w:right w:w="29" w:type="dxa"/>
            </w:tcMar>
            <w:vAlign w:val="center"/>
          </w:tcPr>
          <w:p w:rsidR="008D1A60" w:rsidRPr="008D1A60" w:rsidRDefault="008D1A60" w:rsidP="008D1A60">
            <w:pPr>
              <w:jc w:val="right"/>
              <w:rPr>
                <w:rFonts w:asciiTheme="majorBidi" w:hAnsiTheme="majorBidi" w:cstheme="majorBidi"/>
                <w:i/>
                <w:iCs/>
                <w:sz w:val="14"/>
                <w:szCs w:val="14"/>
              </w:rPr>
            </w:pPr>
            <w:r w:rsidRPr="008D1A60">
              <w:rPr>
                <w:rFonts w:asciiTheme="majorBidi" w:hAnsiTheme="majorBidi" w:cstheme="majorBidi"/>
                <w:i/>
                <w:iCs/>
                <w:sz w:val="14"/>
                <w:szCs w:val="14"/>
              </w:rPr>
              <w:t>16,458,444</w:t>
            </w:r>
          </w:p>
        </w:tc>
      </w:tr>
      <w:tr w:rsidR="007F2FCC"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7F2FCC" w:rsidRPr="00247299" w:rsidRDefault="007F2FCC" w:rsidP="007F2FCC">
            <w:pPr>
              <w:jc w:val="right"/>
              <w:rPr>
                <w:color w:val="auto"/>
                <w:sz w:val="14"/>
                <w:szCs w:val="14"/>
              </w:rPr>
            </w:pPr>
            <w:r>
              <w:rPr>
                <w:sz w:val="14"/>
                <w:szCs w:val="14"/>
              </w:rPr>
              <w:t>Source: Core Statistics Department</w:t>
            </w:r>
            <w:r w:rsidRPr="00247299">
              <w:rPr>
                <w:color w:val="auto"/>
                <w:sz w:val="14"/>
                <w:szCs w:val="14"/>
              </w:rPr>
              <w:t> </w:t>
            </w:r>
          </w:p>
          <w:p w:rsidR="007F2FCC" w:rsidRPr="00247299" w:rsidRDefault="007F2FCC" w:rsidP="007F2FCC">
            <w:pPr>
              <w:jc w:val="right"/>
              <w:rPr>
                <w:rFonts w:ascii="Calibri" w:hAnsi="Calibri"/>
                <w:sz w:val="22"/>
                <w:szCs w:val="22"/>
              </w:rPr>
            </w:pPr>
            <w:r w:rsidRPr="00247299">
              <w:rPr>
                <w:i/>
                <w:iCs/>
                <w:color w:val="auto"/>
                <w:sz w:val="14"/>
                <w:szCs w:val="14"/>
              </w:rPr>
              <w:t> </w:t>
            </w:r>
          </w:p>
        </w:tc>
      </w:tr>
      <w:tr w:rsidR="007F2FCC" w:rsidRPr="00916320" w:rsidTr="00F12F3E">
        <w:trPr>
          <w:trHeight w:val="1080"/>
          <w:jc w:val="center"/>
        </w:trPr>
        <w:tc>
          <w:tcPr>
            <w:tcW w:w="10350" w:type="dxa"/>
            <w:gridSpan w:val="10"/>
            <w:tcBorders>
              <w:top w:val="nil"/>
              <w:left w:val="nil"/>
              <w:bottom w:val="nil"/>
              <w:right w:val="nil"/>
            </w:tcBorders>
            <w:shd w:val="clear" w:color="auto" w:fill="auto"/>
            <w:hideMark/>
          </w:tcPr>
          <w:p w:rsidR="007F2FCC" w:rsidRPr="00440EBB" w:rsidRDefault="007F2FCC" w:rsidP="007F2FCC">
            <w:pPr>
              <w:ind w:left="162" w:hanging="180"/>
              <w:jc w:val="left"/>
              <w:rPr>
                <w:color w:val="auto"/>
                <w:sz w:val="14"/>
                <w:szCs w:val="14"/>
              </w:rPr>
            </w:pPr>
            <w:r w:rsidRPr="00440EBB">
              <w:rPr>
                <w:color w:val="auto"/>
                <w:sz w:val="14"/>
                <w:szCs w:val="14"/>
              </w:rPr>
              <w:t>Notes: -</w:t>
            </w:r>
          </w:p>
          <w:p w:rsidR="007F2FCC" w:rsidRPr="00440EBB" w:rsidRDefault="007F2FCC" w:rsidP="007F2FCC">
            <w:pPr>
              <w:ind w:left="162" w:hanging="180"/>
              <w:jc w:val="left"/>
              <w:rPr>
                <w:color w:val="auto"/>
                <w:sz w:val="14"/>
                <w:szCs w:val="14"/>
              </w:rPr>
            </w:pPr>
            <w:r w:rsidRPr="00440EBB">
              <w:rPr>
                <w:color w:val="auto"/>
                <w:sz w:val="14"/>
                <w:szCs w:val="14"/>
              </w:rPr>
              <w:t>1. Excluding IMF A/c Nos. 1 &amp; 2, IMF outstanding credit, deposits of foreign central banks, foreign governments, international organizations and deposit money banks.</w:t>
            </w:r>
          </w:p>
          <w:p w:rsidR="007F2FCC" w:rsidRPr="00440EBB" w:rsidRDefault="007F2FCC" w:rsidP="007F2FCC">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7F2FCC" w:rsidRPr="00440EBB" w:rsidRDefault="007F2FCC" w:rsidP="007F2FCC">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w:t>
            </w:r>
            <w:proofErr w:type="spellStart"/>
            <w:r w:rsidRPr="00440EBB">
              <w:rPr>
                <w:color w:val="auto"/>
                <w:sz w:val="14"/>
                <w:szCs w:val="14"/>
              </w:rPr>
              <w:t>etc</w:t>
            </w:r>
            <w:proofErr w:type="spellEnd"/>
            <w:r w:rsidRPr="00440EBB">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7" w:history="1">
              <w:r w:rsidRPr="00440EBB">
                <w:rPr>
                  <w:rStyle w:val="Hyperlink"/>
                  <w:sz w:val="14"/>
                  <w:szCs w:val="14"/>
                </w:rPr>
                <w:t>http://www.sbp.org.pk/ecodata/RSMS.pdf</w:t>
              </w:r>
            </w:hyperlink>
          </w:p>
          <w:p w:rsidR="007F2FCC" w:rsidRPr="00440EBB" w:rsidRDefault="007F2FCC" w:rsidP="007F2FCC">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7F2FCC" w:rsidRPr="00916320" w:rsidRDefault="007F2FCC" w:rsidP="007F2FCC">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279"/>
        <w:gridCol w:w="1156"/>
        <w:gridCol w:w="1104"/>
        <w:gridCol w:w="1307"/>
        <w:gridCol w:w="120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w:t>
            </w:r>
            <w:r w:rsidR="00CE30FF">
              <w:rPr>
                <w:b/>
                <w:bCs/>
                <w:color w:val="auto"/>
                <w:sz w:val="28"/>
                <w:szCs w:val="28"/>
              </w:rPr>
              <w:t xml:space="preserve"> </w:t>
            </w:r>
            <w:r w:rsidRPr="004708B4">
              <w:rPr>
                <w:b/>
                <w:bCs/>
                <w:color w:val="auto"/>
                <w:sz w:val="28"/>
                <w:szCs w:val="28"/>
              </w:rPr>
              <w:t>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E5E0B" w:rsidP="00601FB0">
            <w:pPr>
              <w:jc w:val="right"/>
              <w:rPr>
                <w:color w:val="auto"/>
                <w:sz w:val="14"/>
                <w:szCs w:val="14"/>
              </w:rPr>
            </w:pPr>
            <w:r>
              <w:rPr>
                <w:color w:val="auto"/>
                <w:sz w:val="14"/>
                <w:szCs w:val="14"/>
              </w:rPr>
              <w:t>Million Rupees</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D801EF">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49"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sidR="00CC61F0">
              <w:rPr>
                <w:b/>
                <w:bCs/>
                <w:color w:val="auto"/>
                <w:szCs w:val="16"/>
                <w:vertAlign w:val="superscript"/>
              </w:rPr>
              <w:t xml:space="preserve"> </w:t>
            </w:r>
          </w:p>
        </w:tc>
        <w:tc>
          <w:tcPr>
            <w:tcW w:w="650"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CC61F0">
            <w:pPr>
              <w:rPr>
                <w:b/>
                <w:bCs/>
                <w:szCs w:val="16"/>
              </w:rPr>
            </w:pPr>
            <w:r w:rsidRPr="00C842BA">
              <w:rPr>
                <w:b/>
                <w:bCs/>
                <w:szCs w:val="16"/>
              </w:rPr>
              <w:t>1</w:t>
            </w:r>
            <w:r w:rsidR="00CC61F0" w:rsidRPr="00CC61F0">
              <w:rPr>
                <w:b/>
                <w:bCs/>
                <w:szCs w:val="16"/>
                <w:vertAlign w:val="superscript"/>
              </w:rPr>
              <w:t>st</w:t>
            </w:r>
            <w:r w:rsidR="00CC61F0">
              <w:rPr>
                <w:b/>
                <w:bCs/>
                <w:szCs w:val="16"/>
              </w:rPr>
              <w:t xml:space="preserve"> </w:t>
            </w:r>
            <w:r w:rsidRPr="00C842BA">
              <w:rPr>
                <w:b/>
                <w:bCs/>
                <w:szCs w:val="16"/>
              </w:rPr>
              <w:t>July 21</w:t>
            </w:r>
          </w:p>
          <w:p w:rsidR="00900A5A" w:rsidRPr="00C842BA" w:rsidRDefault="00900A5A" w:rsidP="00155D37">
            <w:pPr>
              <w:rPr>
                <w:b/>
                <w:bCs/>
                <w:szCs w:val="16"/>
              </w:rPr>
            </w:pPr>
            <w:r w:rsidRPr="00C842BA">
              <w:rPr>
                <w:b/>
                <w:bCs/>
                <w:szCs w:val="16"/>
              </w:rPr>
              <w:t>to</w:t>
            </w:r>
          </w:p>
          <w:p w:rsidR="00900A5A" w:rsidRPr="00C842BA" w:rsidRDefault="008D1A60" w:rsidP="008D1A60">
            <w:pPr>
              <w:rPr>
                <w:b/>
                <w:bCs/>
                <w:szCs w:val="16"/>
              </w:rPr>
            </w:pPr>
            <w:r>
              <w:rPr>
                <w:b/>
                <w:bCs/>
                <w:szCs w:val="16"/>
              </w:rPr>
              <w:t>27</w:t>
            </w:r>
            <w:r w:rsidR="00900A5A" w:rsidRPr="00C842BA">
              <w:rPr>
                <w:b/>
                <w:bCs/>
                <w:szCs w:val="16"/>
              </w:rPr>
              <w:t>-</w:t>
            </w:r>
            <w:r>
              <w:rPr>
                <w:b/>
                <w:bCs/>
                <w:szCs w:val="16"/>
              </w:rPr>
              <w:t>May</w:t>
            </w:r>
            <w:r w:rsidR="00900A5A" w:rsidRPr="00C842BA">
              <w:rPr>
                <w:b/>
                <w:bCs/>
                <w:szCs w:val="16"/>
              </w:rPr>
              <w:t>-2</w:t>
            </w:r>
            <w:r w:rsidR="00FC291E">
              <w:rPr>
                <w:b/>
                <w:bCs/>
                <w:szCs w:val="16"/>
              </w:rPr>
              <w:t>2</w:t>
            </w:r>
          </w:p>
        </w:tc>
        <w:tc>
          <w:tcPr>
            <w:tcW w:w="601" w:type="pct"/>
            <w:tcBorders>
              <w:top w:val="nil"/>
              <w:left w:val="nil"/>
              <w:bottom w:val="single" w:sz="12" w:space="0" w:color="auto"/>
            </w:tcBorders>
            <w:shd w:val="clear" w:color="auto" w:fill="auto"/>
            <w:vAlign w:val="center"/>
            <w:hideMark/>
          </w:tcPr>
          <w:p w:rsidR="00155D37" w:rsidRPr="00C842BA" w:rsidRDefault="00155D37" w:rsidP="00CC61F0">
            <w:pPr>
              <w:rPr>
                <w:b/>
                <w:bCs/>
                <w:szCs w:val="16"/>
              </w:rPr>
            </w:pPr>
            <w:r w:rsidRPr="00C842BA">
              <w:rPr>
                <w:b/>
                <w:bCs/>
                <w:szCs w:val="16"/>
              </w:rPr>
              <w:t>1</w:t>
            </w:r>
            <w:r w:rsidR="00CC61F0" w:rsidRPr="00CC61F0">
              <w:rPr>
                <w:b/>
                <w:bCs/>
                <w:szCs w:val="16"/>
                <w:vertAlign w:val="superscript"/>
              </w:rPr>
              <w:t>st</w:t>
            </w:r>
            <w:r w:rsidR="00CC61F0">
              <w:rPr>
                <w:b/>
                <w:bCs/>
                <w:szCs w:val="16"/>
              </w:rPr>
              <w:t xml:space="preserve"> </w:t>
            </w:r>
            <w:r w:rsidRPr="00C842BA">
              <w:rPr>
                <w:b/>
                <w:bCs/>
                <w:szCs w:val="16"/>
              </w:rPr>
              <w:t>July 22</w:t>
            </w:r>
          </w:p>
          <w:p w:rsidR="00900A5A" w:rsidRPr="00C842BA" w:rsidRDefault="00900A5A" w:rsidP="00155D37">
            <w:pPr>
              <w:rPr>
                <w:b/>
                <w:bCs/>
                <w:szCs w:val="16"/>
              </w:rPr>
            </w:pPr>
            <w:r w:rsidRPr="00C842BA">
              <w:rPr>
                <w:b/>
                <w:bCs/>
                <w:szCs w:val="16"/>
              </w:rPr>
              <w:t>to</w:t>
            </w:r>
          </w:p>
          <w:p w:rsidR="00900A5A" w:rsidRPr="00C842BA" w:rsidRDefault="00507C74" w:rsidP="008D1A60">
            <w:pPr>
              <w:rPr>
                <w:b/>
                <w:bCs/>
                <w:szCs w:val="16"/>
              </w:rPr>
            </w:pPr>
            <w:r>
              <w:rPr>
                <w:b/>
                <w:bCs/>
                <w:szCs w:val="16"/>
              </w:rPr>
              <w:t>2</w:t>
            </w:r>
            <w:r w:rsidR="008D1A60">
              <w:rPr>
                <w:b/>
                <w:bCs/>
                <w:szCs w:val="16"/>
              </w:rPr>
              <w:t>6</w:t>
            </w:r>
            <w:r w:rsidR="00900A5A" w:rsidRPr="00C842BA">
              <w:rPr>
                <w:b/>
                <w:bCs/>
                <w:szCs w:val="16"/>
              </w:rPr>
              <w:t>-</w:t>
            </w:r>
            <w:r w:rsidR="008D1A60">
              <w:rPr>
                <w:b/>
                <w:bCs/>
                <w:szCs w:val="16"/>
              </w:rPr>
              <w:t>May</w:t>
            </w:r>
            <w:r w:rsidR="00FC291E">
              <w:rPr>
                <w:b/>
                <w:bCs/>
                <w:szCs w:val="16"/>
              </w:rPr>
              <w:t>-23</w:t>
            </w:r>
          </w:p>
        </w:tc>
      </w:tr>
      <w:tr w:rsidR="008D1A60" w:rsidRPr="00B80099" w:rsidTr="008D1A60">
        <w:trPr>
          <w:trHeight w:val="57"/>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b/>
                <w:bCs/>
                <w:color w:val="auto"/>
                <w:szCs w:val="16"/>
              </w:rPr>
            </w:pPr>
            <w:r w:rsidRPr="00B80099">
              <w:rPr>
                <w:b/>
                <w:bCs/>
                <w:color w:val="auto"/>
                <w:szCs w:val="16"/>
              </w:rPr>
              <w:t>16,894,192</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rFonts w:asciiTheme="majorBidi" w:hAnsiTheme="majorBidi" w:cstheme="majorBidi"/>
                <w:b/>
                <w:bCs/>
                <w:color w:val="auto"/>
                <w:szCs w:val="16"/>
              </w:rPr>
            </w:pPr>
            <w:r w:rsidRPr="00155E5C">
              <w:rPr>
                <w:rFonts w:asciiTheme="majorBidi" w:hAnsiTheme="majorBidi" w:cstheme="majorBidi"/>
                <w:b/>
                <w:bCs/>
                <w:color w:val="auto"/>
                <w:szCs w:val="16"/>
              </w:rPr>
              <w:t>20,356,780</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b/>
                <w:bCs/>
                <w:szCs w:val="16"/>
              </w:rPr>
            </w:pPr>
            <w:r w:rsidRPr="008D1A60">
              <w:rPr>
                <w:b/>
                <w:bCs/>
                <w:szCs w:val="16"/>
              </w:rPr>
              <w:t>2,372,769</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b/>
                <w:bCs/>
                <w:szCs w:val="16"/>
              </w:rPr>
            </w:pPr>
            <w:r w:rsidRPr="008D1A60">
              <w:rPr>
                <w:b/>
                <w:bCs/>
                <w:szCs w:val="16"/>
              </w:rPr>
              <w:t>2,867,600</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Cs w:val="16"/>
              </w:rPr>
            </w:pPr>
            <w:r w:rsidRPr="00B80099">
              <w:rPr>
                <w:color w:val="auto"/>
                <w:szCs w:val="16"/>
              </w:rPr>
              <w:t>11,181,917</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rFonts w:asciiTheme="majorBidi" w:hAnsiTheme="majorBidi" w:cstheme="majorBidi"/>
                <w:color w:val="auto"/>
                <w:szCs w:val="16"/>
              </w:rPr>
            </w:pPr>
            <w:r w:rsidRPr="00155E5C">
              <w:rPr>
                <w:rFonts w:asciiTheme="majorBidi" w:hAnsiTheme="majorBidi" w:cstheme="majorBidi"/>
                <w:color w:val="auto"/>
                <w:szCs w:val="16"/>
              </w:rPr>
              <w:t>14,630,114</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1,695,763</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2,794,266</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Cs w:val="16"/>
              </w:rPr>
            </w:pPr>
            <w:r w:rsidRPr="00B80099">
              <w:rPr>
                <w:color w:val="auto"/>
                <w:szCs w:val="16"/>
              </w:rPr>
              <w:t>12,840,918</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rFonts w:asciiTheme="majorBidi" w:hAnsiTheme="majorBidi" w:cstheme="majorBidi"/>
                <w:color w:val="auto"/>
                <w:szCs w:val="16"/>
              </w:rPr>
            </w:pPr>
            <w:r w:rsidRPr="00155E5C">
              <w:rPr>
                <w:rFonts w:asciiTheme="majorBidi" w:hAnsiTheme="majorBidi" w:cstheme="majorBidi"/>
                <w:color w:val="auto"/>
                <w:szCs w:val="16"/>
              </w:rPr>
              <w:t>16,650,189</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1,959,600</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3,014,336</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 w:val="20"/>
              </w:rPr>
            </w:pPr>
          </w:p>
        </w:tc>
        <w:tc>
          <w:tcPr>
            <w:tcW w:w="549" w:type="pct"/>
            <w:tcBorders>
              <w:top w:val="nil"/>
              <w:left w:val="nil"/>
              <w:bottom w:val="nil"/>
              <w:right w:val="nil"/>
            </w:tcBorders>
            <w:shd w:val="clear" w:color="auto" w:fill="auto"/>
            <w:vAlign w:val="center"/>
          </w:tcPr>
          <w:p w:rsidR="008D1A60" w:rsidRPr="00155E5C" w:rsidRDefault="008D1A60" w:rsidP="008D1A60">
            <w:pPr>
              <w:jc w:val="right"/>
              <w:rPr>
                <w:rFonts w:asciiTheme="majorBidi" w:hAnsiTheme="majorBidi" w:cstheme="majorBidi"/>
                <w:color w:val="auto"/>
                <w:szCs w:val="16"/>
              </w:rPr>
            </w:pP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0A675C" w:rsidRDefault="008D1A60" w:rsidP="008D1A60">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i/>
                <w:iCs/>
                <w:color w:val="auto"/>
                <w:szCs w:val="16"/>
              </w:rPr>
            </w:pPr>
            <w:r w:rsidRPr="00B80099">
              <w:rPr>
                <w:i/>
                <w:iCs/>
                <w:color w:val="auto"/>
                <w:szCs w:val="16"/>
              </w:rPr>
              <w:t>1,659,001</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rFonts w:asciiTheme="majorBidi" w:hAnsiTheme="majorBidi" w:cstheme="majorBidi"/>
                <w:color w:val="auto"/>
                <w:szCs w:val="16"/>
              </w:rPr>
            </w:pPr>
            <w:r w:rsidRPr="00155E5C">
              <w:rPr>
                <w:rFonts w:asciiTheme="majorBidi" w:hAnsiTheme="majorBidi" w:cstheme="majorBidi"/>
                <w:color w:val="auto"/>
                <w:szCs w:val="16"/>
              </w:rPr>
              <w:t>2,020,076</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263,837</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220,070</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Cs w:val="16"/>
              </w:rPr>
            </w:pPr>
            <w:r w:rsidRPr="00B80099">
              <w:rPr>
                <w:color w:val="auto"/>
                <w:szCs w:val="16"/>
              </w:rPr>
              <w:t>5,712,275</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rFonts w:asciiTheme="majorBidi" w:hAnsiTheme="majorBidi" w:cstheme="majorBidi"/>
                <w:color w:val="auto"/>
                <w:szCs w:val="16"/>
              </w:rPr>
            </w:pPr>
            <w:r w:rsidRPr="00155E5C">
              <w:rPr>
                <w:rFonts w:asciiTheme="majorBidi" w:hAnsiTheme="majorBidi" w:cstheme="majorBidi"/>
                <w:color w:val="auto"/>
                <w:szCs w:val="16"/>
              </w:rPr>
              <w:t>5,726,667</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677,006</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73,334</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8D1A60" w:rsidRPr="00B80099" w:rsidRDefault="008D1A60" w:rsidP="008D1A60">
            <w:pPr>
              <w:jc w:val="right"/>
              <w:rPr>
                <w:color w:val="auto"/>
                <w:szCs w:val="16"/>
              </w:rPr>
            </w:pPr>
            <w:r w:rsidRPr="00B80099">
              <w:rPr>
                <w:color w:val="auto"/>
                <w:szCs w:val="16"/>
              </w:rPr>
              <w:t>6,685,409</w:t>
            </w:r>
          </w:p>
        </w:tc>
        <w:tc>
          <w:tcPr>
            <w:tcW w:w="549" w:type="pct"/>
            <w:tcBorders>
              <w:top w:val="nil"/>
              <w:left w:val="nil"/>
              <w:bottom w:val="nil"/>
              <w:right w:val="nil"/>
            </w:tcBorders>
            <w:shd w:val="clear" w:color="auto" w:fill="auto"/>
            <w:noWrap/>
            <w:vAlign w:val="center"/>
          </w:tcPr>
          <w:p w:rsidR="008D1A60" w:rsidRPr="00155E5C" w:rsidRDefault="008D1A60" w:rsidP="008D1A60">
            <w:pPr>
              <w:jc w:val="right"/>
              <w:rPr>
                <w:rFonts w:asciiTheme="majorBidi" w:hAnsiTheme="majorBidi" w:cstheme="majorBidi"/>
                <w:color w:val="auto"/>
                <w:szCs w:val="16"/>
              </w:rPr>
            </w:pPr>
            <w:r w:rsidRPr="00155E5C">
              <w:rPr>
                <w:rFonts w:asciiTheme="majorBidi" w:hAnsiTheme="majorBidi" w:cstheme="majorBidi"/>
                <w:color w:val="auto"/>
                <w:szCs w:val="16"/>
              </w:rPr>
              <w:t>6,196,800</w:t>
            </w:r>
          </w:p>
        </w:tc>
        <w:tc>
          <w:tcPr>
            <w:tcW w:w="650" w:type="pct"/>
            <w:tcBorders>
              <w:top w:val="nil"/>
              <w:left w:val="nil"/>
              <w:bottom w:val="nil"/>
              <w:right w:val="nil"/>
            </w:tcBorders>
            <w:shd w:val="clear" w:color="auto" w:fill="auto"/>
            <w:noWrap/>
            <w:vAlign w:val="center"/>
          </w:tcPr>
          <w:p w:rsidR="008D1A60" w:rsidRPr="008D1A60" w:rsidRDefault="008D1A60" w:rsidP="008D1A60">
            <w:pPr>
              <w:jc w:val="right"/>
              <w:rPr>
                <w:szCs w:val="16"/>
              </w:rPr>
            </w:pPr>
            <w:r w:rsidRPr="008D1A60">
              <w:rPr>
                <w:szCs w:val="16"/>
              </w:rPr>
              <w:t>(226,211)</w:t>
            </w:r>
          </w:p>
        </w:tc>
        <w:tc>
          <w:tcPr>
            <w:tcW w:w="601" w:type="pct"/>
            <w:tcBorders>
              <w:top w:val="nil"/>
              <w:left w:val="nil"/>
              <w:bottom w:val="nil"/>
              <w:right w:val="nil"/>
            </w:tcBorders>
            <w:shd w:val="clear" w:color="auto" w:fill="auto"/>
            <w:noWrap/>
            <w:vAlign w:val="center"/>
          </w:tcPr>
          <w:p w:rsidR="008D1A60" w:rsidRPr="008D1A60" w:rsidRDefault="008D1A60" w:rsidP="008D1A60">
            <w:pPr>
              <w:jc w:val="right"/>
              <w:rPr>
                <w:szCs w:val="16"/>
              </w:rPr>
            </w:pPr>
            <w:r w:rsidRPr="008D1A60">
              <w:rPr>
                <w:szCs w:val="16"/>
              </w:rPr>
              <w:t>80,502</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8D1A60" w:rsidRPr="00B80099" w:rsidRDefault="008D1A60" w:rsidP="008D1A60">
            <w:pPr>
              <w:jc w:val="right"/>
              <w:rPr>
                <w:color w:val="auto"/>
                <w:szCs w:val="16"/>
              </w:rPr>
            </w:pPr>
            <w:r w:rsidRPr="00B80099">
              <w:rPr>
                <w:color w:val="auto"/>
                <w:szCs w:val="16"/>
              </w:rPr>
              <w:t>33,794</w:t>
            </w:r>
          </w:p>
        </w:tc>
        <w:tc>
          <w:tcPr>
            <w:tcW w:w="549" w:type="pct"/>
            <w:tcBorders>
              <w:top w:val="nil"/>
              <w:left w:val="nil"/>
              <w:bottom w:val="nil"/>
              <w:right w:val="nil"/>
            </w:tcBorders>
            <w:shd w:val="clear" w:color="auto" w:fill="auto"/>
            <w:noWrap/>
            <w:vAlign w:val="center"/>
          </w:tcPr>
          <w:p w:rsidR="008D1A60" w:rsidRPr="00155E5C" w:rsidRDefault="008D1A60" w:rsidP="008D1A60">
            <w:pPr>
              <w:jc w:val="right"/>
              <w:rPr>
                <w:rFonts w:asciiTheme="majorBidi" w:hAnsiTheme="majorBidi" w:cstheme="majorBidi"/>
                <w:i/>
                <w:iCs/>
                <w:color w:val="auto"/>
                <w:szCs w:val="16"/>
              </w:rPr>
            </w:pPr>
            <w:r w:rsidRPr="00155E5C">
              <w:rPr>
                <w:rFonts w:asciiTheme="majorBidi" w:hAnsiTheme="majorBidi" w:cstheme="majorBidi"/>
                <w:i/>
                <w:iCs/>
                <w:color w:val="auto"/>
                <w:szCs w:val="16"/>
              </w:rPr>
              <w:t>-</w:t>
            </w:r>
          </w:p>
        </w:tc>
        <w:tc>
          <w:tcPr>
            <w:tcW w:w="650" w:type="pct"/>
            <w:tcBorders>
              <w:top w:val="nil"/>
              <w:left w:val="nil"/>
              <w:bottom w:val="nil"/>
              <w:right w:val="nil"/>
            </w:tcBorders>
            <w:shd w:val="clear" w:color="auto" w:fill="auto"/>
            <w:noWrap/>
            <w:vAlign w:val="center"/>
          </w:tcPr>
          <w:p w:rsidR="008D1A60" w:rsidRPr="008D1A60" w:rsidRDefault="008D1A60" w:rsidP="008D1A60">
            <w:pPr>
              <w:jc w:val="right"/>
              <w:rPr>
                <w:i/>
                <w:iCs/>
                <w:szCs w:val="16"/>
              </w:rPr>
            </w:pPr>
            <w:r w:rsidRPr="008D1A60">
              <w:rPr>
                <w:i/>
                <w:iCs/>
                <w:szCs w:val="16"/>
              </w:rPr>
              <w:t>(33,794)</w:t>
            </w:r>
          </w:p>
        </w:tc>
        <w:tc>
          <w:tcPr>
            <w:tcW w:w="601" w:type="pct"/>
            <w:tcBorders>
              <w:top w:val="nil"/>
              <w:left w:val="nil"/>
              <w:bottom w:val="nil"/>
              <w:right w:val="nil"/>
            </w:tcBorders>
            <w:shd w:val="clear" w:color="auto" w:fill="auto"/>
            <w:noWrap/>
            <w:vAlign w:val="center"/>
          </w:tcPr>
          <w:p w:rsidR="008D1A60" w:rsidRPr="008D1A60" w:rsidRDefault="008D1A60" w:rsidP="008D1A60">
            <w:pPr>
              <w:jc w:val="right"/>
              <w:rPr>
                <w:i/>
                <w:iCs/>
                <w:szCs w:val="16"/>
              </w:rPr>
            </w:pPr>
            <w:r w:rsidRPr="008D1A60">
              <w:rPr>
                <w:i/>
                <w:iCs/>
                <w:szCs w:val="16"/>
              </w:rPr>
              <w:t>-</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 w:val="20"/>
              </w:rPr>
            </w:pPr>
          </w:p>
        </w:tc>
        <w:tc>
          <w:tcPr>
            <w:tcW w:w="549" w:type="pct"/>
            <w:tcBorders>
              <w:top w:val="nil"/>
              <w:left w:val="nil"/>
              <w:bottom w:val="nil"/>
              <w:right w:val="nil"/>
            </w:tcBorders>
            <w:shd w:val="clear" w:color="auto" w:fill="auto"/>
            <w:vAlign w:val="center"/>
          </w:tcPr>
          <w:p w:rsidR="008D1A60" w:rsidRPr="00155E5C" w:rsidRDefault="008D1A60" w:rsidP="008D1A60">
            <w:pPr>
              <w:jc w:val="right"/>
              <w:rPr>
                <w:rFonts w:asciiTheme="majorBidi" w:hAnsiTheme="majorBidi" w:cstheme="majorBidi"/>
                <w:i/>
                <w:iCs/>
                <w:color w:val="auto"/>
                <w:szCs w:val="16"/>
              </w:rPr>
            </w:pPr>
          </w:p>
        </w:tc>
        <w:tc>
          <w:tcPr>
            <w:tcW w:w="650" w:type="pct"/>
            <w:tcBorders>
              <w:top w:val="nil"/>
              <w:left w:val="nil"/>
              <w:bottom w:val="nil"/>
              <w:right w:val="nil"/>
            </w:tcBorders>
            <w:shd w:val="clear" w:color="auto" w:fill="auto"/>
            <w:vAlign w:val="center"/>
          </w:tcPr>
          <w:p w:rsidR="008D1A60" w:rsidRPr="008D1A60" w:rsidRDefault="008D1A60" w:rsidP="008D1A60">
            <w:pPr>
              <w:jc w:val="right"/>
              <w:rPr>
                <w:i/>
                <w:iCs/>
                <w:szCs w:val="16"/>
              </w:rPr>
            </w:pP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0A675C" w:rsidRDefault="008D1A60" w:rsidP="008D1A60">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i/>
                <w:iCs/>
                <w:color w:val="auto"/>
                <w:szCs w:val="16"/>
              </w:rPr>
            </w:pPr>
            <w:r w:rsidRPr="00B80099">
              <w:rPr>
                <w:i/>
                <w:iCs/>
                <w:color w:val="auto"/>
                <w:szCs w:val="16"/>
              </w:rPr>
              <w:t>1,016,725</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i/>
                <w:iCs/>
                <w:color w:val="auto"/>
                <w:szCs w:val="16"/>
              </w:rPr>
            </w:pPr>
            <w:r w:rsidRPr="00155E5C">
              <w:rPr>
                <w:i/>
                <w:iCs/>
                <w:color w:val="auto"/>
                <w:szCs w:val="16"/>
              </w:rPr>
              <w:t>1,009,058</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i/>
                <w:iCs/>
                <w:szCs w:val="16"/>
              </w:rPr>
            </w:pPr>
            <w:r w:rsidRPr="008D1A60">
              <w:rPr>
                <w:i/>
                <w:iCs/>
                <w:szCs w:val="16"/>
              </w:rPr>
              <w:t>(404,874)</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i/>
                <w:iCs/>
                <w:szCs w:val="16"/>
              </w:rPr>
            </w:pPr>
            <w:r w:rsidRPr="008D1A60">
              <w:rPr>
                <w:i/>
                <w:iCs/>
                <w:szCs w:val="16"/>
              </w:rPr>
              <w:t>218,486</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0A675C" w:rsidRDefault="008D1A60" w:rsidP="008D1A60">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i/>
                <w:iCs/>
                <w:color w:val="auto"/>
                <w:szCs w:val="16"/>
              </w:rPr>
            </w:pPr>
            <w:r w:rsidRPr="00B80099">
              <w:rPr>
                <w:i/>
                <w:iCs/>
                <w:color w:val="auto"/>
                <w:szCs w:val="16"/>
              </w:rPr>
              <w:t>(9,797)</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i/>
                <w:iCs/>
                <w:color w:val="auto"/>
                <w:szCs w:val="16"/>
              </w:rPr>
            </w:pPr>
            <w:r w:rsidRPr="00155E5C">
              <w:rPr>
                <w:i/>
                <w:iCs/>
                <w:color w:val="auto"/>
                <w:szCs w:val="16"/>
              </w:rPr>
              <w:t>(538,925)</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i/>
                <w:iCs/>
                <w:szCs w:val="16"/>
              </w:rPr>
            </w:pPr>
            <w:r w:rsidRPr="008D1A60">
              <w:rPr>
                <w:i/>
                <w:iCs/>
                <w:szCs w:val="16"/>
              </w:rPr>
              <w:t>(532,137)</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i/>
                <w:iCs/>
                <w:szCs w:val="16"/>
              </w:rPr>
            </w:pPr>
            <w:r w:rsidRPr="008D1A60">
              <w:rPr>
                <w:i/>
                <w:iCs/>
                <w:szCs w:val="16"/>
              </w:rPr>
              <w:t>(211,318)</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b/>
                <w:bCs/>
                <w:color w:val="auto"/>
                <w:szCs w:val="16"/>
              </w:rPr>
            </w:pPr>
            <w:r w:rsidRPr="00B80099">
              <w:rPr>
                <w:b/>
                <w:bCs/>
                <w:color w:val="auto"/>
                <w:szCs w:val="16"/>
              </w:rPr>
              <w:t>(1,520,728)</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b/>
                <w:bCs/>
                <w:color w:val="auto"/>
                <w:szCs w:val="16"/>
              </w:rPr>
            </w:pPr>
            <w:r w:rsidRPr="00155E5C">
              <w:rPr>
                <w:b/>
                <w:bCs/>
                <w:color w:val="auto"/>
                <w:szCs w:val="16"/>
              </w:rPr>
              <w:t>(1,850,313)</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b/>
                <w:bCs/>
                <w:szCs w:val="16"/>
              </w:rPr>
            </w:pPr>
            <w:r w:rsidRPr="008D1A60">
              <w:rPr>
                <w:b/>
                <w:bCs/>
                <w:szCs w:val="16"/>
              </w:rPr>
              <w:t>(479,288)</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b/>
                <w:bCs/>
                <w:szCs w:val="16"/>
              </w:rPr>
            </w:pPr>
            <w:r w:rsidRPr="008D1A60">
              <w:rPr>
                <w:b/>
                <w:bCs/>
                <w:szCs w:val="16"/>
              </w:rPr>
              <w:t>(224,059)</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Cs w:val="16"/>
              </w:rPr>
            </w:pPr>
            <w:r w:rsidRPr="00B80099">
              <w:rPr>
                <w:color w:val="auto"/>
                <w:szCs w:val="16"/>
              </w:rPr>
              <w:t>(1,140,944)</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color w:val="auto"/>
                <w:szCs w:val="16"/>
              </w:rPr>
            </w:pPr>
            <w:r w:rsidRPr="00155E5C">
              <w:rPr>
                <w:color w:val="auto"/>
                <w:szCs w:val="16"/>
              </w:rPr>
              <w:t>(1,265,079)</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(83,358)</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1,924</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Government</w:t>
            </w:r>
            <w:r>
              <w:rPr>
                <w:color w:val="auto"/>
                <w:sz w:val="18"/>
                <w:szCs w:val="18"/>
              </w:rPr>
              <w:t xml:space="preserve"> </w:t>
            </w:r>
            <w:r w:rsidRPr="00D5469A">
              <w:rPr>
                <w:color w:val="auto"/>
                <w:sz w:val="18"/>
                <w:szCs w:val="18"/>
              </w:rPr>
              <w:t>Securities and Others</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Cs w:val="16"/>
              </w:rPr>
            </w:pPr>
            <w:r w:rsidRPr="00B80099">
              <w:rPr>
                <w:color w:val="auto"/>
                <w:szCs w:val="16"/>
              </w:rPr>
              <w:t>1,024</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color w:val="auto"/>
                <w:szCs w:val="16"/>
              </w:rPr>
            </w:pPr>
            <w:r w:rsidRPr="00155E5C">
              <w:rPr>
                <w:color w:val="auto"/>
                <w:szCs w:val="16"/>
              </w:rPr>
              <w:t>1,024</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 w:val="20"/>
              </w:rPr>
            </w:pPr>
          </w:p>
        </w:tc>
        <w:tc>
          <w:tcPr>
            <w:tcW w:w="549" w:type="pct"/>
            <w:tcBorders>
              <w:top w:val="nil"/>
              <w:left w:val="nil"/>
              <w:bottom w:val="nil"/>
              <w:right w:val="nil"/>
            </w:tcBorders>
            <w:shd w:val="clear" w:color="auto" w:fill="auto"/>
            <w:vAlign w:val="center"/>
          </w:tcPr>
          <w:p w:rsidR="008D1A60" w:rsidRPr="00155E5C" w:rsidRDefault="008D1A60" w:rsidP="008D1A60">
            <w:pPr>
              <w:jc w:val="right"/>
              <w:rPr>
                <w:color w:val="auto"/>
                <w:szCs w:val="16"/>
              </w:rPr>
            </w:pP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0A675C" w:rsidRDefault="008D1A60" w:rsidP="008D1A60">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i/>
                <w:iCs/>
                <w:color w:val="auto"/>
                <w:szCs w:val="16"/>
              </w:rPr>
            </w:pPr>
            <w:r w:rsidRPr="00B80099">
              <w:rPr>
                <w:i/>
                <w:iCs/>
                <w:color w:val="auto"/>
                <w:szCs w:val="16"/>
              </w:rPr>
              <w:t>1,141,968</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i/>
                <w:iCs/>
                <w:color w:val="auto"/>
                <w:szCs w:val="16"/>
              </w:rPr>
            </w:pPr>
            <w:r w:rsidRPr="00155E5C">
              <w:rPr>
                <w:i/>
                <w:iCs/>
                <w:color w:val="auto"/>
                <w:szCs w:val="16"/>
              </w:rPr>
              <w:t>1,266,103</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i/>
                <w:iCs/>
                <w:szCs w:val="16"/>
              </w:rPr>
            </w:pPr>
            <w:r w:rsidRPr="008D1A60">
              <w:rPr>
                <w:i/>
                <w:iCs/>
                <w:szCs w:val="16"/>
              </w:rPr>
              <w:t>83,358</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i/>
                <w:iCs/>
                <w:szCs w:val="16"/>
              </w:rPr>
            </w:pPr>
            <w:r w:rsidRPr="008D1A60">
              <w:rPr>
                <w:i/>
                <w:iCs/>
                <w:szCs w:val="16"/>
              </w:rPr>
              <w:t>(1,924)</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Cs w:val="16"/>
              </w:rPr>
            </w:pPr>
            <w:r w:rsidRPr="00B80099">
              <w:rPr>
                <w:color w:val="auto"/>
                <w:szCs w:val="16"/>
              </w:rPr>
              <w:t>(379,784)</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color w:val="auto"/>
                <w:szCs w:val="16"/>
              </w:rPr>
            </w:pPr>
            <w:r w:rsidRPr="00155E5C">
              <w:rPr>
                <w:color w:val="auto"/>
                <w:szCs w:val="16"/>
              </w:rPr>
              <w:t>(585,234)</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(395,930)</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(225,983)</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8D1A60" w:rsidRPr="00B80099" w:rsidRDefault="008D1A60" w:rsidP="008D1A60">
            <w:pPr>
              <w:jc w:val="right"/>
              <w:rPr>
                <w:color w:val="auto"/>
                <w:sz w:val="20"/>
              </w:rPr>
            </w:pPr>
          </w:p>
        </w:tc>
        <w:tc>
          <w:tcPr>
            <w:tcW w:w="549" w:type="pct"/>
            <w:tcBorders>
              <w:top w:val="nil"/>
              <w:left w:val="nil"/>
              <w:bottom w:val="nil"/>
              <w:right w:val="nil"/>
            </w:tcBorders>
            <w:shd w:val="clear" w:color="auto" w:fill="auto"/>
            <w:noWrap/>
            <w:vAlign w:val="center"/>
          </w:tcPr>
          <w:p w:rsidR="008D1A60" w:rsidRPr="00155E5C" w:rsidRDefault="008D1A60" w:rsidP="008D1A60">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noWrap/>
            <w:vAlign w:val="center"/>
          </w:tcPr>
          <w:p w:rsidR="008D1A60" w:rsidRPr="008D1A60" w:rsidRDefault="008D1A60" w:rsidP="008D1A60">
            <w:pPr>
              <w:jc w:val="right"/>
              <w:rPr>
                <w:szCs w:val="16"/>
              </w:rPr>
            </w:pPr>
            <w:r w:rsidRPr="008D1A60">
              <w:rPr>
                <w:szCs w:val="16"/>
              </w:rPr>
              <w:t>-</w:t>
            </w:r>
          </w:p>
        </w:tc>
        <w:tc>
          <w:tcPr>
            <w:tcW w:w="601" w:type="pct"/>
            <w:tcBorders>
              <w:top w:val="nil"/>
              <w:left w:val="nil"/>
              <w:bottom w:val="nil"/>
              <w:right w:val="nil"/>
            </w:tcBorders>
            <w:shd w:val="clear" w:color="auto" w:fill="auto"/>
            <w:noWrap/>
            <w:vAlign w:val="center"/>
          </w:tcPr>
          <w:p w:rsidR="008D1A60" w:rsidRPr="008D1A60" w:rsidRDefault="008D1A60" w:rsidP="008D1A60">
            <w:pPr>
              <w:jc w:val="right"/>
              <w:rPr>
                <w:szCs w:val="16"/>
              </w:rPr>
            </w:pPr>
            <w:r w:rsidRPr="008D1A60">
              <w:rPr>
                <w:szCs w:val="16"/>
              </w:rPr>
              <w:t>-</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8D1A60" w:rsidRPr="00B80099" w:rsidRDefault="008D1A60" w:rsidP="008D1A60">
            <w:pPr>
              <w:jc w:val="right"/>
              <w:rPr>
                <w:color w:val="auto"/>
                <w:szCs w:val="16"/>
              </w:rPr>
            </w:pPr>
            <w:r w:rsidRPr="00B80099">
              <w:rPr>
                <w:color w:val="auto"/>
                <w:szCs w:val="16"/>
              </w:rPr>
              <w:t>-</w:t>
            </w:r>
          </w:p>
        </w:tc>
        <w:tc>
          <w:tcPr>
            <w:tcW w:w="549" w:type="pct"/>
            <w:tcBorders>
              <w:top w:val="nil"/>
              <w:left w:val="nil"/>
              <w:bottom w:val="nil"/>
              <w:right w:val="nil"/>
            </w:tcBorders>
            <w:shd w:val="clear" w:color="auto" w:fill="auto"/>
            <w:vAlign w:val="center"/>
          </w:tcPr>
          <w:p w:rsidR="008D1A60" w:rsidRPr="00155E5C" w:rsidRDefault="008D1A60" w:rsidP="008D1A60">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w:t>
            </w:r>
          </w:p>
        </w:tc>
        <w:tc>
          <w:tcPr>
            <w:tcW w:w="601" w:type="pct"/>
            <w:tcBorders>
              <w:top w:val="nil"/>
              <w:left w:val="nil"/>
              <w:bottom w:val="nil"/>
              <w:right w:val="nil"/>
            </w:tcBorders>
            <w:shd w:val="clear" w:color="auto" w:fill="auto"/>
            <w:vAlign w:val="center"/>
          </w:tcPr>
          <w:p w:rsidR="008D1A60" w:rsidRPr="008D1A60" w:rsidRDefault="008D1A60" w:rsidP="008D1A60">
            <w:pPr>
              <w:jc w:val="right"/>
              <w:rPr>
                <w:szCs w:val="16"/>
              </w:rPr>
            </w:pPr>
            <w:r w:rsidRPr="008D1A60">
              <w:rPr>
                <w:szCs w:val="16"/>
              </w:rPr>
              <w:t>-</w:t>
            </w:r>
          </w:p>
        </w:tc>
      </w:tr>
      <w:tr w:rsidR="008D1A60" w:rsidRPr="00B80099" w:rsidTr="008D1A60">
        <w:trPr>
          <w:trHeight w:val="288"/>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8D1A60" w:rsidRPr="00B80099" w:rsidRDefault="008D1A60" w:rsidP="008D1A60">
            <w:pPr>
              <w:jc w:val="right"/>
              <w:rPr>
                <w:color w:val="auto"/>
                <w:sz w:val="20"/>
              </w:rPr>
            </w:pPr>
          </w:p>
        </w:tc>
        <w:tc>
          <w:tcPr>
            <w:tcW w:w="549" w:type="pct"/>
            <w:tcBorders>
              <w:top w:val="nil"/>
              <w:left w:val="nil"/>
              <w:right w:val="nil"/>
            </w:tcBorders>
            <w:shd w:val="clear" w:color="auto" w:fill="auto"/>
            <w:noWrap/>
            <w:vAlign w:val="center"/>
          </w:tcPr>
          <w:p w:rsidR="008D1A60" w:rsidRPr="00155E5C" w:rsidRDefault="008D1A60" w:rsidP="008D1A60">
            <w:pPr>
              <w:jc w:val="right"/>
              <w:rPr>
                <w:color w:val="auto"/>
                <w:szCs w:val="16"/>
              </w:rPr>
            </w:pPr>
          </w:p>
        </w:tc>
        <w:tc>
          <w:tcPr>
            <w:tcW w:w="650" w:type="pct"/>
            <w:tcBorders>
              <w:top w:val="nil"/>
              <w:left w:val="nil"/>
              <w:right w:val="nil"/>
            </w:tcBorders>
            <w:shd w:val="clear" w:color="auto" w:fill="auto"/>
            <w:noWrap/>
            <w:vAlign w:val="center"/>
          </w:tcPr>
          <w:p w:rsidR="008D1A60" w:rsidRPr="008D1A60" w:rsidRDefault="008D1A60" w:rsidP="008D1A60">
            <w:pPr>
              <w:jc w:val="right"/>
              <w:rPr>
                <w:szCs w:val="16"/>
              </w:rPr>
            </w:pPr>
          </w:p>
        </w:tc>
        <w:tc>
          <w:tcPr>
            <w:tcW w:w="601" w:type="pct"/>
            <w:tcBorders>
              <w:top w:val="nil"/>
              <w:left w:val="nil"/>
              <w:right w:val="nil"/>
            </w:tcBorders>
            <w:shd w:val="clear" w:color="auto" w:fill="auto"/>
            <w:noWrap/>
            <w:vAlign w:val="center"/>
          </w:tcPr>
          <w:p w:rsidR="008D1A60" w:rsidRPr="008D1A60" w:rsidRDefault="008D1A60" w:rsidP="008D1A60">
            <w:pPr>
              <w:jc w:val="right"/>
              <w:rPr>
                <w:szCs w:val="16"/>
              </w:rPr>
            </w:pPr>
          </w:p>
        </w:tc>
      </w:tr>
      <w:tr w:rsidR="008D1A60" w:rsidRPr="00B80099" w:rsidTr="008D1A60">
        <w:trPr>
          <w:trHeight w:val="288"/>
          <w:jc w:val="center"/>
        </w:trPr>
        <w:tc>
          <w:tcPr>
            <w:tcW w:w="2625" w:type="pct"/>
            <w:tcBorders>
              <w:top w:val="nil"/>
              <w:left w:val="nil"/>
              <w:bottom w:val="single" w:sz="12" w:space="0" w:color="auto"/>
              <w:right w:val="nil"/>
            </w:tcBorders>
            <w:shd w:val="clear" w:color="auto" w:fill="auto"/>
            <w:vAlign w:val="center"/>
            <w:hideMark/>
          </w:tcPr>
          <w:p w:rsidR="008D1A60" w:rsidRPr="000A675C" w:rsidRDefault="008D1A60" w:rsidP="008D1A60">
            <w:pPr>
              <w:ind w:left="720"/>
              <w:jc w:val="left"/>
              <w:rPr>
                <w:i/>
                <w:iCs/>
                <w:color w:val="auto"/>
                <w:sz w:val="18"/>
                <w:szCs w:val="18"/>
              </w:rPr>
            </w:pPr>
            <w:r w:rsidRPr="000A675C">
              <w:rPr>
                <w:i/>
                <w:iCs/>
                <w:color w:val="auto"/>
                <w:sz w:val="18"/>
                <w:szCs w:val="18"/>
              </w:rPr>
              <w:t>Government Deposits (Excluding</w:t>
            </w:r>
            <w:r>
              <w:rPr>
                <w:i/>
                <w:iCs/>
                <w:color w:val="auto"/>
                <w:sz w:val="18"/>
                <w:szCs w:val="18"/>
              </w:rPr>
              <w:t xml:space="preserve"> </w:t>
            </w:r>
            <w:r w:rsidRPr="000A675C">
              <w:rPr>
                <w:i/>
                <w:iCs/>
                <w:color w:val="auto"/>
                <w:sz w:val="18"/>
                <w:szCs w:val="18"/>
              </w:rPr>
              <w:t>Zakat Fund)</w:t>
            </w:r>
          </w:p>
        </w:tc>
        <w:tc>
          <w:tcPr>
            <w:tcW w:w="575" w:type="pct"/>
            <w:tcBorders>
              <w:top w:val="nil"/>
              <w:left w:val="nil"/>
              <w:bottom w:val="single" w:sz="12" w:space="0" w:color="auto"/>
              <w:right w:val="nil"/>
            </w:tcBorders>
            <w:shd w:val="clear" w:color="auto" w:fill="auto"/>
            <w:vAlign w:val="center"/>
            <w:hideMark/>
          </w:tcPr>
          <w:p w:rsidR="008D1A60" w:rsidRPr="00B80099" w:rsidRDefault="008D1A60" w:rsidP="008D1A60">
            <w:pPr>
              <w:jc w:val="right"/>
              <w:rPr>
                <w:i/>
                <w:iCs/>
                <w:color w:val="auto"/>
                <w:szCs w:val="16"/>
              </w:rPr>
            </w:pPr>
            <w:r w:rsidRPr="00B80099">
              <w:rPr>
                <w:i/>
                <w:iCs/>
                <w:color w:val="auto"/>
                <w:szCs w:val="16"/>
              </w:rPr>
              <w:t>379,784</w:t>
            </w:r>
          </w:p>
        </w:tc>
        <w:tc>
          <w:tcPr>
            <w:tcW w:w="549" w:type="pct"/>
            <w:tcBorders>
              <w:top w:val="nil"/>
              <w:left w:val="nil"/>
              <w:bottom w:val="single" w:sz="12" w:space="0" w:color="auto"/>
              <w:right w:val="nil"/>
            </w:tcBorders>
            <w:shd w:val="clear" w:color="auto" w:fill="auto"/>
            <w:vAlign w:val="center"/>
          </w:tcPr>
          <w:p w:rsidR="008D1A60" w:rsidRPr="00155E5C" w:rsidRDefault="008D1A60" w:rsidP="008D1A60">
            <w:pPr>
              <w:ind w:firstLineChars="100" w:firstLine="160"/>
              <w:jc w:val="right"/>
              <w:rPr>
                <w:i/>
                <w:iCs/>
                <w:color w:val="auto"/>
                <w:szCs w:val="16"/>
              </w:rPr>
            </w:pPr>
            <w:r w:rsidRPr="00155E5C">
              <w:rPr>
                <w:i/>
                <w:iCs/>
                <w:color w:val="auto"/>
                <w:szCs w:val="16"/>
              </w:rPr>
              <w:t>585,234</w:t>
            </w:r>
          </w:p>
        </w:tc>
        <w:tc>
          <w:tcPr>
            <w:tcW w:w="650" w:type="pct"/>
            <w:tcBorders>
              <w:top w:val="nil"/>
              <w:left w:val="nil"/>
              <w:bottom w:val="single" w:sz="12" w:space="0" w:color="auto"/>
              <w:right w:val="nil"/>
            </w:tcBorders>
            <w:shd w:val="clear" w:color="auto" w:fill="auto"/>
            <w:vAlign w:val="center"/>
          </w:tcPr>
          <w:p w:rsidR="008D1A60" w:rsidRPr="008D1A60" w:rsidRDefault="008D1A60" w:rsidP="008D1A60">
            <w:pPr>
              <w:ind w:firstLineChars="100" w:firstLine="160"/>
              <w:jc w:val="right"/>
              <w:rPr>
                <w:i/>
                <w:iCs/>
                <w:szCs w:val="16"/>
              </w:rPr>
            </w:pPr>
            <w:r w:rsidRPr="008D1A60">
              <w:rPr>
                <w:i/>
                <w:iCs/>
                <w:szCs w:val="16"/>
              </w:rPr>
              <w:t>395,930</w:t>
            </w:r>
          </w:p>
        </w:tc>
        <w:tc>
          <w:tcPr>
            <w:tcW w:w="601" w:type="pct"/>
            <w:tcBorders>
              <w:top w:val="nil"/>
              <w:left w:val="nil"/>
              <w:bottom w:val="single" w:sz="12" w:space="0" w:color="auto"/>
              <w:right w:val="nil"/>
            </w:tcBorders>
            <w:shd w:val="clear" w:color="auto" w:fill="auto"/>
            <w:vAlign w:val="center"/>
          </w:tcPr>
          <w:p w:rsidR="008D1A60" w:rsidRPr="008D1A60" w:rsidRDefault="008D1A60" w:rsidP="008D1A60">
            <w:pPr>
              <w:ind w:firstLineChars="100" w:firstLine="160"/>
              <w:jc w:val="right"/>
              <w:rPr>
                <w:i/>
                <w:iCs/>
                <w:szCs w:val="16"/>
              </w:rPr>
            </w:pPr>
            <w:r w:rsidRPr="008D1A60">
              <w:rPr>
                <w:i/>
                <w:iCs/>
                <w:szCs w:val="16"/>
              </w:rPr>
              <w:t>225,983</w:t>
            </w:r>
          </w:p>
        </w:tc>
      </w:tr>
      <w:tr w:rsidR="008D1A60" w:rsidRPr="00B80099" w:rsidTr="008D1A60">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8D1A60" w:rsidRPr="00D5469A" w:rsidRDefault="008D1A60" w:rsidP="008D1A60">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8D1A60" w:rsidRPr="00B80099" w:rsidRDefault="008D1A60" w:rsidP="008D1A60">
            <w:pPr>
              <w:jc w:val="right"/>
              <w:rPr>
                <w:b/>
                <w:bCs/>
                <w:color w:val="auto"/>
                <w:szCs w:val="16"/>
              </w:rPr>
            </w:pPr>
            <w:r w:rsidRPr="00B80099">
              <w:rPr>
                <w:b/>
                <w:bCs/>
                <w:color w:val="auto"/>
                <w:szCs w:val="16"/>
              </w:rPr>
              <w:t>15,373,463</w:t>
            </w:r>
          </w:p>
        </w:tc>
        <w:tc>
          <w:tcPr>
            <w:tcW w:w="549" w:type="pct"/>
            <w:tcBorders>
              <w:top w:val="single" w:sz="12" w:space="0" w:color="auto"/>
              <w:left w:val="nil"/>
              <w:bottom w:val="single" w:sz="12" w:space="0" w:color="auto"/>
              <w:right w:val="nil"/>
            </w:tcBorders>
            <w:shd w:val="clear" w:color="auto" w:fill="auto"/>
            <w:vAlign w:val="center"/>
          </w:tcPr>
          <w:p w:rsidR="008D1A60" w:rsidRPr="00155E5C" w:rsidRDefault="008D1A60" w:rsidP="008D1A60">
            <w:pPr>
              <w:jc w:val="right"/>
              <w:rPr>
                <w:b/>
                <w:bCs/>
                <w:color w:val="auto"/>
                <w:szCs w:val="16"/>
              </w:rPr>
            </w:pPr>
            <w:r w:rsidRPr="00155E5C">
              <w:rPr>
                <w:b/>
                <w:bCs/>
                <w:color w:val="auto"/>
                <w:szCs w:val="16"/>
              </w:rPr>
              <w:t>18,506,467</w:t>
            </w:r>
          </w:p>
        </w:tc>
        <w:tc>
          <w:tcPr>
            <w:tcW w:w="650" w:type="pct"/>
            <w:tcBorders>
              <w:top w:val="nil"/>
              <w:left w:val="nil"/>
              <w:bottom w:val="single" w:sz="12" w:space="0" w:color="auto"/>
              <w:right w:val="nil"/>
            </w:tcBorders>
            <w:shd w:val="clear" w:color="auto" w:fill="auto"/>
            <w:vAlign w:val="center"/>
          </w:tcPr>
          <w:p w:rsidR="008D1A60" w:rsidRPr="008D1A60" w:rsidRDefault="008D1A60" w:rsidP="008D1A60">
            <w:pPr>
              <w:jc w:val="right"/>
              <w:rPr>
                <w:b/>
                <w:bCs/>
                <w:szCs w:val="16"/>
              </w:rPr>
            </w:pPr>
            <w:r w:rsidRPr="008D1A60">
              <w:rPr>
                <w:b/>
                <w:bCs/>
                <w:szCs w:val="16"/>
              </w:rPr>
              <w:t>1,893,481</w:t>
            </w:r>
          </w:p>
        </w:tc>
        <w:tc>
          <w:tcPr>
            <w:tcW w:w="601" w:type="pct"/>
            <w:tcBorders>
              <w:top w:val="nil"/>
              <w:left w:val="nil"/>
              <w:bottom w:val="single" w:sz="12" w:space="0" w:color="auto"/>
              <w:right w:val="nil"/>
            </w:tcBorders>
            <w:shd w:val="clear" w:color="auto" w:fill="auto"/>
            <w:vAlign w:val="center"/>
          </w:tcPr>
          <w:p w:rsidR="008D1A60" w:rsidRPr="008D1A60" w:rsidRDefault="008D1A60" w:rsidP="008D1A60">
            <w:pPr>
              <w:jc w:val="right"/>
              <w:rPr>
                <w:b/>
                <w:bCs/>
                <w:szCs w:val="16"/>
              </w:rPr>
            </w:pPr>
            <w:r w:rsidRPr="008D1A60">
              <w:rPr>
                <w:b/>
                <w:bCs/>
                <w:szCs w:val="16"/>
              </w:rPr>
              <w:t>2,643,541</w:t>
            </w:r>
          </w:p>
        </w:tc>
      </w:tr>
      <w:tr w:rsidR="00650911" w:rsidRPr="00B80099" w:rsidTr="00986573">
        <w:trPr>
          <w:trHeight w:val="447"/>
          <w:jc w:val="center"/>
        </w:trPr>
        <w:tc>
          <w:tcPr>
            <w:tcW w:w="5000" w:type="pct"/>
            <w:gridSpan w:val="5"/>
            <w:tcBorders>
              <w:top w:val="nil"/>
              <w:left w:val="nil"/>
              <w:bottom w:val="nil"/>
              <w:right w:val="nil"/>
            </w:tcBorders>
            <w:shd w:val="clear" w:color="auto" w:fill="auto"/>
            <w:hideMark/>
          </w:tcPr>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w:t>
            </w:r>
            <w:r w:rsidR="00CE30FF">
              <w:rPr>
                <w:b/>
                <w:bCs/>
                <w:color w:val="auto"/>
                <w:sz w:val="28"/>
                <w:szCs w:val="28"/>
              </w:rPr>
              <w:t xml:space="preserve"> </w:t>
            </w:r>
            <w:r w:rsidRPr="00B80099">
              <w:rPr>
                <w:b/>
                <w:bCs/>
                <w:color w:val="auto"/>
                <w:sz w:val="28"/>
                <w:szCs w:val="28"/>
              </w:rPr>
              <w:t>Government Borrowing for Commodity Operations</w:t>
            </w:r>
          </w:p>
        </w:tc>
      </w:tr>
      <w:tr w:rsidR="008D1A60" w:rsidRPr="00B80099" w:rsidTr="008D1A60">
        <w:trPr>
          <w:trHeight w:val="259"/>
          <w:jc w:val="center"/>
        </w:trPr>
        <w:tc>
          <w:tcPr>
            <w:tcW w:w="2625" w:type="pct"/>
            <w:tcBorders>
              <w:top w:val="single" w:sz="12" w:space="0" w:color="auto"/>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color w:val="auto"/>
                <w:szCs w:val="16"/>
              </w:rPr>
            </w:pPr>
            <w:r w:rsidRPr="008D1A60">
              <w:rPr>
                <w:rFonts w:asciiTheme="majorBidi" w:hAnsiTheme="majorBidi" w:cstheme="majorBidi"/>
                <w:szCs w:val="16"/>
              </w:rPr>
              <w:t>129</w:t>
            </w: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117</w:t>
            </w: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(12)</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17</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788,173</w:t>
            </w: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1,011,626</w:t>
            </w: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271,188</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306,309</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67,510</w:t>
            </w: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67,302</w:t>
            </w: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(208)</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31,887</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46,718</w:t>
            </w: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53,019</w:t>
            </w: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6,261</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6,757</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1,400</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Seed</w:t>
            </w:r>
            <w:r>
              <w:rPr>
                <w:color w:val="auto"/>
                <w:szCs w:val="16"/>
              </w:rPr>
              <w:t xml:space="preserve"> </w:t>
            </w:r>
            <w:r w:rsidRPr="00D5469A">
              <w:rPr>
                <w:color w:val="auto"/>
                <w:szCs w:val="16"/>
              </w:rPr>
              <w:t>Meal</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bottom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top w:val="nil"/>
              <w:left w:val="nil"/>
              <w:right w:val="nil"/>
            </w:tcBorders>
            <w:shd w:val="clear" w:color="auto" w:fill="auto"/>
            <w:vAlign w:val="center"/>
            <w:hideMark/>
          </w:tcPr>
          <w:p w:rsidR="008D1A60" w:rsidRPr="00D5469A" w:rsidRDefault="008D1A60" w:rsidP="008D1A60">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c>
          <w:tcPr>
            <w:tcW w:w="601" w:type="pct"/>
            <w:tcBorders>
              <w:top w:val="nil"/>
              <w:left w:val="nil"/>
              <w:bottom w:val="nil"/>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w:t>
            </w:r>
          </w:p>
        </w:tc>
      </w:tr>
      <w:tr w:rsidR="008D1A60" w:rsidRPr="003C23BC" w:rsidTr="008D1A60">
        <w:trPr>
          <w:trHeight w:val="259"/>
          <w:jc w:val="center"/>
        </w:trPr>
        <w:tc>
          <w:tcPr>
            <w:tcW w:w="2625" w:type="pct"/>
            <w:tcBorders>
              <w:left w:val="nil"/>
              <w:bottom w:val="single" w:sz="12" w:space="0" w:color="auto"/>
              <w:right w:val="nil"/>
            </w:tcBorders>
            <w:shd w:val="clear" w:color="auto" w:fill="auto"/>
            <w:vAlign w:val="center"/>
          </w:tcPr>
          <w:p w:rsidR="008D1A60" w:rsidRPr="00D5469A" w:rsidRDefault="008D1A60" w:rsidP="008D1A60">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1,470</w:t>
            </w:r>
          </w:p>
        </w:tc>
        <w:tc>
          <w:tcPr>
            <w:tcW w:w="549" w:type="pct"/>
            <w:tcBorders>
              <w:top w:val="nil"/>
              <w:left w:val="nil"/>
              <w:bottom w:val="single" w:sz="12"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1,592</w:t>
            </w:r>
          </w:p>
        </w:tc>
        <w:tc>
          <w:tcPr>
            <w:tcW w:w="650" w:type="pct"/>
            <w:tcBorders>
              <w:top w:val="nil"/>
              <w:left w:val="nil"/>
              <w:bottom w:val="single" w:sz="12"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122</w:t>
            </w:r>
          </w:p>
        </w:tc>
        <w:tc>
          <w:tcPr>
            <w:tcW w:w="601" w:type="pct"/>
            <w:tcBorders>
              <w:top w:val="nil"/>
              <w:left w:val="nil"/>
              <w:bottom w:val="single" w:sz="12"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szCs w:val="16"/>
              </w:rPr>
            </w:pPr>
            <w:r w:rsidRPr="008D1A60">
              <w:rPr>
                <w:rFonts w:asciiTheme="majorBidi" w:hAnsiTheme="majorBidi" w:cstheme="majorBidi"/>
                <w:szCs w:val="16"/>
              </w:rPr>
              <w:t>232</w:t>
            </w:r>
          </w:p>
        </w:tc>
      </w:tr>
      <w:tr w:rsidR="008D1A60" w:rsidRPr="003C23BC" w:rsidTr="008D1A60">
        <w:trPr>
          <w:trHeight w:val="259"/>
          <w:jc w:val="center"/>
        </w:trPr>
        <w:tc>
          <w:tcPr>
            <w:tcW w:w="2625" w:type="pct"/>
            <w:tcBorders>
              <w:top w:val="nil"/>
              <w:left w:val="nil"/>
              <w:bottom w:val="single" w:sz="12" w:space="0" w:color="auto"/>
              <w:right w:val="nil"/>
            </w:tcBorders>
            <w:shd w:val="clear" w:color="auto" w:fill="auto"/>
            <w:vAlign w:val="center"/>
          </w:tcPr>
          <w:p w:rsidR="008D1A60" w:rsidRPr="00D5469A" w:rsidRDefault="008D1A60" w:rsidP="008D1A60">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b/>
                <w:bCs/>
                <w:szCs w:val="16"/>
              </w:rPr>
            </w:pPr>
            <w:r w:rsidRPr="008D1A60">
              <w:rPr>
                <w:rFonts w:asciiTheme="majorBidi" w:hAnsiTheme="majorBidi" w:cstheme="majorBidi"/>
                <w:b/>
                <w:bCs/>
                <w:szCs w:val="16"/>
              </w:rPr>
              <w:t>903,999</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b/>
                <w:bCs/>
                <w:szCs w:val="16"/>
              </w:rPr>
            </w:pPr>
            <w:r w:rsidRPr="008D1A60">
              <w:rPr>
                <w:rFonts w:asciiTheme="majorBidi" w:hAnsiTheme="majorBidi" w:cstheme="majorBidi"/>
                <w:b/>
                <w:bCs/>
                <w:szCs w:val="16"/>
              </w:rPr>
              <w:t>1,133,655</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b/>
                <w:bCs/>
                <w:szCs w:val="16"/>
              </w:rPr>
            </w:pPr>
            <w:r w:rsidRPr="008D1A60">
              <w:rPr>
                <w:rFonts w:asciiTheme="majorBidi" w:hAnsiTheme="majorBidi" w:cstheme="majorBidi"/>
                <w:b/>
                <w:bCs/>
                <w:szCs w:val="16"/>
              </w:rPr>
              <w:t>277,351</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center"/>
          </w:tcPr>
          <w:p w:rsidR="008D1A60" w:rsidRPr="008D1A60" w:rsidRDefault="008D1A60" w:rsidP="008D1A60">
            <w:pPr>
              <w:jc w:val="right"/>
              <w:rPr>
                <w:rFonts w:asciiTheme="majorBidi" w:hAnsiTheme="majorBidi" w:cstheme="majorBidi"/>
                <w:b/>
                <w:bCs/>
                <w:szCs w:val="16"/>
              </w:rPr>
            </w:pPr>
            <w:r w:rsidRPr="008D1A60">
              <w:rPr>
                <w:rFonts w:asciiTheme="majorBidi" w:hAnsiTheme="majorBidi" w:cstheme="majorBidi"/>
                <w:b/>
                <w:bCs/>
                <w:szCs w:val="16"/>
              </w:rPr>
              <w:t>346,601</w:t>
            </w:r>
          </w:p>
        </w:tc>
      </w:tr>
      <w:tr w:rsidR="000B34A2" w:rsidRPr="00D5469A" w:rsidTr="00992CEC">
        <w:trPr>
          <w:trHeight w:val="288"/>
          <w:jc w:val="center"/>
        </w:trPr>
        <w:tc>
          <w:tcPr>
            <w:tcW w:w="5000" w:type="pct"/>
            <w:gridSpan w:val="5"/>
            <w:tcBorders>
              <w:top w:val="single" w:sz="12" w:space="0" w:color="auto"/>
              <w:left w:val="nil"/>
              <w:right w:val="nil"/>
            </w:tcBorders>
            <w:shd w:val="clear" w:color="auto" w:fill="auto"/>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Default="0044689F" w:rsidP="0069571C">
      <w:pPr>
        <w:jc w:val="left"/>
        <w:rPr>
          <w:color w:val="auto"/>
        </w:rPr>
      </w:pPr>
    </w:p>
    <w:p w:rsidR="00A01E8B" w:rsidRDefault="00A01E8B"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CE77E7"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CE77E7" w:rsidRPr="00CE0560" w:rsidRDefault="00CE77E7" w:rsidP="00CE77E7">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Dec-22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Jan-23</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Feb-23</w:t>
            </w:r>
          </w:p>
        </w:tc>
      </w:tr>
      <w:tr w:rsidR="00CE77E7"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E77E7" w:rsidRPr="00CE0560" w:rsidRDefault="00CE77E7" w:rsidP="00CE77E7">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r>
      <w:tr w:rsidR="00CE77E7" w:rsidRPr="00CE0560" w:rsidTr="00552247">
        <w:trPr>
          <w:trHeight w:val="173"/>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r w:rsidRPr="00606536">
              <w:rPr>
                <w:rFonts w:asciiTheme="majorBidi" w:hAnsiTheme="majorBidi" w:cstheme="majorBidi"/>
                <w:b/>
                <w:bCs/>
                <w:sz w:val="14"/>
                <w:szCs w:val="14"/>
              </w:rPr>
              <w:t>9,917,241</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r>
      <w:tr w:rsidR="00CE77E7"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r w:rsidRPr="003A28C0">
              <w:rPr>
                <w:rFonts w:asciiTheme="majorBidi" w:hAnsiTheme="majorBidi" w:cstheme="majorBidi"/>
                <w:b/>
                <w:bCs/>
                <w:sz w:val="14"/>
                <w:szCs w:val="14"/>
              </w:rPr>
              <w:t>989,807</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r w:rsidRPr="003A28C0">
              <w:rPr>
                <w:rFonts w:asciiTheme="majorBidi" w:hAnsiTheme="majorBidi" w:cstheme="majorBidi"/>
                <w:b/>
                <w:bCs/>
                <w:sz w:val="14"/>
                <w:szCs w:val="14"/>
              </w:rPr>
              <w:t>1,255,891</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r w:rsidRPr="003A28C0">
              <w:rPr>
                <w:rFonts w:asciiTheme="majorBidi" w:hAnsiTheme="majorBidi" w:cstheme="majorBidi"/>
                <w:b/>
                <w:bCs/>
                <w:sz w:val="14"/>
                <w:szCs w:val="14"/>
              </w:rPr>
              <w:t>2,245,698</w:t>
            </w: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r w:rsidRPr="00606536">
              <w:rPr>
                <w:rFonts w:asciiTheme="majorBidi" w:hAnsiTheme="majorBidi" w:cstheme="majorBidi"/>
                <w:b/>
                <w:bCs/>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r w:rsidRPr="00606536">
              <w:rPr>
                <w:rFonts w:asciiTheme="majorBidi" w:hAnsiTheme="majorBidi" w:cstheme="majorBidi"/>
                <w:b/>
                <w:bCs/>
                <w:sz w:val="14"/>
                <w:szCs w:val="14"/>
              </w:rPr>
              <w:t>1,045,262</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b/>
                <w:bCs/>
                <w:sz w:val="14"/>
                <w:szCs w:val="14"/>
              </w:rPr>
            </w:pPr>
            <w:r w:rsidRPr="00606536">
              <w:rPr>
                <w:rFonts w:asciiTheme="majorBidi" w:hAnsiTheme="majorBidi" w:cstheme="majorBidi"/>
                <w:b/>
                <w:bCs/>
                <w:sz w:val="14"/>
                <w:szCs w:val="14"/>
              </w:rPr>
              <w:t>1,898,293</w:t>
            </w: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1,247,578</w:t>
            </w: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2,318,897</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1,071,319</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136,776</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1,219,515</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1,356,291</w:t>
            </w: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1,216,358</w:t>
            </w: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1,216,358</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4,478</w:t>
            </w: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4,478</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41</w:t>
            </w: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41</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63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63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26,701</w:t>
            </w:r>
          </w:p>
        </w:tc>
        <w:tc>
          <w:tcPr>
            <w:tcW w:w="696"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26,701</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4,736,242</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6,736,242</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5,928,763</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7,928,763</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5,643,786</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7,643,786</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3,232,142</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5,232,142</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4,468,630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6,468,630</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4,185,307</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6,185,307</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2,788,635</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4,788,635</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3,877,032</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5,877,032</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3,560,568</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5,560,568</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sz w:val="14"/>
                <w:szCs w:val="14"/>
              </w:rPr>
            </w:pPr>
            <w:r w:rsidRPr="00CE0560">
              <w:rPr>
                <w:sz w:val="14"/>
                <w:szCs w:val="14"/>
              </w:rPr>
              <w:t>-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443,507</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443,507</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591,598</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591,598</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624,739</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624,739</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sz w:val="14"/>
                <w:szCs w:val="14"/>
              </w:rPr>
            </w:pPr>
            <w:r w:rsidRPr="00CE0560">
              <w:rPr>
                <w:sz w:val="14"/>
                <w:szCs w:val="14"/>
              </w:rPr>
              <w:t xml:space="preserve">-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sz w:val="14"/>
                <w:szCs w:val="14"/>
              </w:rPr>
            </w:pPr>
            <w:r w:rsidRPr="00CE0560">
              <w:rPr>
                <w:sz w:val="14"/>
                <w:szCs w:val="14"/>
              </w:rPr>
              <w:t>-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CE77E7"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1,059,973</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1,059,973</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1,036,851</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1,036,851</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1,035,798</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1,035,798</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4,381</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4,381</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4,279</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4,279</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4,210</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4,210</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496,346</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496,346</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494,326</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494,326</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495,330</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495,330</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525,597</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525,597</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512,011</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512,011</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509,740</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509,740</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w:t>
            </w:r>
          </w:p>
        </w:tc>
      </w:tr>
      <w:tr w:rsidR="00CE77E7"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33,648</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33,648</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26,233</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26,233</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26,516</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26,516</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444,127</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444,127</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423,282</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423,282</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422,681</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r w:rsidRPr="00926285">
              <w:rPr>
                <w:rFonts w:asciiTheme="majorBidi" w:hAnsiTheme="majorBidi" w:cstheme="majorBidi"/>
                <w:b/>
                <w:bCs/>
                <w:sz w:val="14"/>
                <w:szCs w:val="14"/>
              </w:rPr>
              <w:t>422,681</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1,491</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1,491</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1,690</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1,690</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1,853</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1,853</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180,467</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180,467</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180,182</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180,182</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180,226</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180,226</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250,931</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250,931</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232,353</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232,353</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231,506</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231,506</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11,238</w:t>
            </w: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11,238</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9,057</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9,057</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9,096</w:t>
            </w: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sz w:val="14"/>
                <w:szCs w:val="14"/>
              </w:rPr>
            </w:pPr>
            <w:r w:rsidRPr="00926285">
              <w:rPr>
                <w:rFonts w:asciiTheme="majorBidi" w:hAnsiTheme="majorBidi" w:cstheme="majorBidi"/>
                <w:sz w:val="14"/>
                <w:szCs w:val="14"/>
              </w:rPr>
              <w:t>9,096</w:t>
            </w:r>
          </w:p>
        </w:tc>
      </w:tr>
      <w:tr w:rsidR="00CE77E7"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E77E7" w:rsidRPr="00CE0560" w:rsidRDefault="00CE77E7" w:rsidP="00CE77E7">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E77E7" w:rsidRPr="00926285" w:rsidRDefault="00CE77E7" w:rsidP="00CE77E7">
            <w:pPr>
              <w:jc w:val="right"/>
              <w:rPr>
                <w:rFonts w:asciiTheme="majorBidi" w:hAnsiTheme="majorBidi" w:cstheme="majorBidi"/>
                <w:b/>
                <w:bCs/>
                <w:sz w:val="14"/>
                <w:szCs w:val="14"/>
              </w:rPr>
            </w:pP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1,313,543</w:t>
            </w:r>
          </w:p>
        </w:tc>
        <w:tc>
          <w:tcPr>
            <w:tcW w:w="81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6,406,660</w:t>
            </w:r>
          </w:p>
        </w:tc>
        <w:tc>
          <w:tcPr>
            <w:tcW w:w="63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1,168,432</w:t>
            </w:r>
          </w:p>
        </w:tc>
        <w:tc>
          <w:tcPr>
            <w:tcW w:w="72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6,542,325</w:t>
            </w:r>
          </w:p>
        </w:tc>
        <w:tc>
          <w:tcPr>
            <w:tcW w:w="63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1,278,853</w:t>
            </w:r>
          </w:p>
        </w:tc>
        <w:tc>
          <w:tcPr>
            <w:tcW w:w="696" w:type="dxa"/>
            <w:tcBorders>
              <w:top w:val="nil"/>
              <w:left w:val="nil"/>
              <w:bottom w:val="nil"/>
              <w:right w:val="nil"/>
            </w:tcBorders>
            <w:shd w:val="clear" w:color="auto" w:fill="auto"/>
            <w:noWrap/>
            <w:tcMar>
              <w:left w:w="29" w:type="dxa"/>
              <w:right w:w="29" w:type="dxa"/>
            </w:tcMar>
            <w:vAlign w:val="center"/>
          </w:tcPr>
          <w:p w:rsidR="00EA1535" w:rsidRPr="00926285" w:rsidRDefault="00EA1535" w:rsidP="00EA1535">
            <w:pPr>
              <w:jc w:val="right"/>
              <w:rPr>
                <w:rFonts w:asciiTheme="majorBidi" w:hAnsiTheme="majorBidi" w:cstheme="majorBidi"/>
                <w:b/>
                <w:bCs/>
                <w:sz w:val="14"/>
                <w:szCs w:val="14"/>
              </w:rPr>
            </w:pPr>
            <w:r w:rsidRPr="00926285">
              <w:rPr>
                <w:rFonts w:asciiTheme="majorBidi" w:hAnsiTheme="majorBidi" w:cstheme="majorBidi"/>
                <w:b/>
                <w:bCs/>
                <w:sz w:val="14"/>
                <w:szCs w:val="14"/>
              </w:rPr>
              <w:t>6,632,831</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680,476</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680,476</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721,427</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5,814,544</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501,461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5,875,354</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598,377</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5,952,355</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42,609</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53,350</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53,843</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165,129</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165,129</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271</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271</w:t>
            </w:r>
          </w:p>
        </w:tc>
      </w:tr>
      <w:tr w:rsidR="00EA153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EA1535" w:rsidRPr="00CE0560" w:rsidRDefault="00EA1535" w:rsidP="00EA1535">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846,488</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862,586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1,459,951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1,476,049</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19,625</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180,292</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199,917</w:t>
            </w:r>
          </w:p>
        </w:tc>
      </w:tr>
      <w:tr w:rsidR="00EA1535"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E0560" w:rsidRDefault="00EA1535" w:rsidP="00EA1535">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100,000</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147,296</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26,500</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1,179,789</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1,179,789</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673,638</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673,638</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8,243,199</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(177)</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8,445,016</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8,445,016</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26,500</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270,949</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270,949</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1,018,574</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1,018,574</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1,021,916</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1,021,916</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170,304</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170,304</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295,980</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295,980</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118,101</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118,101</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586,862</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586,862</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4,043</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4,043</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602,903</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602,903</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1,017,036</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1,017,036</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1,140,303</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1,140,303</w:t>
            </w:r>
          </w:p>
        </w:tc>
      </w:tr>
      <w:tr w:rsidR="00EA1535" w:rsidRPr="00CE0560" w:rsidTr="00CE77E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EA1535" w:rsidRPr="00C80418" w:rsidRDefault="00EA1535" w:rsidP="00EA153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EA1535" w:rsidRPr="00CE0560" w:rsidTr="00EA1535">
        <w:trPr>
          <w:trHeight w:val="144"/>
          <w:jc w:val="center"/>
        </w:trPr>
        <w:tc>
          <w:tcPr>
            <w:tcW w:w="4050" w:type="dxa"/>
            <w:tcBorders>
              <w:top w:val="nil"/>
              <w:left w:val="nil"/>
              <w:right w:val="nil"/>
            </w:tcBorders>
            <w:shd w:val="clear" w:color="auto" w:fill="auto"/>
            <w:noWrap/>
            <w:tcMar>
              <w:left w:w="29" w:type="dxa"/>
              <w:right w:w="29" w:type="dxa"/>
            </w:tcMar>
            <w:vAlign w:val="center"/>
          </w:tcPr>
          <w:p w:rsidR="00EA1535" w:rsidRPr="00C80418" w:rsidRDefault="00EA1535" w:rsidP="00EA1535">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810" w:type="dxa"/>
            <w:tcBorders>
              <w:top w:val="nil"/>
              <w:left w:val="nil"/>
              <w:right w:val="nil"/>
            </w:tcBorders>
            <w:shd w:val="clear" w:color="auto" w:fill="auto"/>
            <w:noWrap/>
            <w:tcMar>
              <w:left w:w="29" w:type="dxa"/>
              <w:right w:w="29" w:type="dxa"/>
            </w:tcMar>
            <w:vAlign w:val="center"/>
          </w:tcPr>
          <w:p w:rsidR="00EA1535" w:rsidRPr="003A28C0" w:rsidRDefault="00EA1535" w:rsidP="00EA1535">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630" w:type="dxa"/>
            <w:tcBorders>
              <w:top w:val="nil"/>
              <w:left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720" w:type="dxa"/>
            <w:tcBorders>
              <w:top w:val="nil"/>
              <w:left w:val="nil"/>
              <w:right w:val="nil"/>
            </w:tcBorders>
            <w:shd w:val="clear" w:color="auto" w:fill="auto"/>
            <w:noWrap/>
            <w:tcMar>
              <w:left w:w="29" w:type="dxa"/>
              <w:right w:w="29" w:type="dxa"/>
            </w:tcMar>
            <w:vAlign w:val="center"/>
          </w:tcPr>
          <w:p w:rsidR="00EA1535" w:rsidRPr="00606536" w:rsidRDefault="00EA1535" w:rsidP="00EA1535">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630" w:type="dxa"/>
            <w:tcBorders>
              <w:top w:val="nil"/>
              <w:left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c>
          <w:tcPr>
            <w:tcW w:w="696" w:type="dxa"/>
            <w:tcBorders>
              <w:top w:val="nil"/>
              <w:left w:val="nil"/>
              <w:right w:val="nil"/>
            </w:tcBorders>
            <w:shd w:val="clear" w:color="auto" w:fill="auto"/>
            <w:noWrap/>
            <w:tcMar>
              <w:left w:w="29" w:type="dxa"/>
              <w:right w:w="29" w:type="dxa"/>
            </w:tcMar>
            <w:vAlign w:val="center"/>
          </w:tcPr>
          <w:p w:rsidR="00EA1535" w:rsidRPr="00AE2AA7" w:rsidRDefault="00EA1535" w:rsidP="00EA1535">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r>
      <w:tr w:rsidR="00EA1535"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EA1535" w:rsidRPr="00CE0560" w:rsidRDefault="00EA1535" w:rsidP="00EA1535">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CE77E7"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CE77E7" w:rsidRPr="00CE0560" w:rsidRDefault="00CE77E7" w:rsidP="00CE77E7">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Mar-23</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Apr-23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CE77E7" w:rsidRPr="00CE0560" w:rsidRDefault="00CE77E7" w:rsidP="00CE77E7">
            <w:pPr>
              <w:rPr>
                <w:b/>
                <w:bCs/>
                <w:color w:val="auto"/>
                <w:sz w:val="14"/>
                <w:szCs w:val="14"/>
              </w:rPr>
            </w:pPr>
            <w:r>
              <w:rPr>
                <w:b/>
                <w:bCs/>
                <w:color w:val="auto"/>
                <w:sz w:val="14"/>
                <w:szCs w:val="14"/>
              </w:rPr>
              <w:t>May-23</w:t>
            </w:r>
          </w:p>
        </w:tc>
      </w:tr>
      <w:tr w:rsidR="00CE77E7" w:rsidRPr="00CE0560" w:rsidTr="003A28C0">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E77E7" w:rsidRPr="00CE0560" w:rsidRDefault="00CE77E7" w:rsidP="00CE77E7">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E77E7" w:rsidRPr="00CE0560" w:rsidRDefault="00CE77E7" w:rsidP="00CE77E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hideMark/>
          </w:tcPr>
          <w:p w:rsidR="00CE77E7" w:rsidRPr="00CE0560" w:rsidRDefault="00CE77E7" w:rsidP="00CE77E7">
            <w:pPr>
              <w:jc w:val="right"/>
              <w:rPr>
                <w:b/>
                <w:bCs/>
                <w:color w:val="auto"/>
                <w:sz w:val="14"/>
                <w:szCs w:val="14"/>
              </w:rPr>
            </w:pPr>
            <w:r w:rsidRPr="00CE0560">
              <w:rPr>
                <w:b/>
                <w:bCs/>
                <w:color w:val="auto"/>
                <w:sz w:val="14"/>
                <w:szCs w:val="14"/>
              </w:rPr>
              <w:t>Total</w:t>
            </w:r>
          </w:p>
        </w:tc>
      </w:tr>
      <w:tr w:rsidR="00CE77E7" w:rsidRPr="00CE0560" w:rsidTr="003A28C0">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33384E" w:rsidRDefault="00CE77E7" w:rsidP="00CE77E7">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8E48DA" w:rsidRDefault="00CE77E7" w:rsidP="00CE77E7">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CE77E7" w:rsidRPr="008E48DA" w:rsidRDefault="00CE77E7" w:rsidP="00CE77E7">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CE77E7" w:rsidRPr="008E48DA" w:rsidRDefault="00CE77E7" w:rsidP="00CE77E7">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CE77E7" w:rsidRPr="0033384E" w:rsidRDefault="00CE77E7" w:rsidP="00CE77E7">
            <w:pPr>
              <w:jc w:val="right"/>
              <w:rPr>
                <w:color w:val="auto"/>
                <w:sz w:val="2"/>
                <w:szCs w:val="2"/>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10,512,378</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19,618,798</w:t>
            </w:r>
          </w:p>
        </w:tc>
      </w:tr>
      <w:tr w:rsidR="00CE77E7" w:rsidRPr="00DE55D6" w:rsidTr="00CE77E7">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1,507,878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2,675,726</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1,169,727</w:t>
            </w: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1,610,710</w:t>
            </w: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2,780,437</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1,169,727</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1,504,026</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2,673,753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1,169,727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1,169,727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1,537,989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1,537,989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1,474,054</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1,474,054</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43,670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43,670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5,354</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5,354</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u w:val="single"/>
              </w:rPr>
            </w:pPr>
            <w:r w:rsidRPr="00AE2AA7">
              <w:rPr>
                <w:rFonts w:asciiTheme="majorBidi" w:hAnsiTheme="majorBidi" w:cstheme="majorBidi"/>
                <w:sz w:val="14"/>
                <w:szCs w:val="14"/>
                <w:u w:val="single"/>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29,005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29,005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24,573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24,573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6,804,077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8,804,077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5,118,075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8,118,075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6,300,828</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9,300,828</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5,397,374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7,397,374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6,548,914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9,548,914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4,849,799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7,849,799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4,830,557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6,830,557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4,580,411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7,580,411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4,233,422</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7,233,422</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537,664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537,664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616,377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616,377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606536" w:rsidRDefault="00CE77E7" w:rsidP="00CE77E7">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1,029,466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1,029,466</w:t>
            </w:r>
          </w:p>
        </w:tc>
      </w:tr>
      <w:tr w:rsidR="00CE77E7" w:rsidRPr="00DE55D6" w:rsidTr="00CE77E7">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4,166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4,166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4,137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4,137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485,968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485,968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483,311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483,311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495,454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495,454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513,579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513,579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28,397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28,397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28,437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28,437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421,563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421,563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1,787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1,787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181,454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181,454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181,325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181,325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224,856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224,856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229,810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229,810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8,728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8,728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8,641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8,641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1,224,926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6,790,815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5,380,081</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1,498,421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6,878,502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2,036,460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6,951,741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755,466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755,466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751,704</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751,704</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474,646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6,040,535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5,380,081</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742,955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6,123,036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4,915,281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1,284,756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6,200,037</w:t>
            </w:r>
          </w:p>
        </w:tc>
      </w:tr>
      <w:tr w:rsidR="00CE77E7" w:rsidRPr="00DE55D6" w:rsidTr="00CE77E7">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149,881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149,881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42,609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42,609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53,350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53,350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53,922</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53,922</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sz w:val="14"/>
                <w:szCs w:val="14"/>
              </w:rPr>
            </w:pPr>
            <w:r w:rsidRPr="003A28C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163,761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163,761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163,810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163,810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sz w:val="14"/>
                <w:szCs w:val="14"/>
              </w:rPr>
            </w:pPr>
            <w:r w:rsidRPr="003A28C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235</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235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198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198</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E77E7" w:rsidRPr="003A28C0" w:rsidRDefault="00CE77E7" w:rsidP="00CE77E7">
            <w:pPr>
              <w:jc w:val="left"/>
              <w:rPr>
                <w:rFonts w:asciiTheme="majorBidi" w:hAnsiTheme="majorBidi" w:cstheme="majorBidi"/>
                <w:sz w:val="14"/>
                <w:szCs w:val="14"/>
              </w:rPr>
            </w:pPr>
            <w:r w:rsidRPr="003A28C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21,185</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242,531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263,716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21,214</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249,497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270,711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21,214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357,373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378,587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ind w:firstLineChars="200" w:firstLine="280"/>
              <w:jc w:val="right"/>
              <w:rPr>
                <w:rFonts w:asciiTheme="majorBidi" w:hAnsiTheme="majorBidi" w:cstheme="majorBidi"/>
                <w:sz w:val="14"/>
                <w:szCs w:val="14"/>
              </w:rPr>
            </w:pP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10,512,378</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19,618,798</w:t>
            </w:r>
          </w:p>
        </w:tc>
      </w:tr>
      <w:tr w:rsidR="00CE77E7" w:rsidRPr="00DE55D6" w:rsidTr="00CE77E7">
        <w:trPr>
          <w:trHeight w:val="72"/>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2,541,009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2,541,009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100,000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147,296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147,296</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26,500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1,278,197</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1,278,197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1,278,173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1,278,173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843,654</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843,654</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989,040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989,040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9,571,147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9,106,420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9,106,305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9,571,147</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9,571,147</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9,106,305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9,106,305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46,500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46,500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20,900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20,900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46,500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46,500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3,424,503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3,424,503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1,081,160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1,081,160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1,183,015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1,183,015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853,608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853,608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821,098</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821,098</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1,308,915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1,308,915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1,244,889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1,244,889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173,618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173,618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175,501</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175,501</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1,169,929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1,169,929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389,759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389,759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386,719</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386,719</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128,540</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128,540</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129,633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129,633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644,531</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644,531</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649,227</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649,227</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4,742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4,742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4,350</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4,350</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2,935,315</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b/>
                <w:bCs/>
                <w:sz w:val="14"/>
                <w:szCs w:val="14"/>
              </w:rPr>
            </w:pPr>
            <w:r w:rsidRPr="00CE77E7">
              <w:rPr>
                <w:rFonts w:asciiTheme="majorBidi" w:hAnsiTheme="majorBidi" w:cstheme="majorBidi"/>
                <w:b/>
                <w:bCs/>
                <w:sz w:val="14"/>
                <w:szCs w:val="14"/>
              </w:rPr>
              <w:t>2,935,315</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577,375</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577,375</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578,306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578,306</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1,122,999</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1,122,999</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1,114,183</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1,114,183</w:t>
            </w:r>
          </w:p>
        </w:tc>
      </w:tr>
      <w:tr w:rsidR="00CE77E7" w:rsidRPr="00DE55D6" w:rsidTr="00CE77E7">
        <w:trPr>
          <w:trHeight w:val="144"/>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1,255,638</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1,255,638</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1,242,826</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1,242,826</w:t>
            </w:r>
          </w:p>
        </w:tc>
      </w:tr>
      <w:tr w:rsidR="00CE77E7" w:rsidRPr="00DE55D6" w:rsidTr="00CE77E7">
        <w:trPr>
          <w:trHeight w:val="99"/>
        </w:trPr>
        <w:tc>
          <w:tcPr>
            <w:tcW w:w="4021" w:type="dxa"/>
            <w:tcBorders>
              <w:top w:val="nil"/>
              <w:left w:val="nil"/>
              <w:bottom w:val="nil"/>
              <w:right w:val="nil"/>
            </w:tcBorders>
            <w:shd w:val="clear" w:color="auto" w:fill="auto"/>
            <w:noWrap/>
            <w:tcMar>
              <w:left w:w="29" w:type="dxa"/>
              <w:right w:w="29" w:type="dxa"/>
            </w:tcMar>
            <w:vAlign w:val="center"/>
          </w:tcPr>
          <w:p w:rsidR="00CE77E7" w:rsidRPr="003A28C0" w:rsidRDefault="00CE77E7" w:rsidP="00CE77E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r>
      <w:tr w:rsidR="00CE77E7" w:rsidRPr="00DE55D6" w:rsidTr="00CE77E7">
        <w:trPr>
          <w:trHeight w:val="144"/>
        </w:trPr>
        <w:tc>
          <w:tcPr>
            <w:tcW w:w="4021"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left"/>
              <w:rPr>
                <w:rFonts w:asciiTheme="majorBidi" w:hAnsiTheme="majorBidi" w:cstheme="majorBidi"/>
                <w:b/>
                <w:bCs/>
                <w:sz w:val="14"/>
                <w:szCs w:val="14"/>
              </w:rPr>
            </w:pPr>
            <w:r w:rsidRPr="003A28C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81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720"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c>
          <w:tcPr>
            <w:tcW w:w="709" w:type="dxa"/>
            <w:tcBorders>
              <w:top w:val="nil"/>
              <w:left w:val="nil"/>
              <w:right w:val="nil"/>
            </w:tcBorders>
            <w:shd w:val="clear" w:color="auto" w:fill="auto"/>
            <w:noWrap/>
            <w:tcMar>
              <w:left w:w="29" w:type="dxa"/>
              <w:right w:w="29" w:type="dxa"/>
            </w:tcMar>
            <w:vAlign w:val="center"/>
          </w:tcPr>
          <w:p w:rsidR="00CE77E7" w:rsidRPr="00AE2AA7" w:rsidRDefault="00CE77E7" w:rsidP="00CE77E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w:t>
            </w:r>
          </w:p>
        </w:tc>
        <w:tc>
          <w:tcPr>
            <w:tcW w:w="720"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395,237</w:t>
            </w:r>
          </w:p>
        </w:tc>
        <w:tc>
          <w:tcPr>
            <w:tcW w:w="843" w:type="dxa"/>
            <w:tcBorders>
              <w:top w:val="nil"/>
              <w:left w:val="nil"/>
              <w:right w:val="nil"/>
            </w:tcBorders>
            <w:shd w:val="clear" w:color="auto" w:fill="auto"/>
            <w:noWrap/>
            <w:tcMar>
              <w:left w:w="29" w:type="dxa"/>
              <w:right w:w="29" w:type="dxa"/>
            </w:tcMar>
            <w:vAlign w:val="center"/>
          </w:tcPr>
          <w:p w:rsidR="00CE77E7" w:rsidRPr="00CE77E7" w:rsidRDefault="00CE77E7" w:rsidP="00CE77E7">
            <w:pPr>
              <w:jc w:val="right"/>
              <w:rPr>
                <w:rFonts w:asciiTheme="majorBidi" w:hAnsiTheme="majorBidi" w:cstheme="majorBidi"/>
                <w:sz w:val="14"/>
                <w:szCs w:val="14"/>
              </w:rPr>
            </w:pPr>
            <w:r w:rsidRPr="00CE77E7">
              <w:rPr>
                <w:rFonts w:asciiTheme="majorBidi" w:hAnsiTheme="majorBidi" w:cstheme="majorBidi"/>
                <w:sz w:val="14"/>
                <w:szCs w:val="14"/>
              </w:rPr>
              <w:t>395,237</w:t>
            </w:r>
          </w:p>
        </w:tc>
      </w:tr>
      <w:tr w:rsidR="00CE77E7"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CE77E7" w:rsidRPr="003A28C0" w:rsidRDefault="00CE77E7" w:rsidP="00CE77E7">
            <w:pPr>
              <w:jc w:val="right"/>
              <w:rPr>
                <w:rFonts w:asciiTheme="majorBidi" w:hAnsiTheme="majorBidi" w:cstheme="majorBidi"/>
                <w:b/>
                <w:bCs/>
                <w:sz w:val="14"/>
                <w:szCs w:val="14"/>
              </w:rPr>
            </w:pPr>
          </w:p>
        </w:tc>
      </w:tr>
      <w:tr w:rsidR="00CE77E7"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CE77E7" w:rsidRPr="0033384E" w:rsidRDefault="00CE77E7" w:rsidP="00CE77E7">
            <w:pPr>
              <w:jc w:val="right"/>
              <w:rPr>
                <w:sz w:val="12"/>
                <w:szCs w:val="12"/>
              </w:rPr>
            </w:pPr>
            <w:r w:rsidRPr="0033384E">
              <w:rPr>
                <w:sz w:val="12"/>
                <w:szCs w:val="12"/>
              </w:rPr>
              <w:t>Source: Finance Department SBP</w:t>
            </w:r>
          </w:p>
          <w:p w:rsidR="00CE77E7" w:rsidRPr="00CE0560" w:rsidRDefault="00CE77E7" w:rsidP="00CE77E7">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500"/>
        <w:gridCol w:w="983"/>
        <w:gridCol w:w="1160"/>
        <w:gridCol w:w="1248"/>
        <w:gridCol w:w="1072"/>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Pr>
                <w:b/>
                <w:bCs/>
                <w:sz w:val="28"/>
                <w:szCs w:val="28"/>
              </w:rPr>
              <w:t>2.10</w:t>
            </w:r>
            <w:r w:rsidR="0088105F">
              <w:rPr>
                <w:b/>
                <w:bCs/>
                <w:sz w:val="28"/>
                <w:szCs w:val="28"/>
              </w:rPr>
              <w:t xml:space="preserve"> </w:t>
            </w:r>
            <w:r w:rsidR="000E3690" w:rsidRPr="00AE70DF">
              <w:rPr>
                <w:b/>
                <w:bCs/>
                <w:sz w:val="28"/>
                <w:szCs w:val="28"/>
              </w:rPr>
              <w:t>Annual Accounts of</w:t>
            </w:r>
            <w:r w:rsidR="00CE30FF">
              <w:rPr>
                <w:b/>
                <w:bCs/>
                <w:sz w:val="28"/>
                <w:szCs w:val="28"/>
              </w:rPr>
              <w:t xml:space="preserve"> </w:t>
            </w:r>
            <w:r w:rsidR="000E3690" w:rsidRPr="00AE70DF">
              <w:rPr>
                <w:b/>
                <w:bCs/>
                <w:sz w:val="28"/>
                <w:szCs w:val="28"/>
              </w:rPr>
              <w:t>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r>
              <w:rPr>
                <w:sz w:val="14"/>
                <w:szCs w:val="14"/>
              </w:rPr>
              <w:t>End</w:t>
            </w:r>
            <w:r w:rsidR="00C51081">
              <w:rPr>
                <w:sz w:val="14"/>
                <w:szCs w:val="14"/>
              </w:rPr>
              <w:t xml:space="preserve"> </w:t>
            </w:r>
            <w:r>
              <w:rPr>
                <w:sz w:val="14"/>
                <w:szCs w:val="14"/>
              </w:rPr>
              <w:t>Jun: Million Rupees</w:t>
            </w:r>
          </w:p>
        </w:tc>
      </w:tr>
      <w:tr w:rsidR="00DC0E6B" w:rsidRPr="00AE70DF" w:rsidTr="0063556C">
        <w:trPr>
          <w:trHeight w:val="315"/>
        </w:trPr>
        <w:tc>
          <w:tcPr>
            <w:tcW w:w="4500" w:type="dxa"/>
            <w:tcBorders>
              <w:top w:val="nil"/>
              <w:left w:val="nil"/>
              <w:bottom w:val="single" w:sz="8" w:space="0" w:color="auto"/>
            </w:tcBorders>
            <w:shd w:val="clear" w:color="auto" w:fill="auto"/>
            <w:vAlign w:val="center"/>
            <w:hideMark/>
          </w:tcPr>
          <w:p w:rsidR="00DC0E6B" w:rsidRPr="00AE70DF" w:rsidRDefault="00DC0E6B" w:rsidP="00DC0E6B">
            <w:pPr>
              <w:rPr>
                <w:b/>
                <w:bCs/>
                <w:sz w:val="13"/>
                <w:szCs w:val="13"/>
              </w:rPr>
            </w:pPr>
            <w:r w:rsidRPr="00AE70DF">
              <w:rPr>
                <w:b/>
                <w:bCs/>
                <w:sz w:val="13"/>
                <w:szCs w:val="13"/>
              </w:rPr>
              <w:t> </w:t>
            </w:r>
          </w:p>
        </w:tc>
        <w:tc>
          <w:tcPr>
            <w:tcW w:w="983" w:type="dxa"/>
            <w:tcBorders>
              <w:top w:val="single" w:sz="8" w:space="0" w:color="auto"/>
              <w:left w:val="nil"/>
              <w:bottom w:val="single" w:sz="8" w:space="0" w:color="auto"/>
              <w:right w:val="single" w:sz="4" w:space="0" w:color="auto"/>
            </w:tcBorders>
            <w:shd w:val="clear" w:color="auto" w:fill="auto"/>
            <w:vAlign w:val="center"/>
          </w:tcPr>
          <w:p w:rsidR="00DC0E6B" w:rsidRPr="00503387" w:rsidRDefault="00DC0E6B" w:rsidP="00DC0E6B">
            <w:pPr>
              <w:rPr>
                <w:b/>
                <w:bCs/>
                <w:sz w:val="14"/>
                <w:szCs w:val="14"/>
              </w:rPr>
            </w:pPr>
            <w:r w:rsidRPr="00503387">
              <w:rPr>
                <w:b/>
                <w:bCs/>
                <w:sz w:val="14"/>
                <w:szCs w:val="14"/>
              </w:rPr>
              <w:t>2018</w:t>
            </w:r>
          </w:p>
        </w:tc>
        <w:tc>
          <w:tcPr>
            <w:tcW w:w="1160" w:type="dxa"/>
            <w:tcBorders>
              <w:top w:val="single" w:sz="8" w:space="0" w:color="auto"/>
              <w:left w:val="single" w:sz="4" w:space="0" w:color="auto"/>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2019</w:t>
            </w:r>
          </w:p>
        </w:tc>
        <w:tc>
          <w:tcPr>
            <w:tcW w:w="1248"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2020</w:t>
            </w:r>
          </w:p>
        </w:tc>
        <w:tc>
          <w:tcPr>
            <w:tcW w:w="1072"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2021</w:t>
            </w:r>
          </w:p>
        </w:tc>
        <w:tc>
          <w:tcPr>
            <w:tcW w:w="1117" w:type="dxa"/>
            <w:tcBorders>
              <w:top w:val="nil"/>
              <w:left w:val="nil"/>
              <w:bottom w:val="single" w:sz="8" w:space="0" w:color="auto"/>
              <w:right w:val="nil"/>
            </w:tcBorders>
            <w:shd w:val="clear" w:color="auto" w:fill="auto"/>
            <w:vAlign w:val="center"/>
          </w:tcPr>
          <w:p w:rsidR="00DC0E6B" w:rsidRPr="00503387" w:rsidRDefault="00DC0E6B" w:rsidP="00DC0E6B">
            <w:pPr>
              <w:rPr>
                <w:b/>
                <w:bCs/>
                <w:sz w:val="14"/>
                <w:szCs w:val="14"/>
              </w:rPr>
            </w:pPr>
            <w:r w:rsidRPr="00503387">
              <w:rPr>
                <w:b/>
                <w:bCs/>
                <w:sz w:val="14"/>
                <w:szCs w:val="14"/>
              </w:rPr>
              <w:t>2022</w:t>
            </w:r>
          </w:p>
        </w:tc>
      </w:tr>
      <w:tr w:rsidR="00DC0E6B" w:rsidRPr="00AE70DF" w:rsidTr="00D53610">
        <w:trPr>
          <w:trHeight w:val="202"/>
        </w:trPr>
        <w:tc>
          <w:tcPr>
            <w:tcW w:w="4500" w:type="dxa"/>
            <w:tcBorders>
              <w:top w:val="single" w:sz="8" w:space="0" w:color="auto"/>
              <w:left w:val="nil"/>
              <w:bottom w:val="nil"/>
              <w:right w:val="nil"/>
            </w:tcBorders>
            <w:shd w:val="clear" w:color="auto" w:fill="auto"/>
            <w:vAlign w:val="center"/>
            <w:hideMark/>
          </w:tcPr>
          <w:p w:rsidR="00DC0E6B" w:rsidRPr="00AE70DF" w:rsidRDefault="00DC0E6B" w:rsidP="00DC0E6B">
            <w:pPr>
              <w:jc w:val="left"/>
              <w:rPr>
                <w:b/>
                <w:bCs/>
                <w:sz w:val="13"/>
                <w:szCs w:val="13"/>
              </w:rPr>
            </w:pPr>
            <w:r w:rsidRPr="00AE70DF">
              <w:rPr>
                <w:b/>
                <w:bCs/>
                <w:sz w:val="13"/>
                <w:szCs w:val="13"/>
              </w:rPr>
              <w:t>ASSETS</w:t>
            </w:r>
          </w:p>
        </w:tc>
        <w:tc>
          <w:tcPr>
            <w:tcW w:w="983"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p>
        </w:tc>
        <w:tc>
          <w:tcPr>
            <w:tcW w:w="1160"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248"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072"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DC0E6B" w:rsidRPr="00503387" w:rsidRDefault="00DC0E6B" w:rsidP="00DC0E6B">
            <w:pPr>
              <w:jc w:val="right"/>
              <w:rPr>
                <w:sz w:val="14"/>
                <w:szCs w:val="14"/>
              </w:rPr>
            </w:pPr>
          </w:p>
        </w:tc>
      </w:tr>
      <w:tr w:rsidR="00DC0E6B" w:rsidRPr="00AE70DF" w:rsidTr="00D53610">
        <w:trPr>
          <w:trHeight w:val="202"/>
        </w:trPr>
        <w:tc>
          <w:tcPr>
            <w:tcW w:w="4500" w:type="dxa"/>
            <w:tcBorders>
              <w:top w:val="nil"/>
              <w:left w:val="nil"/>
              <w:bottom w:val="nil"/>
              <w:right w:val="nil"/>
            </w:tcBorders>
            <w:shd w:val="clear" w:color="auto" w:fill="auto"/>
            <w:vAlign w:val="center"/>
            <w:hideMark/>
          </w:tcPr>
          <w:p w:rsidR="00DC0E6B" w:rsidRPr="00AE70DF" w:rsidRDefault="00DC0E6B" w:rsidP="00DC0E6B">
            <w:pPr>
              <w:jc w:val="left"/>
              <w:rPr>
                <w:sz w:val="13"/>
                <w:szCs w:val="13"/>
              </w:rPr>
            </w:pPr>
            <w:r w:rsidRPr="00AE70DF">
              <w:rPr>
                <w:sz w:val="13"/>
                <w:szCs w:val="13"/>
              </w:rPr>
              <w:t>Cash and bank balances held by subsidiaries</w:t>
            </w:r>
          </w:p>
        </w:tc>
        <w:tc>
          <w:tcPr>
            <w:tcW w:w="983"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C0E6B">
            <w:pPr>
              <w:rPr>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315,611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468,625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617,495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773,637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Local Currency – Coins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Foreign Currency 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1,333,820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1,375,854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2,206,980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2,178,254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Earmarked foreign currency balances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72,703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24,051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Special Drawing Rights of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59,273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55,461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29,537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43,461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Reserve tranche with the IMF under quota arrangements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Securities purchased under agreement to resale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1,562,310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782,918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917,540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4,518,610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33,104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28,200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30,157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Investments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3,917,177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8,003,637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7,508,359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6,404,018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Loans, Advances, Bills of Exchange and Commercial Papers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444,266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587,644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795,578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Assets held with the Reserve Bank of India</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6,653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9,580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11,943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14,816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Balances due from the Govt. of</w:t>
            </w:r>
            <w:r w:rsidR="00CE30FF">
              <w:rPr>
                <w:sz w:val="13"/>
                <w:szCs w:val="13"/>
              </w:rPr>
              <w:t xml:space="preserve"> </w:t>
            </w:r>
            <w:r w:rsidRPr="00AE70DF">
              <w:rPr>
                <w:sz w:val="13"/>
                <w:szCs w:val="13"/>
              </w:rPr>
              <w:t>India and Bangladesh</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10,674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13,141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15,107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56,471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79,876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97,686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Intangible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4,051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10,021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14,692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37,176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7,757,006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11,488,051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12,287,605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16,178,235</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LIABILITIES</w:t>
            </w:r>
          </w:p>
        </w:tc>
        <w:tc>
          <w:tcPr>
            <w:tcW w:w="983"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Bank notes in circulation</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4,635,147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5,285,026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6,458,763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7,992,592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Bills Payable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1,147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89,829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1,101,514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748,790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1,547,182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 with SBP-BSC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50,043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44,969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52,125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10,512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930FD7">
              <w:rPr>
                <w:sz w:val="13"/>
                <w:szCs w:val="13"/>
              </w:rPr>
              <w:t>Current account with NIBAF (Guarantee) Limited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187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124,410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19,513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under bilateral currency swap agreement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370,409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469,398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476,723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926,914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Deposits of</w:t>
            </w:r>
            <w:r w:rsidR="00CE30FF">
              <w:rPr>
                <w:sz w:val="13"/>
                <w:szCs w:val="13"/>
              </w:rPr>
              <w:t xml:space="preserve"> </w:t>
            </w:r>
            <w:r w:rsidRPr="00AE70DF">
              <w:rPr>
                <w:sz w:val="13"/>
                <w:szCs w:val="13"/>
              </w:rPr>
              <w:t>banks and Financial Institutions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813,949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1,246,239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1,171,104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1,254,854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deposits and accounts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200,157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1,116,034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1,093,622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737,432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to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912,585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1,150,064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1,045,944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1,351,259</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Securities sold under agreement to repurchase </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530,194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78,148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176,875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99,531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134,000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Deferred Liability - Unfunded Staff</w:t>
            </w:r>
            <w:r w:rsidR="00CE30FF">
              <w:rPr>
                <w:sz w:val="13"/>
                <w:szCs w:val="13"/>
              </w:rPr>
              <w:t xml:space="preserve"> </w:t>
            </w:r>
            <w:r w:rsidRPr="00AE70DF">
              <w:rPr>
                <w:sz w:val="13"/>
                <w:szCs w:val="13"/>
              </w:rPr>
              <w:t>Retirement Benefits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31,181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29,383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34,736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41,058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7,182,217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10,745,164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11,202,263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14,527,446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NET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REPRESENTED BY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Share Capital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072" w:type="dxa"/>
            <w:tcBorders>
              <w:top w:val="nil"/>
              <w:left w:val="nil"/>
              <w:bottom w:val="nil"/>
              <w:right w:val="nil"/>
            </w:tcBorders>
            <w:shd w:val="clear" w:color="auto" w:fill="auto"/>
            <w:vAlign w:val="center"/>
          </w:tcPr>
          <w:p w:rsidR="00D53610" w:rsidRPr="00503387" w:rsidRDefault="0063556C"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100</w:t>
            </w:r>
            <w:r w:rsidR="00D53610" w:rsidRPr="00503387">
              <w:rPr>
                <w:rFonts w:asciiTheme="majorBidi" w:hAnsiTheme="majorBidi" w:cstheme="majorBidi"/>
                <w:sz w:val="14"/>
                <w:szCs w:val="14"/>
              </w:rPr>
              <w:t xml:space="preserve">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100,000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110,691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112,706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167,389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260,993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214,789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930FD7" w:rsidRDefault="00D53610" w:rsidP="00D53610">
            <w:pPr>
              <w:ind w:firstLineChars="100" w:firstLine="130"/>
              <w:jc w:val="left"/>
              <w:rPr>
                <w:sz w:val="13"/>
                <w:szCs w:val="13"/>
              </w:rPr>
            </w:pPr>
            <w:r w:rsidRPr="00930FD7">
              <w:rPr>
                <w:sz w:val="13"/>
                <w:szCs w:val="13"/>
              </w:rPr>
              <w:t>Unappropriated profit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6,519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152,542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161,974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371,186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311,314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464,181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613,004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572,780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769,061</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re-measurement of investment-Local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74,684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68,491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61,417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96,883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85,014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Surplus on</w:t>
            </w:r>
            <w:r w:rsidR="00CE30FF">
              <w:rPr>
                <w:sz w:val="13"/>
                <w:szCs w:val="13"/>
              </w:rPr>
              <w:t xml:space="preserve"> </w:t>
            </w:r>
            <w:r w:rsidRPr="00753EA9">
              <w:rPr>
                <w:sz w:val="13"/>
                <w:szCs w:val="13"/>
              </w:rPr>
              <w:t>revaluation of</w:t>
            </w:r>
            <w:r w:rsidR="00CE30FF">
              <w:rPr>
                <w:sz w:val="13"/>
                <w:szCs w:val="13"/>
              </w:rPr>
              <w:t xml:space="preserve"> </w:t>
            </w:r>
            <w:r w:rsidRPr="00753EA9">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65,484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90,891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110,739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EQUITY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1,183,621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PROFIT &amp; LOSS ACCOUNT</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53610">
            <w:pPr>
              <w:jc w:val="right"/>
              <w:rPr>
                <w:rFonts w:asciiTheme="majorBidi" w:hAnsiTheme="majorBidi" w:cstheme="majorBidi"/>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Earned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323,295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656,468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1,218,372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768,020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991,784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31,837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110,759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73,343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52,694 </w:t>
            </w:r>
          </w:p>
        </w:tc>
        <w:tc>
          <w:tcPr>
            <w:tcW w:w="1117" w:type="dxa"/>
            <w:tcBorders>
              <w:top w:val="nil"/>
              <w:left w:val="nil"/>
              <w:bottom w:val="nil"/>
              <w:right w:val="nil"/>
            </w:tcBorders>
            <w:shd w:val="clear" w:color="auto" w:fill="auto"/>
            <w:vAlign w:val="center"/>
          </w:tcPr>
          <w:p w:rsidR="00D53610" w:rsidRPr="00503387" w:rsidRDefault="00CC12AE" w:rsidP="00D53610">
            <w:pPr>
              <w:jc w:val="right"/>
              <w:rPr>
                <w:rFonts w:asciiTheme="majorBidi" w:hAnsiTheme="majorBidi" w:cstheme="majorBidi"/>
                <w:sz w:val="14"/>
                <w:szCs w:val="14"/>
              </w:rPr>
            </w:pPr>
            <w:r w:rsidRPr="00503387">
              <w:rPr>
                <w:rFonts w:asciiTheme="majorBidi" w:hAnsiTheme="majorBidi" w:cstheme="majorBidi"/>
                <w:sz w:val="14"/>
                <w:szCs w:val="14"/>
              </w:rPr>
              <w:t>60,595</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Net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291,458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545,709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1,145,029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715,327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931,189</w:t>
            </w:r>
          </w:p>
        </w:tc>
      </w:tr>
      <w:tr w:rsidR="00D53610" w:rsidRPr="00753EA9" w:rsidTr="00D53610">
        <w:trPr>
          <w:trHeight w:val="202"/>
        </w:trPr>
        <w:tc>
          <w:tcPr>
            <w:tcW w:w="4500" w:type="dxa"/>
            <w:tcBorders>
              <w:top w:val="nil"/>
              <w:left w:val="nil"/>
              <w:bottom w:val="nil"/>
              <w:right w:val="nil"/>
            </w:tcBorders>
            <w:shd w:val="clear" w:color="auto" w:fill="auto"/>
            <w:vAlign w:val="center"/>
          </w:tcPr>
          <w:p w:rsidR="00D53610" w:rsidRPr="00930FD7" w:rsidRDefault="00D53610" w:rsidP="00D53610">
            <w:pPr>
              <w:jc w:val="left"/>
              <w:rPr>
                <w:sz w:val="13"/>
                <w:szCs w:val="13"/>
              </w:rPr>
            </w:pPr>
            <w:r w:rsidRPr="00930FD7">
              <w:rPr>
                <w:sz w:val="13"/>
                <w:szCs w:val="13"/>
              </w:rPr>
              <w:t>Fair valuation adjustment on COVID loans - 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(63,223)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Fees, Commission &amp; Brokerage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4,083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4,136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5,245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6,690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Exchange gain</w:t>
            </w:r>
            <w:r w:rsidR="00CC12AE">
              <w:rPr>
                <w:sz w:val="13"/>
                <w:szCs w:val="13"/>
              </w:rPr>
              <w:t>/(loss)</w:t>
            </w:r>
            <w:r w:rsidRPr="00753EA9">
              <w:rPr>
                <w:sz w:val="13"/>
                <w:szCs w:val="13"/>
              </w:rPr>
              <w:t>-net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(72,278)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(505,911)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66,410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135,349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(61,818)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Dividend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2,390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500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operating income / (loss)-net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4,392</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2,199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(9,384)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Income/(Loss)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382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397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Total Non -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223,293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50,829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1,220,580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813,285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809,286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Administrative/ Operating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49,706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51,180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56,353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62,857</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Provisions for /(reversal of provision against)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Non-Markup/Interest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49,742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51,675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60,649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56,264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63,235</w:t>
            </w:r>
          </w:p>
        </w:tc>
      </w:tr>
      <w:tr w:rsidR="00D53610" w:rsidRPr="00753EA9" w:rsidTr="00D53610">
        <w:trPr>
          <w:trHeight w:val="202"/>
        </w:trPr>
        <w:tc>
          <w:tcPr>
            <w:tcW w:w="4500" w:type="dxa"/>
            <w:tcBorders>
              <w:top w:val="nil"/>
              <w:left w:val="nil"/>
              <w:bottom w:val="dashed" w:sz="8" w:space="0" w:color="auto"/>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PROFIT/ (LOSS) FOR THE YEAR</w:t>
            </w:r>
          </w:p>
        </w:tc>
        <w:tc>
          <w:tcPr>
            <w:tcW w:w="983"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173,551</w:t>
            </w:r>
          </w:p>
        </w:tc>
        <w:tc>
          <w:tcPr>
            <w:tcW w:w="1160"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(846)</w:t>
            </w:r>
          </w:p>
        </w:tc>
        <w:tc>
          <w:tcPr>
            <w:tcW w:w="1248"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1,159,931</w:t>
            </w:r>
          </w:p>
        </w:tc>
        <w:tc>
          <w:tcPr>
            <w:tcW w:w="1072"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757,021 </w:t>
            </w:r>
          </w:p>
        </w:tc>
        <w:tc>
          <w:tcPr>
            <w:tcW w:w="1117"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746,051</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Operating Activities</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235,254</w:t>
            </w: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397,436</w:t>
            </w: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1,432,096</w:t>
            </w: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(31,841)</w:t>
            </w:r>
          </w:p>
        </w:tc>
      </w:tr>
      <w:tr w:rsidR="00DC0E6B" w:rsidRPr="00753EA9" w:rsidTr="00D53610">
        <w:trPr>
          <w:trHeight w:val="202"/>
        </w:trPr>
        <w:tc>
          <w:tcPr>
            <w:tcW w:w="4500" w:type="dxa"/>
            <w:tcBorders>
              <w:top w:val="nil"/>
              <w:left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Investing Activities</w:t>
            </w:r>
          </w:p>
        </w:tc>
        <w:tc>
          <w:tcPr>
            <w:tcW w:w="983"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339</w:t>
            </w:r>
          </w:p>
        </w:tc>
        <w:tc>
          <w:tcPr>
            <w:tcW w:w="1160"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1,613</w:t>
            </w:r>
          </w:p>
        </w:tc>
        <w:tc>
          <w:tcPr>
            <w:tcW w:w="1248"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(753)</w:t>
            </w:r>
          </w:p>
        </w:tc>
        <w:tc>
          <w:tcPr>
            <w:tcW w:w="1072"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(325)</w:t>
            </w:r>
          </w:p>
        </w:tc>
      </w:tr>
      <w:tr w:rsidR="00DC0E6B" w:rsidRPr="00753EA9" w:rsidTr="00D53610">
        <w:trPr>
          <w:trHeight w:val="202"/>
        </w:trPr>
        <w:tc>
          <w:tcPr>
            <w:tcW w:w="4500" w:type="dxa"/>
            <w:tcBorders>
              <w:top w:val="nil"/>
              <w:left w:val="nil"/>
              <w:bottom w:val="single" w:sz="4" w:space="0" w:color="auto"/>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Financing Activities</w:t>
            </w:r>
          </w:p>
        </w:tc>
        <w:tc>
          <w:tcPr>
            <w:tcW w:w="983"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107,993</w:t>
            </w:r>
          </w:p>
        </w:tc>
        <w:tc>
          <w:tcPr>
            <w:tcW w:w="1160"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224,962</w:t>
            </w:r>
          </w:p>
        </w:tc>
        <w:tc>
          <w:tcPr>
            <w:tcW w:w="1248"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(1,050,123)</w:t>
            </w:r>
          </w:p>
        </w:tc>
        <w:tc>
          <w:tcPr>
            <w:tcW w:w="1072"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(82,663)</w:t>
            </w:r>
          </w:p>
        </w:tc>
      </w:tr>
    </w:tbl>
    <w:p w:rsidR="000E3690" w:rsidRDefault="00D92F79" w:rsidP="00D92F79">
      <w:pPr>
        <w:pStyle w:val="Footer"/>
        <w:tabs>
          <w:tab w:val="clear" w:pos="4320"/>
          <w:tab w:val="clear" w:pos="8640"/>
        </w:tabs>
        <w:ind w:left="7200"/>
        <w:jc w:val="both"/>
        <w:rPr>
          <w:color w:val="auto"/>
        </w:rPr>
      </w:pPr>
      <w:r>
        <w:rPr>
          <w:color w:val="auto"/>
        </w:rPr>
        <w:t>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b/>
                <w:bCs/>
                <w:sz w:val="28"/>
                <w:szCs w:val="28"/>
              </w:rPr>
            </w:pPr>
            <w:r>
              <w:rPr>
                <w:b/>
                <w:bCs/>
                <w:sz w:val="28"/>
                <w:szCs w:val="28"/>
              </w:rPr>
              <w:t>2</w:t>
            </w:r>
            <w:r w:rsidRPr="00916513">
              <w:rPr>
                <w:b/>
                <w:bCs/>
                <w:sz w:val="28"/>
                <w:szCs w:val="28"/>
              </w:rPr>
              <w:t>.</w:t>
            </w:r>
            <w:r w:rsidR="005C0886">
              <w:rPr>
                <w:b/>
                <w:bCs/>
                <w:sz w:val="28"/>
                <w:szCs w:val="28"/>
              </w:rPr>
              <w:t>11</w:t>
            </w:r>
            <w:r w:rsidR="0088105F">
              <w:rPr>
                <w:b/>
                <w:bCs/>
                <w:sz w:val="28"/>
                <w:szCs w:val="28"/>
              </w:rPr>
              <w:t xml:space="preserve"> </w:t>
            </w:r>
            <w:r w:rsidRPr="00916513">
              <w:rPr>
                <w:b/>
                <w:bCs/>
                <w:sz w:val="28"/>
                <w:szCs w:val="28"/>
              </w:rPr>
              <w:t>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C51081" w:rsidP="00650423">
            <w:pPr>
              <w:jc w:val="right"/>
              <w:rPr>
                <w:szCs w:val="16"/>
              </w:rPr>
            </w:pPr>
            <w:r>
              <w:rPr>
                <w:sz w:val="14"/>
                <w:szCs w:val="14"/>
              </w:rPr>
              <w:t>End Jun: Million Rupees</w:t>
            </w:r>
          </w:p>
        </w:tc>
      </w:tr>
      <w:tr w:rsidR="000D45D1"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0D45D1" w:rsidRPr="00916513" w:rsidRDefault="000D45D1" w:rsidP="00650423">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2018</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2019</w:t>
            </w:r>
          </w:p>
        </w:tc>
        <w:tc>
          <w:tcPr>
            <w:tcW w:w="117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2020</w:t>
            </w:r>
          </w:p>
        </w:tc>
        <w:tc>
          <w:tcPr>
            <w:tcW w:w="90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w:t>
            </w:r>
            <w:r w:rsidRPr="00916513">
              <w:rPr>
                <w:rFonts w:eastAsia="Arial Unicode MS"/>
                <w:b/>
                <w:bCs/>
                <w:szCs w:val="16"/>
              </w:rPr>
              <w:t>021</w:t>
            </w:r>
          </w:p>
        </w:tc>
        <w:tc>
          <w:tcPr>
            <w:tcW w:w="108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2022</w:t>
            </w:r>
          </w:p>
        </w:tc>
      </w:tr>
      <w:tr w:rsidR="000D45D1" w:rsidRPr="003C78E8"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650423">
            <w:pPr>
              <w:jc w:val="right"/>
              <w:rPr>
                <w:b/>
                <w:bCs/>
                <w:szCs w:val="16"/>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3C78E8" w:rsidRDefault="000D45D1" w:rsidP="00650423">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0D45D1" w:rsidRPr="003C78E8" w:rsidRDefault="000D45D1" w:rsidP="00650423">
            <w:pPr>
              <w:jc w:val="right"/>
              <w:rPr>
                <w:rFonts w:eastAsia="Arial Unicode MS"/>
                <w:b/>
                <w:bCs/>
                <w:szCs w:val="16"/>
              </w:rPr>
            </w:pPr>
          </w:p>
        </w:tc>
      </w:tr>
      <w:tr w:rsidR="000D45D1" w:rsidRPr="00916513"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80362A">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080" w:type="dxa"/>
            <w:tcBorders>
              <w:top w:val="nil"/>
              <w:left w:val="nil"/>
              <w:bottom w:val="nil"/>
              <w:right w:val="nil"/>
            </w:tcBorders>
            <w:shd w:val="clear" w:color="auto" w:fill="auto"/>
            <w:vAlign w:val="center"/>
          </w:tcPr>
          <w:p w:rsidR="000D45D1" w:rsidRPr="00916513" w:rsidRDefault="000D45D1" w:rsidP="00650423">
            <w:pPr>
              <w:jc w:val="right"/>
              <w:rPr>
                <w:sz w:val="20"/>
              </w:rPr>
            </w:pPr>
          </w:p>
        </w:tc>
      </w:tr>
      <w:tr w:rsidR="00650423" w:rsidRPr="00916513" w:rsidTr="00650423">
        <w:trPr>
          <w:trHeight w:val="360"/>
        </w:trPr>
        <w:tc>
          <w:tcPr>
            <w:tcW w:w="4212" w:type="dxa"/>
            <w:tcBorders>
              <w:top w:val="nil"/>
              <w:left w:val="nil"/>
              <w:bottom w:val="nil"/>
              <w:right w:val="nil"/>
            </w:tcBorders>
            <w:shd w:val="clear" w:color="auto" w:fill="auto"/>
            <w:noWrap/>
            <w:vAlign w:val="center"/>
          </w:tcPr>
          <w:p w:rsidR="00650423" w:rsidRPr="00916513" w:rsidRDefault="00650423" w:rsidP="0080362A">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2,801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50,043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44,969</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52,125</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51,241</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10,512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518</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515</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45,881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9,152</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9,606</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10,780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11,525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60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126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180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190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247</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346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895</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1,191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2,846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3,753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60,903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56,234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63,136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65,824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74,998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54,829</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50,294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56,659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59,246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67,187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5,074</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4,940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5,478</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5,579</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59,903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55,234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62,136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64,824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73,712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1,286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1,000 </w:t>
            </w:r>
          </w:p>
        </w:tc>
      </w:tr>
      <w:tr w:rsidR="00C6750E" w:rsidRPr="00916513" w:rsidTr="00C6750E">
        <w:trPr>
          <w:trHeight w:val="360"/>
        </w:trPr>
        <w:tc>
          <w:tcPr>
            <w:tcW w:w="4212" w:type="dxa"/>
            <w:tcBorders>
              <w:top w:val="nil"/>
              <w:left w:val="nil"/>
              <w:bottom w:val="nil"/>
              <w:right w:val="nil"/>
            </w:tcBorders>
            <w:shd w:val="clear" w:color="auto" w:fill="auto"/>
            <w:noWrap/>
            <w:vAlign w:val="center"/>
          </w:tcPr>
          <w:p w:rsidR="00C6750E" w:rsidRPr="00916513" w:rsidRDefault="00C6750E" w:rsidP="0080362A">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17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0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286</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31</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3,827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18,771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8,545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8,061</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8,249</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8,283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6,373</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6,488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9,864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7,067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34 </w:t>
            </w:r>
          </w:p>
        </w:tc>
      </w:tr>
      <w:tr w:rsidR="00C6750E" w:rsidRPr="00916513" w:rsidTr="007553BB">
        <w:trPr>
          <w:trHeight w:val="360"/>
        </w:trPr>
        <w:tc>
          <w:tcPr>
            <w:tcW w:w="4212" w:type="dxa"/>
            <w:tcBorders>
              <w:top w:val="nil"/>
              <w:left w:val="nil"/>
              <w:bottom w:val="single" w:sz="12" w:space="0" w:color="auto"/>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36</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54</w:t>
            </w:r>
          </w:p>
        </w:tc>
        <w:tc>
          <w:tcPr>
            <w:tcW w:w="117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69</w:t>
            </w:r>
          </w:p>
        </w:tc>
        <w:tc>
          <w:tcPr>
            <w:tcW w:w="90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50.474</w:t>
            </w:r>
          </w:p>
        </w:tc>
        <w:tc>
          <w:tcPr>
            <w:tcW w:w="1080" w:type="dxa"/>
            <w:tcBorders>
              <w:top w:val="nil"/>
              <w:left w:val="nil"/>
              <w:bottom w:val="single" w:sz="12" w:space="0" w:color="auto"/>
              <w:right w:val="nil"/>
            </w:tcBorders>
            <w:shd w:val="clear" w:color="auto" w:fill="auto"/>
            <w:noWrap/>
            <w:vAlign w:val="bottom"/>
          </w:tcPr>
          <w:p w:rsidR="00C6750E" w:rsidRDefault="00C6750E" w:rsidP="00C6750E">
            <w:pPr>
              <w:jc w:val="right"/>
              <w:rPr>
                <w:rFonts w:ascii="Calibri" w:hAnsi="Calibri" w:cs="Calibri"/>
                <w:sz w:val="22"/>
                <w:szCs w:val="22"/>
              </w:rPr>
            </w:pPr>
            <w:r>
              <w:rPr>
                <w:rFonts w:ascii="Calibri" w:hAnsi="Calibri" w:cs="Calibri"/>
                <w:sz w:val="22"/>
                <w:szCs w:val="22"/>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304</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275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588</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1934</w:t>
            </w:r>
          </w:p>
        </w:tc>
        <w:tc>
          <w:tcPr>
            <w:tcW w:w="1080" w:type="dxa"/>
            <w:tcBorders>
              <w:top w:val="nil"/>
              <w:left w:val="nil"/>
              <w:bottom w:val="nil"/>
              <w:right w:val="nil"/>
            </w:tcBorders>
            <w:shd w:val="clear" w:color="auto" w:fill="auto"/>
            <w:noWrap/>
            <w:vAlign w:val="center"/>
          </w:tcPr>
          <w:p w:rsidR="00C6750E" w:rsidRDefault="00C6750E" w:rsidP="00C6750E">
            <w:pPr>
              <w:jc w:val="right"/>
              <w:rPr>
                <w:b/>
                <w:bCs/>
                <w:szCs w:val="16"/>
              </w:rPr>
            </w:pPr>
            <w:r>
              <w:rPr>
                <w:b/>
                <w:bCs/>
                <w:szCs w:val="16"/>
              </w:rPr>
              <w:t xml:space="preserve">45,790 </w:t>
            </w:r>
          </w:p>
        </w:tc>
      </w:tr>
      <w:tr w:rsidR="00C6750E" w:rsidRPr="00916513" w:rsidTr="007553BB">
        <w:trPr>
          <w:trHeight w:val="360"/>
        </w:trPr>
        <w:tc>
          <w:tcPr>
            <w:tcW w:w="4212" w:type="dxa"/>
            <w:tcBorders>
              <w:top w:val="nil"/>
              <w:left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304</w:t>
            </w:r>
            <w:r>
              <w:rPr>
                <w:b/>
                <w:bCs/>
                <w:szCs w:val="16"/>
              </w:rPr>
              <w:t>)</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275</w:t>
            </w:r>
            <w:r>
              <w:rPr>
                <w:b/>
                <w:bCs/>
                <w:szCs w:val="16"/>
              </w:rPr>
              <w:t>)</w:t>
            </w:r>
          </w:p>
        </w:tc>
        <w:tc>
          <w:tcPr>
            <w:tcW w:w="117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588</w:t>
            </w:r>
            <w:r>
              <w:rPr>
                <w:b/>
                <w:bCs/>
                <w:szCs w:val="16"/>
              </w:rPr>
              <w:t>)</w:t>
            </w:r>
          </w:p>
        </w:tc>
        <w:tc>
          <w:tcPr>
            <w:tcW w:w="90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1934</w:t>
            </w:r>
            <w:r>
              <w:rPr>
                <w:b/>
                <w:bCs/>
                <w:szCs w:val="16"/>
              </w:rPr>
              <w:t>)</w:t>
            </w:r>
          </w:p>
        </w:tc>
        <w:tc>
          <w:tcPr>
            <w:tcW w:w="1080" w:type="dxa"/>
            <w:tcBorders>
              <w:top w:val="nil"/>
              <w:left w:val="nil"/>
              <w:right w:val="nil"/>
            </w:tcBorders>
            <w:shd w:val="clear" w:color="auto" w:fill="auto"/>
            <w:noWrap/>
            <w:vAlign w:val="center"/>
          </w:tcPr>
          <w:p w:rsidR="00C6750E" w:rsidRDefault="00C6750E" w:rsidP="00C6750E">
            <w:pPr>
              <w:jc w:val="right"/>
              <w:rPr>
                <w:b/>
                <w:bCs/>
                <w:szCs w:val="16"/>
              </w:rPr>
            </w:pPr>
            <w:r>
              <w:rPr>
                <w:b/>
                <w:bCs/>
                <w:szCs w:val="16"/>
              </w:rPr>
              <w:t xml:space="preserve"> (42,989)</w:t>
            </w:r>
          </w:p>
        </w:tc>
      </w:tr>
      <w:tr w:rsidR="00C6750E" w:rsidRPr="00916513" w:rsidTr="00C6750E">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Pr>
                <w:szCs w:val="16"/>
              </w:rPr>
              <w:t xml:space="preserve"> </w:t>
            </w:r>
            <w:r>
              <w:rPr>
                <w:b/>
                <w:bCs/>
                <w:szCs w:val="16"/>
              </w:rPr>
              <w:t>-</w:t>
            </w:r>
            <w:r w:rsidRPr="00916513">
              <w:rPr>
                <w:szCs w:val="16"/>
              </w:rPr>
              <w:t xml:space="preserve"> </w:t>
            </w:r>
          </w:p>
        </w:tc>
        <w:tc>
          <w:tcPr>
            <w:tcW w:w="1080" w:type="dxa"/>
            <w:tcBorders>
              <w:top w:val="nil"/>
              <w:left w:val="nil"/>
              <w:bottom w:val="nil"/>
              <w:right w:val="nil"/>
            </w:tcBorders>
            <w:shd w:val="clear" w:color="auto" w:fill="auto"/>
            <w:vAlign w:val="center"/>
          </w:tcPr>
          <w:p w:rsidR="00C6750E" w:rsidRDefault="00C6750E" w:rsidP="00C6750E">
            <w:pPr>
              <w:jc w:val="right"/>
              <w:rPr>
                <w:b/>
                <w:bCs/>
                <w:szCs w:val="16"/>
              </w:rPr>
            </w:pPr>
            <w:r>
              <w:rPr>
                <w:b/>
                <w:bCs/>
                <w:szCs w:val="16"/>
              </w:rPr>
              <w:t xml:space="preserve"> - </w:t>
            </w:r>
          </w:p>
        </w:tc>
      </w:tr>
      <w:tr w:rsidR="00C6750E"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6750E" w:rsidRPr="00916513" w:rsidRDefault="007454C1" w:rsidP="0080362A">
            <w:pPr>
              <w:jc w:val="left"/>
              <w:rPr>
                <w:b/>
                <w:bCs/>
                <w:szCs w:val="16"/>
              </w:rPr>
            </w:pPr>
            <w:r>
              <w:rPr>
                <w:b/>
                <w:bCs/>
                <w:szCs w:val="16"/>
              </w:rPr>
              <w:t>Cash &amp; Cash</w:t>
            </w:r>
            <w:r w:rsidR="00C6750E">
              <w:rPr>
                <w:b/>
                <w:bCs/>
                <w:szCs w:val="16"/>
              </w:rPr>
              <w:t xml:space="preserve"> Equivalents at the end of the year</w:t>
            </w: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117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00" w:type="dxa"/>
            <w:tcBorders>
              <w:top w:val="nil"/>
              <w:left w:val="nil"/>
              <w:bottom w:val="single" w:sz="4" w:space="0" w:color="auto"/>
              <w:right w:val="nil"/>
            </w:tcBorders>
            <w:shd w:val="clear" w:color="auto" w:fill="auto"/>
            <w:noWrap/>
            <w:vAlign w:val="center"/>
          </w:tcPr>
          <w:p w:rsidR="00C6750E" w:rsidRDefault="00C6750E" w:rsidP="00C6750E">
            <w:pPr>
              <w:jc w:val="right"/>
              <w:rPr>
                <w:szCs w:val="16"/>
              </w:rPr>
            </w:pPr>
          </w:p>
        </w:tc>
        <w:tc>
          <w:tcPr>
            <w:tcW w:w="1080" w:type="dxa"/>
            <w:tcBorders>
              <w:top w:val="nil"/>
              <w:left w:val="nil"/>
              <w:bottom w:val="single" w:sz="4" w:space="0" w:color="auto"/>
              <w:right w:val="nil"/>
            </w:tcBorders>
            <w:shd w:val="clear" w:color="auto" w:fill="auto"/>
            <w:vAlign w:val="center"/>
          </w:tcPr>
          <w:p w:rsidR="00C6750E" w:rsidRDefault="00C6750E" w:rsidP="00C6750E">
            <w:pPr>
              <w:jc w:val="right"/>
              <w:rPr>
                <w:b/>
                <w:bCs/>
                <w:szCs w:val="16"/>
              </w:rPr>
            </w:pPr>
            <w:r>
              <w:rPr>
                <w:b/>
                <w:bCs/>
                <w:szCs w:val="16"/>
              </w:rPr>
              <w:t xml:space="preserve">2,801 </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26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720"/>
        <w:gridCol w:w="900"/>
      </w:tblGrid>
      <w:tr w:rsidR="00B34F49" w:rsidRPr="00B34F49" w:rsidTr="0029362B">
        <w:trPr>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0088105F">
              <w:rPr>
                <w:b/>
                <w:bCs/>
                <w:sz w:val="28"/>
                <w:szCs w:val="28"/>
              </w:rPr>
              <w:t xml:space="preserve"> </w:t>
            </w:r>
            <w:r w:rsidRPr="00F00D44">
              <w:rPr>
                <w:b/>
                <w:bCs/>
                <w:sz w:val="28"/>
                <w:szCs w:val="28"/>
              </w:rPr>
              <w:t xml:space="preserve">Scheduled Banks’ </w:t>
            </w:r>
            <w:r w:rsidR="00C51081">
              <w:rPr>
                <w:b/>
                <w:bCs/>
                <w:sz w:val="28"/>
                <w:szCs w:val="28"/>
              </w:rPr>
              <w:t>Balance S</w:t>
            </w:r>
            <w:r w:rsidR="00235768" w:rsidRPr="00F00D44">
              <w:rPr>
                <w:b/>
                <w:bCs/>
                <w:sz w:val="28"/>
                <w:szCs w:val="28"/>
              </w:rPr>
              <w:t xml:space="preserve">heets </w:t>
            </w:r>
            <w:r w:rsidRPr="00F00D44">
              <w:rPr>
                <w:b/>
                <w:bCs/>
                <w:sz w:val="28"/>
                <w:szCs w:val="28"/>
              </w:rPr>
              <w:t>Consolidated Position</w:t>
            </w:r>
          </w:p>
        </w:tc>
      </w:tr>
      <w:tr w:rsidR="00B34F49" w:rsidRPr="00B34F49" w:rsidTr="0029362B">
        <w:trPr>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29362B">
        <w:trPr>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4D32CF" w:rsidRPr="00B34F49" w:rsidTr="007F2FCC">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4D32CF" w:rsidRPr="005249C8" w:rsidRDefault="004D32CF" w:rsidP="00C1176D">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4D32CF" w:rsidRPr="00AB7A08" w:rsidRDefault="004D32CF" w:rsidP="00C1176D">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4D32CF" w:rsidRPr="00AB7A08" w:rsidRDefault="004D32CF"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4D32CF" w:rsidRPr="00AB7A08" w:rsidRDefault="004D32CF" w:rsidP="00C1176D">
            <w:pPr>
              <w:jc w:val="right"/>
              <w:rPr>
                <w:b/>
                <w:bCs/>
                <w:color w:val="auto"/>
                <w:szCs w:val="16"/>
              </w:rPr>
            </w:pPr>
            <w:r w:rsidRPr="00BB41E8">
              <w:rPr>
                <w:b/>
                <w:bCs/>
                <w:color w:val="auto"/>
                <w:szCs w:val="16"/>
              </w:rPr>
              <w:t>FY2</w:t>
            </w:r>
            <w:r>
              <w:rPr>
                <w:b/>
                <w:bCs/>
                <w:color w:val="auto"/>
                <w:szCs w:val="16"/>
              </w:rPr>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4D32CF" w:rsidRPr="006619BF" w:rsidRDefault="004D32CF" w:rsidP="00C1176D">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4D32CF" w:rsidRPr="006619BF" w:rsidRDefault="004D32CF" w:rsidP="00C1176D">
            <w:pPr>
              <w:rPr>
                <w:b/>
                <w:bCs/>
                <w:color w:val="auto"/>
                <w:szCs w:val="16"/>
              </w:rPr>
            </w:pPr>
            <w:r>
              <w:rPr>
                <w:b/>
                <w:bCs/>
                <w:color w:val="auto"/>
                <w:szCs w:val="16"/>
              </w:rPr>
              <w:t>2023</w:t>
            </w:r>
          </w:p>
          <w:p w:rsidR="004D32CF" w:rsidRPr="006619BF" w:rsidRDefault="004D32CF" w:rsidP="00C1176D">
            <w:pPr>
              <w:rPr>
                <w:b/>
                <w:bCs/>
                <w:color w:val="auto"/>
                <w:szCs w:val="16"/>
              </w:rPr>
            </w:pPr>
            <w:r>
              <w:rPr>
                <w:b/>
                <w:bCs/>
                <w:color w:val="auto"/>
                <w:szCs w:val="16"/>
              </w:rPr>
              <w:t>2023</w:t>
            </w:r>
          </w:p>
        </w:tc>
      </w:tr>
      <w:tr w:rsidR="004D32CF" w:rsidRPr="00F06977" w:rsidTr="004D32CF">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4D32CF" w:rsidRPr="00273A44" w:rsidRDefault="004D32CF" w:rsidP="004D32CF">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D32CF" w:rsidRPr="006619BF" w:rsidRDefault="004D32CF" w:rsidP="004D32CF">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32CF" w:rsidRPr="006619BF" w:rsidRDefault="004D32CF" w:rsidP="004D32CF">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32CF" w:rsidRPr="006619BF" w:rsidRDefault="004D32CF" w:rsidP="004D32CF">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D32CF" w:rsidRPr="006619BF" w:rsidRDefault="004D32CF" w:rsidP="004D32CF">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D32CF" w:rsidRPr="006619BF" w:rsidRDefault="004D32CF" w:rsidP="004D32CF">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D32CF" w:rsidRPr="006619BF" w:rsidRDefault="004D32CF" w:rsidP="004D32CF">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4D32CF" w:rsidRPr="006619BF" w:rsidRDefault="004D32CF" w:rsidP="004D32CF">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D32CF" w:rsidRPr="006619BF" w:rsidRDefault="004D32CF" w:rsidP="004D32CF">
            <w:pPr>
              <w:jc w:val="right"/>
              <w:rPr>
                <w:b/>
                <w:color w:val="auto"/>
                <w:sz w:val="14"/>
                <w:szCs w:val="14"/>
              </w:rPr>
            </w:pPr>
            <w:r>
              <w:rPr>
                <w:b/>
                <w:color w:val="auto"/>
                <w:sz w:val="14"/>
                <w:szCs w:val="14"/>
              </w:rPr>
              <w:t>Apr</w:t>
            </w:r>
          </w:p>
        </w:tc>
        <w:tc>
          <w:tcPr>
            <w:tcW w:w="900" w:type="dxa"/>
            <w:tcBorders>
              <w:top w:val="single" w:sz="4" w:space="0" w:color="auto"/>
              <w:left w:val="nil"/>
              <w:bottom w:val="single" w:sz="12" w:space="0" w:color="auto"/>
              <w:right w:val="nil"/>
            </w:tcBorders>
            <w:shd w:val="clear" w:color="auto" w:fill="auto"/>
            <w:tcMar>
              <w:left w:w="43" w:type="dxa"/>
              <w:right w:w="43" w:type="dxa"/>
            </w:tcMar>
            <w:vAlign w:val="center"/>
          </w:tcPr>
          <w:p w:rsidR="004D32CF" w:rsidRPr="006619BF" w:rsidRDefault="004D32CF" w:rsidP="004D32CF">
            <w:pPr>
              <w:jc w:val="right"/>
              <w:rPr>
                <w:b/>
                <w:color w:val="auto"/>
                <w:sz w:val="14"/>
                <w:szCs w:val="14"/>
              </w:rPr>
            </w:pPr>
            <w:r>
              <w:rPr>
                <w:b/>
                <w:color w:val="auto"/>
                <w:sz w:val="14"/>
                <w:szCs w:val="14"/>
              </w:rPr>
              <w:t>May</w:t>
            </w:r>
          </w:p>
        </w:tc>
      </w:tr>
      <w:tr w:rsidR="004D32CF"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4D32CF" w:rsidRPr="00B34F49" w:rsidRDefault="004D32CF" w:rsidP="004D32CF">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hideMark/>
          </w:tcPr>
          <w:p w:rsidR="004D32CF" w:rsidRPr="002C2345" w:rsidRDefault="004D32CF" w:rsidP="004D32C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4D32CF" w:rsidRPr="002C2345" w:rsidRDefault="004D32CF" w:rsidP="004D32CF">
            <w:pPr>
              <w:jc w:val="right"/>
              <w:rPr>
                <w:sz w:val="14"/>
                <w:szCs w:val="14"/>
              </w:rPr>
            </w:pP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1,408,559</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1,961,867</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1,804,747</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1,889,344</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2,068,910</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2,657,078</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2,379,771</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212,150</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260,262</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356,298</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326,944</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479,197</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451,007</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546,766</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843,513</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585,124</w:t>
            </w:r>
          </w:p>
        </w:tc>
        <w:tc>
          <w:tcPr>
            <w:tcW w:w="720" w:type="dxa"/>
            <w:tcBorders>
              <w:top w:val="nil"/>
              <w:left w:val="nil"/>
              <w:bottom w:val="nil"/>
              <w:right w:val="nil"/>
            </w:tcBorders>
            <w:shd w:val="clear" w:color="auto" w:fill="auto"/>
            <w:tcMar>
              <w:left w:w="43" w:type="dxa"/>
              <w:right w:w="43" w:type="dxa"/>
            </w:tcMar>
            <w:vAlign w:val="center"/>
          </w:tcPr>
          <w:p w:rsidR="00E47DF9" w:rsidRPr="0073051F" w:rsidRDefault="00E47DF9" w:rsidP="00E47DF9">
            <w:pPr>
              <w:jc w:val="right"/>
              <w:rPr>
                <w:sz w:val="14"/>
                <w:szCs w:val="14"/>
              </w:rPr>
            </w:pPr>
            <w:r w:rsidRPr="0073051F">
              <w:rPr>
                <w:sz w:val="14"/>
                <w:szCs w:val="14"/>
              </w:rPr>
              <w:t>709,814</w:t>
            </w:r>
          </w:p>
        </w:tc>
        <w:tc>
          <w:tcPr>
            <w:tcW w:w="720" w:type="dxa"/>
            <w:tcBorders>
              <w:top w:val="nil"/>
              <w:bottom w:val="nil"/>
            </w:tcBorders>
            <w:shd w:val="clear" w:color="auto" w:fill="auto"/>
            <w:tcMar>
              <w:left w:w="43" w:type="dxa"/>
              <w:right w:w="43" w:type="dxa"/>
            </w:tcMar>
            <w:vAlign w:val="center"/>
          </w:tcPr>
          <w:p w:rsidR="00E47DF9" w:rsidRPr="0073051F" w:rsidRDefault="00E47DF9" w:rsidP="00E47DF9">
            <w:pPr>
              <w:jc w:val="right"/>
              <w:rPr>
                <w:sz w:val="14"/>
                <w:szCs w:val="14"/>
              </w:rPr>
            </w:pPr>
            <w:r w:rsidRPr="0073051F">
              <w:rPr>
                <w:sz w:val="14"/>
                <w:szCs w:val="14"/>
              </w:rPr>
              <w:t>585,827</w:t>
            </w:r>
          </w:p>
        </w:tc>
        <w:tc>
          <w:tcPr>
            <w:tcW w:w="810" w:type="dxa"/>
            <w:tcBorders>
              <w:top w:val="nil"/>
              <w:bottom w:val="nil"/>
            </w:tcBorders>
            <w:shd w:val="clear" w:color="auto" w:fill="auto"/>
            <w:tcMar>
              <w:left w:w="43" w:type="dxa"/>
              <w:right w:w="43" w:type="dxa"/>
            </w:tcMar>
            <w:vAlign w:val="center"/>
          </w:tcPr>
          <w:p w:rsidR="00E47DF9" w:rsidRPr="0073051F" w:rsidRDefault="00E47DF9" w:rsidP="00E47DF9">
            <w:pPr>
              <w:jc w:val="right"/>
              <w:rPr>
                <w:sz w:val="14"/>
                <w:szCs w:val="14"/>
              </w:rPr>
            </w:pPr>
            <w:r w:rsidRPr="0073051F">
              <w:rPr>
                <w:sz w:val="14"/>
                <w:szCs w:val="14"/>
              </w:rPr>
              <w:t>1,578,872</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661,567</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648,055</w:t>
            </w:r>
          </w:p>
        </w:tc>
      </w:tr>
      <w:tr w:rsidR="00E47DF9"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10,681,288</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15,564,236</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19,342,634</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19,012,543</w:t>
            </w: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19,235,698</w:t>
            </w:r>
          </w:p>
        </w:tc>
        <w:tc>
          <w:tcPr>
            <w:tcW w:w="720" w:type="dxa"/>
            <w:tcBorders>
              <w:top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19,681,077</w:t>
            </w:r>
          </w:p>
        </w:tc>
        <w:tc>
          <w:tcPr>
            <w:tcW w:w="900" w:type="dxa"/>
            <w:tcBorders>
              <w:top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20,226,033</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7,655,531</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10,099,077</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10,113,576</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10,935,764</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10,948,059</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11,120,622</w:t>
            </w:r>
          </w:p>
          <w:p w:rsidR="00E47DF9" w:rsidRPr="00C91306" w:rsidRDefault="00E47DF9" w:rsidP="00E47DF9">
            <w:pPr>
              <w:jc w:val="right"/>
              <w:rPr>
                <w:color w:val="auto"/>
                <w:sz w:val="14"/>
                <w:szCs w:val="14"/>
              </w:rPr>
            </w:pP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11,403,415</w:t>
            </w:r>
          </w:p>
          <w:p w:rsidR="00E47DF9" w:rsidRPr="00495995" w:rsidRDefault="00E47DF9" w:rsidP="00E47DF9">
            <w:pPr>
              <w:jc w:val="right"/>
              <w:rPr>
                <w:color w:val="auto"/>
                <w:sz w:val="14"/>
                <w:szCs w:val="14"/>
              </w:rPr>
            </w:pP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11,250,476</w:t>
            </w:r>
          </w:p>
          <w:p w:rsidR="00E47DF9" w:rsidRPr="00CA03D9" w:rsidRDefault="00E47DF9" w:rsidP="00E47DF9">
            <w:pPr>
              <w:jc w:val="right"/>
              <w:rPr>
                <w:color w:val="auto"/>
                <w:sz w:val="14"/>
                <w:szCs w:val="14"/>
              </w:rPr>
            </w:pPr>
          </w:p>
        </w:tc>
      </w:tr>
      <w:tr w:rsidR="00E47DF9"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8,202,328</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10,785,778</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11,626,941</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11,651,643</w:t>
            </w: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11,836,163</w:t>
            </w:r>
          </w:p>
        </w:tc>
        <w:tc>
          <w:tcPr>
            <w:tcW w:w="720" w:type="dxa"/>
            <w:tcBorders>
              <w:top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12,107,695</w:t>
            </w:r>
          </w:p>
        </w:tc>
        <w:tc>
          <w:tcPr>
            <w:tcW w:w="900" w:type="dxa"/>
            <w:tcBorders>
              <w:top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11,954,441</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(546,797)</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(672,201)</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(691,177)</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(703,584)</w:t>
            </w: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(715,541)</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(704,280)</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(703,966)</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567,753</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709,773</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812,162</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816,064</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823,054</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830,306</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833,619</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56,161</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109,781</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157,570</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173,778</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183,027</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212,874</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217,549</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950,083</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593BD0">
              <w:rPr>
                <w:sz w:val="14"/>
                <w:szCs w:val="14"/>
              </w:rPr>
              <w:t>1,170,987</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1,575,656</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1,602,160</w:t>
            </w: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1,945,820</w:t>
            </w:r>
          </w:p>
        </w:tc>
        <w:tc>
          <w:tcPr>
            <w:tcW w:w="720" w:type="dxa"/>
            <w:tcBorders>
              <w:top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1,751,157</w:t>
            </w:r>
          </w:p>
        </w:tc>
        <w:tc>
          <w:tcPr>
            <w:tcW w:w="900" w:type="dxa"/>
            <w:tcBorders>
              <w:top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1,695,681</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b/>
                <w:bCs/>
                <w:sz w:val="14"/>
                <w:szCs w:val="14"/>
              </w:rPr>
            </w:pPr>
            <w:r>
              <w:rPr>
                <w:b/>
                <w:bCs/>
                <w:sz w:val="14"/>
                <w:szCs w:val="14"/>
              </w:rPr>
              <w:t>22,375,037</w:t>
            </w:r>
          </w:p>
        </w:tc>
        <w:tc>
          <w:tcPr>
            <w:tcW w:w="720" w:type="dxa"/>
            <w:tcBorders>
              <w:top w:val="nil"/>
            </w:tcBorders>
            <w:shd w:val="clear" w:color="auto" w:fill="auto"/>
            <w:tcMar>
              <w:left w:w="43" w:type="dxa"/>
              <w:right w:w="43" w:type="dxa"/>
            </w:tcMar>
            <w:vAlign w:val="center"/>
          </w:tcPr>
          <w:p w:rsidR="00E47DF9" w:rsidRDefault="00E47DF9" w:rsidP="00E47DF9">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E47DF9" w:rsidRDefault="00E47DF9" w:rsidP="00E47DF9">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E47DF9" w:rsidRPr="007D78B8" w:rsidRDefault="00E47DF9" w:rsidP="00E47DF9">
            <w:pPr>
              <w:jc w:val="right"/>
              <w:rPr>
                <w:b/>
                <w:bCs/>
                <w:sz w:val="14"/>
                <w:szCs w:val="14"/>
              </w:rPr>
            </w:pPr>
            <w:r w:rsidRPr="00593BD0">
              <w:rPr>
                <w:b/>
                <w:bCs/>
                <w:sz w:val="14"/>
                <w:szCs w:val="14"/>
              </w:rPr>
              <w:t>30,475,606</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b/>
                <w:bCs/>
                <w:sz w:val="14"/>
                <w:szCs w:val="14"/>
              </w:rPr>
            </w:pPr>
            <w:r w:rsidRPr="00B713FF">
              <w:rPr>
                <w:b/>
                <w:bCs/>
                <w:sz w:val="14"/>
                <w:szCs w:val="14"/>
              </w:rPr>
              <w:t>35,694,645</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b/>
                <w:bCs/>
                <w:sz w:val="14"/>
                <w:szCs w:val="14"/>
              </w:rPr>
            </w:pPr>
            <w:r w:rsidRPr="0055489C">
              <w:rPr>
                <w:b/>
                <w:bCs/>
                <w:sz w:val="14"/>
                <w:szCs w:val="14"/>
              </w:rPr>
              <w:t>35,354,720</w:t>
            </w:r>
          </w:p>
        </w:tc>
        <w:tc>
          <w:tcPr>
            <w:tcW w:w="810" w:type="dxa"/>
            <w:shd w:val="clear" w:color="auto" w:fill="auto"/>
            <w:tcMar>
              <w:left w:w="43" w:type="dxa"/>
              <w:right w:w="43" w:type="dxa"/>
            </w:tcMar>
            <w:vAlign w:val="center"/>
          </w:tcPr>
          <w:p w:rsidR="00E47DF9" w:rsidRPr="007329EB" w:rsidRDefault="00E47DF9" w:rsidP="00E47DF9">
            <w:pPr>
              <w:jc w:val="right"/>
              <w:rPr>
                <w:b/>
                <w:bCs/>
                <w:color w:val="auto"/>
                <w:sz w:val="14"/>
                <w:szCs w:val="14"/>
              </w:rPr>
            </w:pPr>
            <w:r w:rsidRPr="00C91306">
              <w:rPr>
                <w:b/>
                <w:bCs/>
                <w:sz w:val="14"/>
                <w:szCs w:val="14"/>
              </w:rPr>
              <w:t>37,435,200</w:t>
            </w:r>
          </w:p>
        </w:tc>
        <w:tc>
          <w:tcPr>
            <w:tcW w:w="720" w:type="dxa"/>
            <w:shd w:val="clear" w:color="auto" w:fill="auto"/>
            <w:tcMar>
              <w:left w:w="43" w:type="dxa"/>
              <w:right w:w="43" w:type="dxa"/>
            </w:tcMar>
            <w:vAlign w:val="center"/>
          </w:tcPr>
          <w:p w:rsidR="00E47DF9" w:rsidRPr="00495995" w:rsidRDefault="00E47DF9" w:rsidP="00E47DF9">
            <w:pPr>
              <w:jc w:val="right"/>
              <w:rPr>
                <w:b/>
                <w:bCs/>
                <w:sz w:val="14"/>
                <w:szCs w:val="14"/>
              </w:rPr>
            </w:pPr>
            <w:r w:rsidRPr="00495995">
              <w:rPr>
                <w:b/>
                <w:bCs/>
                <w:sz w:val="14"/>
                <w:szCs w:val="14"/>
              </w:rPr>
              <w:t>37,648,479</w:t>
            </w:r>
          </w:p>
        </w:tc>
        <w:tc>
          <w:tcPr>
            <w:tcW w:w="900" w:type="dxa"/>
            <w:shd w:val="clear" w:color="auto" w:fill="auto"/>
            <w:tcMar>
              <w:left w:w="43" w:type="dxa"/>
              <w:right w:w="43" w:type="dxa"/>
            </w:tcMar>
            <w:vAlign w:val="center"/>
          </w:tcPr>
          <w:p w:rsidR="00E47DF9" w:rsidRPr="00CA03D9" w:rsidRDefault="00E47DF9" w:rsidP="00E47DF9">
            <w:pPr>
              <w:jc w:val="right"/>
              <w:rPr>
                <w:b/>
                <w:bCs/>
                <w:color w:val="auto"/>
                <w:sz w:val="14"/>
                <w:szCs w:val="14"/>
              </w:rPr>
            </w:pPr>
            <w:r w:rsidRPr="00CA03D9">
              <w:rPr>
                <w:b/>
                <w:bCs/>
                <w:sz w:val="14"/>
                <w:szCs w:val="14"/>
              </w:rPr>
              <w:t>37,797,948</w:t>
            </w:r>
          </w:p>
        </w:tc>
      </w:tr>
      <w:tr w:rsidR="00E47DF9"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47DF9" w:rsidRPr="00BD1D61" w:rsidRDefault="00E47DF9" w:rsidP="00E47DF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7DF9" w:rsidRPr="00BD1D61" w:rsidRDefault="00E47DF9" w:rsidP="00E47DF9">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E47DF9" w:rsidRPr="00BD1D61" w:rsidRDefault="00E47DF9" w:rsidP="00E47DF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55489C" w:rsidRDefault="00E47DF9" w:rsidP="00E47DF9">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47DF9" w:rsidRPr="00C91306" w:rsidRDefault="00E47DF9" w:rsidP="00E47DF9">
            <w:pPr>
              <w:jc w:val="right"/>
              <w:rPr>
                <w:sz w:val="14"/>
                <w:szCs w:val="14"/>
              </w:rPr>
            </w:pPr>
          </w:p>
        </w:tc>
        <w:tc>
          <w:tcPr>
            <w:tcW w:w="720" w:type="dxa"/>
            <w:tcBorders>
              <w:left w:val="nil"/>
              <w:bottom w:val="nil"/>
              <w:right w:val="nil"/>
            </w:tcBorders>
            <w:shd w:val="clear" w:color="auto" w:fill="auto"/>
            <w:tcMar>
              <w:left w:w="43" w:type="dxa"/>
              <w:right w:w="43" w:type="dxa"/>
            </w:tcMar>
            <w:vAlign w:val="center"/>
          </w:tcPr>
          <w:p w:rsidR="00E47DF9" w:rsidRPr="00495995" w:rsidRDefault="00E47DF9" w:rsidP="00E47DF9">
            <w:pPr>
              <w:jc w:val="right"/>
              <w:rPr>
                <w:sz w:val="14"/>
                <w:szCs w:val="14"/>
              </w:rPr>
            </w:pPr>
          </w:p>
        </w:tc>
        <w:tc>
          <w:tcPr>
            <w:tcW w:w="900" w:type="dxa"/>
            <w:tcBorders>
              <w:left w:val="nil"/>
              <w:bottom w:val="nil"/>
              <w:right w:val="nil"/>
            </w:tcBorders>
            <w:shd w:val="clear" w:color="auto" w:fill="auto"/>
            <w:tcMar>
              <w:left w:w="43" w:type="dxa"/>
              <w:right w:w="43" w:type="dxa"/>
            </w:tcMar>
            <w:vAlign w:val="center"/>
          </w:tcPr>
          <w:p w:rsidR="00E47DF9" w:rsidRPr="00CA03D9" w:rsidRDefault="00E47DF9" w:rsidP="00E47DF9">
            <w:pPr>
              <w:jc w:val="right"/>
              <w:rPr>
                <w:sz w:val="14"/>
                <w:szCs w:val="14"/>
              </w:rPr>
            </w:pP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hideMark/>
          </w:tcPr>
          <w:p w:rsidR="00E47DF9" w:rsidRPr="00BD1D61" w:rsidRDefault="00E47DF9" w:rsidP="00E47DF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E47DF9" w:rsidRPr="00BD1D61" w:rsidRDefault="00E47DF9" w:rsidP="00E47DF9">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E47DF9" w:rsidRPr="00BD1D61" w:rsidRDefault="00E47DF9" w:rsidP="00E47DF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55489C" w:rsidRDefault="00E47DF9" w:rsidP="00E47DF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E47DF9" w:rsidRPr="00C91306" w:rsidRDefault="00E47DF9" w:rsidP="00E47DF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E47DF9" w:rsidRPr="00495995" w:rsidRDefault="00E47DF9" w:rsidP="00E47DF9">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E47DF9" w:rsidRPr="00CA03D9" w:rsidRDefault="00E47DF9" w:rsidP="00E47DF9">
            <w:pPr>
              <w:jc w:val="right"/>
              <w:rPr>
                <w:sz w:val="14"/>
                <w:szCs w:val="14"/>
              </w:rPr>
            </w:pP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245,363</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360,486</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317,440</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311,656</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305,638</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316,604</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347,336</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2,865,768</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6,100,795</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8,931,973</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8,549,187</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9,333,948</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9,652,695</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9,181,112</w:t>
            </w:r>
          </w:p>
        </w:tc>
      </w:tr>
      <w:tr w:rsidR="00E47DF9"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16,229,036</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20,655,871</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22,439,444</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22,516,777</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23,562,304</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23,399,798</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23,765,781</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126,296</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132,379</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163,980</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163,980</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162,669</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167,768</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170,768</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2,134</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10,149</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10,245</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10,171</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12,687</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12,611</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12,575</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47,329</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5,851</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26,336</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35,106</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35,024</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38,798</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37,396</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964,493</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1,225,673</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1,592,645</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1,628,781</w:t>
            </w: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1,843,164</w:t>
            </w:r>
          </w:p>
        </w:tc>
        <w:tc>
          <w:tcPr>
            <w:tcW w:w="720" w:type="dxa"/>
            <w:tcBorders>
              <w:top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1,836,260</w:t>
            </w:r>
          </w:p>
        </w:tc>
        <w:tc>
          <w:tcPr>
            <w:tcW w:w="900" w:type="dxa"/>
            <w:tcBorders>
              <w:top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1,963,395</w:t>
            </w:r>
          </w:p>
        </w:tc>
      </w:tr>
      <w:tr w:rsidR="00E47DF9" w:rsidRPr="00266E16"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b/>
                <w:bCs/>
                <w:sz w:val="14"/>
                <w:szCs w:val="14"/>
              </w:rPr>
            </w:pPr>
            <w:r>
              <w:rPr>
                <w:b/>
                <w:bCs/>
                <w:sz w:val="14"/>
                <w:szCs w:val="14"/>
              </w:rPr>
              <w:t>20,480,420</w:t>
            </w:r>
          </w:p>
        </w:tc>
        <w:tc>
          <w:tcPr>
            <w:tcW w:w="720" w:type="dxa"/>
            <w:tcBorders>
              <w:top w:val="nil"/>
            </w:tcBorders>
            <w:shd w:val="clear" w:color="auto" w:fill="auto"/>
            <w:tcMar>
              <w:left w:w="43" w:type="dxa"/>
              <w:right w:w="43" w:type="dxa"/>
            </w:tcMar>
            <w:vAlign w:val="center"/>
          </w:tcPr>
          <w:p w:rsidR="00E47DF9" w:rsidRDefault="00E47DF9" w:rsidP="00E47DF9">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E47DF9" w:rsidRDefault="00E47DF9" w:rsidP="00E47DF9">
            <w:pPr>
              <w:jc w:val="right"/>
              <w:rPr>
                <w:b/>
                <w:bCs/>
                <w:sz w:val="14"/>
                <w:szCs w:val="14"/>
              </w:rPr>
            </w:pPr>
            <w:r w:rsidRPr="00266E16">
              <w:rPr>
                <w:b/>
                <w:bCs/>
                <w:sz w:val="14"/>
                <w:szCs w:val="14"/>
              </w:rPr>
              <w:t>30,027,234</w:t>
            </w:r>
          </w:p>
        </w:tc>
        <w:tc>
          <w:tcPr>
            <w:tcW w:w="810" w:type="dxa"/>
            <w:tcBorders>
              <w:top w:val="nil"/>
              <w:left w:val="nil"/>
              <w:bottom w:val="nil"/>
              <w:right w:val="nil"/>
            </w:tcBorders>
            <w:shd w:val="clear" w:color="auto" w:fill="auto"/>
            <w:tcMar>
              <w:left w:w="43" w:type="dxa"/>
              <w:right w:w="43" w:type="dxa"/>
            </w:tcMar>
            <w:vAlign w:val="center"/>
          </w:tcPr>
          <w:p w:rsidR="00E47DF9" w:rsidRPr="007D78B8" w:rsidRDefault="00E47DF9" w:rsidP="00E47DF9">
            <w:pPr>
              <w:jc w:val="right"/>
              <w:rPr>
                <w:b/>
                <w:bCs/>
                <w:sz w:val="14"/>
                <w:szCs w:val="14"/>
              </w:rPr>
            </w:pPr>
            <w:r w:rsidRPr="00A47D3A">
              <w:rPr>
                <w:b/>
                <w:bCs/>
                <w:sz w:val="14"/>
                <w:szCs w:val="14"/>
              </w:rPr>
              <w:t>28,491,203</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b/>
                <w:bCs/>
                <w:sz w:val="14"/>
                <w:szCs w:val="14"/>
              </w:rPr>
            </w:pPr>
            <w:r w:rsidRPr="00B713FF">
              <w:rPr>
                <w:b/>
                <w:bCs/>
                <w:sz w:val="14"/>
                <w:szCs w:val="14"/>
              </w:rPr>
              <w:t>33,482,062</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b/>
                <w:bCs/>
                <w:sz w:val="14"/>
                <w:szCs w:val="14"/>
              </w:rPr>
            </w:pPr>
            <w:r w:rsidRPr="0055489C">
              <w:rPr>
                <w:b/>
                <w:bCs/>
                <w:sz w:val="14"/>
                <w:szCs w:val="14"/>
              </w:rPr>
              <w:t>33,215,659</w:t>
            </w:r>
          </w:p>
        </w:tc>
        <w:tc>
          <w:tcPr>
            <w:tcW w:w="810" w:type="dxa"/>
            <w:shd w:val="clear" w:color="auto" w:fill="auto"/>
            <w:tcMar>
              <w:left w:w="43" w:type="dxa"/>
              <w:right w:w="43" w:type="dxa"/>
            </w:tcMar>
            <w:vAlign w:val="center"/>
          </w:tcPr>
          <w:p w:rsidR="00E47DF9" w:rsidRPr="00C91306" w:rsidRDefault="00E47DF9" w:rsidP="00E47DF9">
            <w:pPr>
              <w:jc w:val="right"/>
              <w:rPr>
                <w:b/>
                <w:bCs/>
                <w:color w:val="auto"/>
                <w:sz w:val="14"/>
                <w:szCs w:val="14"/>
              </w:rPr>
            </w:pPr>
            <w:r w:rsidRPr="00C91306">
              <w:rPr>
                <w:b/>
                <w:bCs/>
                <w:sz w:val="14"/>
                <w:szCs w:val="14"/>
              </w:rPr>
              <w:t>35,255,433</w:t>
            </w:r>
          </w:p>
        </w:tc>
        <w:tc>
          <w:tcPr>
            <w:tcW w:w="720" w:type="dxa"/>
            <w:tcBorders>
              <w:top w:val="nil"/>
            </w:tcBorders>
            <w:shd w:val="clear" w:color="auto" w:fill="auto"/>
            <w:tcMar>
              <w:left w:w="43" w:type="dxa"/>
              <w:right w:w="43" w:type="dxa"/>
            </w:tcMar>
            <w:vAlign w:val="center"/>
          </w:tcPr>
          <w:p w:rsidR="00E47DF9" w:rsidRPr="00495995" w:rsidRDefault="00E47DF9" w:rsidP="00E47DF9">
            <w:pPr>
              <w:jc w:val="right"/>
              <w:rPr>
                <w:b/>
                <w:bCs/>
                <w:sz w:val="14"/>
                <w:szCs w:val="14"/>
              </w:rPr>
            </w:pPr>
            <w:r w:rsidRPr="00495995">
              <w:rPr>
                <w:b/>
                <w:bCs/>
                <w:sz w:val="14"/>
                <w:szCs w:val="14"/>
              </w:rPr>
              <w:t>35,424,534</w:t>
            </w:r>
          </w:p>
        </w:tc>
        <w:tc>
          <w:tcPr>
            <w:tcW w:w="900" w:type="dxa"/>
            <w:tcBorders>
              <w:top w:val="nil"/>
            </w:tcBorders>
            <w:shd w:val="clear" w:color="auto" w:fill="auto"/>
            <w:tcMar>
              <w:left w:w="43" w:type="dxa"/>
              <w:right w:w="43" w:type="dxa"/>
            </w:tcMar>
            <w:vAlign w:val="center"/>
          </w:tcPr>
          <w:p w:rsidR="00E47DF9" w:rsidRPr="00CA03D9" w:rsidRDefault="00E47DF9" w:rsidP="00E47DF9">
            <w:pPr>
              <w:jc w:val="right"/>
              <w:rPr>
                <w:b/>
                <w:bCs/>
                <w:color w:val="auto"/>
                <w:sz w:val="14"/>
                <w:szCs w:val="14"/>
              </w:rPr>
            </w:pPr>
            <w:r w:rsidRPr="00CA03D9">
              <w:rPr>
                <w:b/>
                <w:bCs/>
                <w:sz w:val="14"/>
                <w:szCs w:val="14"/>
              </w:rPr>
              <w:t>35,478,363</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rFonts w:ascii="Calibri" w:hAnsi="Calibri"/>
                <w:sz w:val="22"/>
                <w:szCs w:val="22"/>
              </w:rPr>
            </w:pP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b/>
                <w:bCs/>
                <w:sz w:val="14"/>
                <w:szCs w:val="14"/>
              </w:rPr>
            </w:pPr>
          </w:p>
        </w:tc>
        <w:tc>
          <w:tcPr>
            <w:tcW w:w="720" w:type="dxa"/>
            <w:tcBorders>
              <w:top w:val="nil"/>
            </w:tcBorders>
            <w:shd w:val="clear" w:color="auto" w:fill="auto"/>
            <w:tcMar>
              <w:left w:w="43" w:type="dxa"/>
              <w:right w:w="43" w:type="dxa"/>
            </w:tcMar>
            <w:vAlign w:val="center"/>
          </w:tcPr>
          <w:p w:rsidR="00E47DF9" w:rsidRDefault="00E47DF9" w:rsidP="00E47DF9">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E47DF9" w:rsidRDefault="00E47DF9" w:rsidP="00E47DF9">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E47DF9" w:rsidRPr="007D78B8"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b/>
                <w:bCs/>
                <w:sz w:val="14"/>
                <w:szCs w:val="14"/>
              </w:rPr>
            </w:pP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b/>
                <w:bCs/>
                <w:sz w:val="14"/>
                <w:szCs w:val="14"/>
              </w:rPr>
            </w:pP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b/>
                <w:bCs/>
                <w:sz w:val="14"/>
                <w:szCs w:val="14"/>
              </w:rPr>
            </w:pPr>
          </w:p>
        </w:tc>
        <w:tc>
          <w:tcPr>
            <w:tcW w:w="720" w:type="dxa"/>
            <w:tcMar>
              <w:left w:w="43" w:type="dxa"/>
              <w:right w:w="43" w:type="dxa"/>
            </w:tcMar>
            <w:vAlign w:val="center"/>
          </w:tcPr>
          <w:p w:rsidR="00E47DF9" w:rsidRPr="00495995" w:rsidRDefault="00E47DF9" w:rsidP="00E47DF9">
            <w:pPr>
              <w:jc w:val="right"/>
              <w:rPr>
                <w:b/>
                <w:bCs/>
                <w:sz w:val="14"/>
                <w:szCs w:val="14"/>
              </w:rPr>
            </w:pPr>
          </w:p>
        </w:tc>
        <w:tc>
          <w:tcPr>
            <w:tcW w:w="900" w:type="dxa"/>
            <w:tcMar>
              <w:left w:w="43" w:type="dxa"/>
              <w:right w:w="43" w:type="dxa"/>
            </w:tcMar>
            <w:vAlign w:val="center"/>
          </w:tcPr>
          <w:p w:rsidR="00E47DF9" w:rsidRPr="00CA03D9" w:rsidRDefault="00E47DF9" w:rsidP="00E47DF9">
            <w:pPr>
              <w:jc w:val="right"/>
              <w:rPr>
                <w:b/>
                <w:bCs/>
                <w:sz w:val="14"/>
                <w:szCs w:val="14"/>
              </w:rPr>
            </w:pP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hideMark/>
          </w:tcPr>
          <w:p w:rsidR="00E47DF9" w:rsidRDefault="00E47DF9" w:rsidP="00E47DF9">
            <w:pPr>
              <w:jc w:val="right"/>
              <w:rPr>
                <w:b/>
                <w:bCs/>
                <w:sz w:val="14"/>
                <w:szCs w:val="14"/>
              </w:rPr>
            </w:pPr>
            <w:r>
              <w:rPr>
                <w:b/>
                <w:bCs/>
                <w:sz w:val="14"/>
                <w:szCs w:val="14"/>
              </w:rPr>
              <w:t>1,894,617</w:t>
            </w:r>
          </w:p>
        </w:tc>
        <w:tc>
          <w:tcPr>
            <w:tcW w:w="72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E47DF9" w:rsidRPr="007D78B8" w:rsidRDefault="00E47DF9" w:rsidP="00E47DF9">
            <w:pPr>
              <w:jc w:val="right"/>
              <w:rPr>
                <w:b/>
                <w:bCs/>
                <w:sz w:val="14"/>
                <w:szCs w:val="14"/>
              </w:rPr>
            </w:pPr>
            <w:r w:rsidRPr="00A47D3A">
              <w:rPr>
                <w:b/>
                <w:bCs/>
                <w:sz w:val="14"/>
                <w:szCs w:val="14"/>
              </w:rPr>
              <w:t>1,984,403</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b/>
                <w:bCs/>
                <w:sz w:val="14"/>
                <w:szCs w:val="14"/>
              </w:rPr>
            </w:pPr>
            <w:r w:rsidRPr="00B713FF">
              <w:rPr>
                <w:b/>
                <w:bCs/>
                <w:sz w:val="14"/>
                <w:szCs w:val="14"/>
              </w:rPr>
              <w:t>2,212,583</w:t>
            </w:r>
          </w:p>
        </w:tc>
        <w:tc>
          <w:tcPr>
            <w:tcW w:w="720" w:type="dxa"/>
            <w:tcBorders>
              <w:top w:val="nil"/>
              <w:left w:val="nil"/>
              <w:bottom w:val="nil"/>
              <w:right w:val="nil"/>
            </w:tcBorders>
            <w:shd w:val="clear" w:color="auto" w:fill="auto"/>
            <w:tcMar>
              <w:left w:w="43" w:type="dxa"/>
              <w:right w:w="43" w:type="dxa"/>
            </w:tcMar>
            <w:vAlign w:val="center"/>
          </w:tcPr>
          <w:p w:rsidR="00E47DF9" w:rsidRPr="0055489C" w:rsidRDefault="00E47DF9" w:rsidP="00E47DF9">
            <w:pPr>
              <w:jc w:val="right"/>
              <w:rPr>
                <w:b/>
                <w:bCs/>
                <w:color w:val="auto"/>
                <w:sz w:val="14"/>
                <w:szCs w:val="14"/>
              </w:rPr>
            </w:pPr>
            <w:r w:rsidRPr="0055489C">
              <w:rPr>
                <w:b/>
                <w:bCs/>
                <w:sz w:val="14"/>
                <w:szCs w:val="14"/>
              </w:rPr>
              <w:t>2,139,061</w:t>
            </w:r>
          </w:p>
        </w:tc>
        <w:tc>
          <w:tcPr>
            <w:tcW w:w="810" w:type="dxa"/>
            <w:tcBorders>
              <w:top w:val="nil"/>
              <w:left w:val="nil"/>
              <w:bottom w:val="nil"/>
            </w:tcBorders>
            <w:shd w:val="clear" w:color="auto" w:fill="auto"/>
            <w:tcMar>
              <w:left w:w="43" w:type="dxa"/>
              <w:right w:w="43" w:type="dxa"/>
            </w:tcMar>
            <w:vAlign w:val="center"/>
          </w:tcPr>
          <w:p w:rsidR="00E47DF9" w:rsidRPr="00C91306" w:rsidRDefault="00E47DF9" w:rsidP="00E47DF9">
            <w:pPr>
              <w:jc w:val="right"/>
              <w:rPr>
                <w:b/>
                <w:bCs/>
                <w:color w:val="auto"/>
                <w:sz w:val="14"/>
                <w:szCs w:val="14"/>
              </w:rPr>
            </w:pPr>
            <w:r w:rsidRPr="00C91306">
              <w:rPr>
                <w:b/>
                <w:bCs/>
                <w:sz w:val="14"/>
                <w:szCs w:val="14"/>
              </w:rPr>
              <w:t>2,179,767</w:t>
            </w:r>
          </w:p>
        </w:tc>
        <w:tc>
          <w:tcPr>
            <w:tcW w:w="720" w:type="dxa"/>
            <w:shd w:val="clear" w:color="auto" w:fill="auto"/>
            <w:tcMar>
              <w:left w:w="43" w:type="dxa"/>
              <w:right w:w="43" w:type="dxa"/>
            </w:tcMar>
            <w:vAlign w:val="center"/>
          </w:tcPr>
          <w:p w:rsidR="00E47DF9" w:rsidRPr="00495995" w:rsidRDefault="00E47DF9" w:rsidP="00E47DF9">
            <w:pPr>
              <w:jc w:val="right"/>
              <w:rPr>
                <w:b/>
                <w:bCs/>
                <w:color w:val="auto"/>
                <w:sz w:val="14"/>
                <w:szCs w:val="14"/>
              </w:rPr>
            </w:pPr>
            <w:r w:rsidRPr="00495995">
              <w:rPr>
                <w:b/>
                <w:bCs/>
                <w:sz w:val="14"/>
                <w:szCs w:val="14"/>
              </w:rPr>
              <w:t>2,223,945</w:t>
            </w:r>
          </w:p>
        </w:tc>
        <w:tc>
          <w:tcPr>
            <w:tcW w:w="900" w:type="dxa"/>
            <w:shd w:val="clear" w:color="auto" w:fill="auto"/>
            <w:tcMar>
              <w:left w:w="43" w:type="dxa"/>
              <w:right w:w="43" w:type="dxa"/>
            </w:tcMar>
            <w:vAlign w:val="center"/>
          </w:tcPr>
          <w:p w:rsidR="00E47DF9" w:rsidRPr="00CA03D9" w:rsidRDefault="00E47DF9" w:rsidP="00E47DF9">
            <w:pPr>
              <w:jc w:val="right"/>
              <w:rPr>
                <w:b/>
                <w:bCs/>
                <w:color w:val="auto"/>
                <w:sz w:val="14"/>
                <w:szCs w:val="14"/>
              </w:rPr>
            </w:pPr>
            <w:r w:rsidRPr="00CA03D9">
              <w:rPr>
                <w:b/>
                <w:bCs/>
                <w:sz w:val="14"/>
                <w:szCs w:val="14"/>
              </w:rPr>
              <w:t>2,319,586</w:t>
            </w:r>
          </w:p>
        </w:tc>
      </w:tr>
      <w:tr w:rsidR="00E47DF9"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47DF9" w:rsidRDefault="00E47DF9" w:rsidP="00E47DF9">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E47DF9" w:rsidRPr="007D78B8"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55489C" w:rsidRDefault="00E47DF9" w:rsidP="00E47DF9">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47DF9" w:rsidRPr="00C91306"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495995" w:rsidRDefault="00E47DF9" w:rsidP="00E47DF9">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47DF9" w:rsidRPr="00CA03D9" w:rsidRDefault="00E47DF9" w:rsidP="00E47DF9">
            <w:pPr>
              <w:jc w:val="right"/>
              <w:rPr>
                <w:sz w:val="14"/>
                <w:szCs w:val="14"/>
              </w:rPr>
            </w:pP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hideMark/>
          </w:tcPr>
          <w:p w:rsidR="00E47DF9" w:rsidRDefault="00E47DF9" w:rsidP="00E47DF9">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E47DF9" w:rsidRDefault="00E47DF9" w:rsidP="00E47DF9">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E47DF9" w:rsidRPr="007D78B8"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47DF9" w:rsidRPr="0055489C" w:rsidRDefault="00E47DF9" w:rsidP="00E47DF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E47DF9" w:rsidRPr="00C91306" w:rsidRDefault="00E47DF9" w:rsidP="00E47DF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E47DF9" w:rsidRPr="00495995" w:rsidRDefault="00E47DF9" w:rsidP="00E47DF9">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E47DF9" w:rsidRPr="00CA03D9" w:rsidRDefault="00E47DF9" w:rsidP="00E47DF9">
            <w:pPr>
              <w:jc w:val="right"/>
              <w:rPr>
                <w:sz w:val="14"/>
                <w:szCs w:val="14"/>
              </w:rPr>
            </w:pP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556,465</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579,293</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602,662</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602,139</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606,789</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618,981</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613,363</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357,675</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432,029</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480,028</w:t>
            </w:r>
          </w:p>
        </w:tc>
        <w:tc>
          <w:tcPr>
            <w:tcW w:w="720" w:type="dxa"/>
            <w:tcBorders>
              <w:top w:val="nil"/>
              <w:bottom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483,457</w:t>
            </w:r>
          </w:p>
        </w:tc>
        <w:tc>
          <w:tcPr>
            <w:tcW w:w="810" w:type="dxa"/>
            <w:tcBorders>
              <w:top w:val="nil"/>
              <w:bottom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519,689</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535,417</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569,501</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618,864</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818,989</w:t>
            </w:r>
          </w:p>
        </w:tc>
        <w:tc>
          <w:tcPr>
            <w:tcW w:w="720" w:type="dxa"/>
            <w:tcBorders>
              <w:top w:val="nil"/>
              <w:left w:val="nil"/>
              <w:bottom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1,046,904</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sz w:val="14"/>
                <w:szCs w:val="14"/>
              </w:rPr>
            </w:pPr>
            <w:r w:rsidRPr="0055489C">
              <w:rPr>
                <w:sz w:val="14"/>
                <w:szCs w:val="14"/>
              </w:rPr>
              <w:t>1,075,976</w:t>
            </w: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sz w:val="14"/>
                <w:szCs w:val="14"/>
              </w:rPr>
            </w:pPr>
            <w:r w:rsidRPr="00C91306">
              <w:rPr>
                <w:sz w:val="14"/>
                <w:szCs w:val="14"/>
              </w:rPr>
              <w:t>1,004,589</w:t>
            </w:r>
          </w:p>
        </w:tc>
        <w:tc>
          <w:tcPr>
            <w:tcW w:w="720" w:type="dxa"/>
            <w:tcBorders>
              <w:top w:val="nil"/>
              <w:bottom w:val="nil"/>
            </w:tcBorders>
            <w:shd w:val="clear" w:color="auto" w:fill="auto"/>
            <w:tcMar>
              <w:left w:w="43" w:type="dxa"/>
              <w:right w:w="43" w:type="dxa"/>
            </w:tcMar>
            <w:vAlign w:val="center"/>
          </w:tcPr>
          <w:p w:rsidR="00E47DF9" w:rsidRPr="00495995" w:rsidRDefault="00E47DF9" w:rsidP="00E47DF9">
            <w:pPr>
              <w:jc w:val="right"/>
              <w:rPr>
                <w:sz w:val="14"/>
                <w:szCs w:val="14"/>
              </w:rPr>
            </w:pPr>
            <w:r w:rsidRPr="00495995">
              <w:rPr>
                <w:sz w:val="14"/>
                <w:szCs w:val="14"/>
              </w:rPr>
              <w:t>1,048,810</w:t>
            </w:r>
          </w:p>
        </w:tc>
        <w:tc>
          <w:tcPr>
            <w:tcW w:w="900" w:type="dxa"/>
            <w:tcBorders>
              <w:top w:val="nil"/>
              <w:bottom w:val="nil"/>
            </w:tcBorders>
            <w:shd w:val="clear" w:color="auto" w:fill="auto"/>
            <w:tcMar>
              <w:left w:w="43" w:type="dxa"/>
              <w:right w:w="43" w:type="dxa"/>
            </w:tcMar>
            <w:vAlign w:val="center"/>
          </w:tcPr>
          <w:p w:rsidR="00E47DF9" w:rsidRPr="00CA03D9" w:rsidRDefault="00E47DF9" w:rsidP="00E47DF9">
            <w:pPr>
              <w:jc w:val="right"/>
              <w:rPr>
                <w:sz w:val="14"/>
                <w:szCs w:val="14"/>
              </w:rPr>
            </w:pPr>
            <w:r w:rsidRPr="00CA03D9">
              <w:rPr>
                <w:sz w:val="14"/>
                <w:szCs w:val="14"/>
              </w:rPr>
              <w:t>1,090,014</w:t>
            </w:r>
          </w:p>
        </w:tc>
      </w:tr>
      <w:tr w:rsidR="00E47DF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47DF9" w:rsidRPr="00B34F49" w:rsidRDefault="00E47DF9" w:rsidP="00E47DF9">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hideMark/>
          </w:tcPr>
          <w:p w:rsidR="00E47DF9" w:rsidRDefault="00E47DF9" w:rsidP="00E47DF9">
            <w:pPr>
              <w:jc w:val="right"/>
              <w:rPr>
                <w:sz w:val="14"/>
                <w:szCs w:val="14"/>
              </w:rPr>
            </w:pPr>
            <w:r>
              <w:rPr>
                <w:sz w:val="14"/>
                <w:szCs w:val="14"/>
              </w:rPr>
              <w:t>361,613</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E47DF9" w:rsidRDefault="00E47DF9" w:rsidP="00E47DF9">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E47DF9" w:rsidRDefault="00E47DF9" w:rsidP="00E47DF9">
            <w:pPr>
              <w:jc w:val="right"/>
              <w:rPr>
                <w:sz w:val="14"/>
                <w:szCs w:val="14"/>
              </w:rPr>
            </w:pPr>
            <w:r w:rsidRPr="00A47D3A">
              <w:rPr>
                <w:sz w:val="14"/>
                <w:szCs w:val="14"/>
              </w:rPr>
              <w:t>154,091</w:t>
            </w:r>
          </w:p>
        </w:tc>
        <w:tc>
          <w:tcPr>
            <w:tcW w:w="720" w:type="dxa"/>
            <w:tcBorders>
              <w:top w:val="nil"/>
              <w:left w:val="nil"/>
              <w:right w:val="nil"/>
            </w:tcBorders>
            <w:shd w:val="clear" w:color="auto" w:fill="auto"/>
            <w:tcMar>
              <w:left w:w="43" w:type="dxa"/>
              <w:right w:w="43" w:type="dxa"/>
            </w:tcMar>
            <w:vAlign w:val="center"/>
          </w:tcPr>
          <w:p w:rsidR="00E47DF9" w:rsidRPr="00B713FF" w:rsidRDefault="00E47DF9" w:rsidP="00E47DF9">
            <w:pPr>
              <w:jc w:val="right"/>
              <w:rPr>
                <w:sz w:val="14"/>
                <w:szCs w:val="14"/>
              </w:rPr>
            </w:pPr>
            <w:r w:rsidRPr="00B713FF">
              <w:rPr>
                <w:sz w:val="14"/>
                <w:szCs w:val="14"/>
              </w:rPr>
              <w:t>82,989</w:t>
            </w:r>
          </w:p>
        </w:tc>
        <w:tc>
          <w:tcPr>
            <w:tcW w:w="720" w:type="dxa"/>
            <w:tcBorders>
              <w:top w:val="nil"/>
            </w:tcBorders>
            <w:shd w:val="clear" w:color="auto" w:fill="auto"/>
            <w:tcMar>
              <w:left w:w="43" w:type="dxa"/>
              <w:right w:w="43" w:type="dxa"/>
            </w:tcMar>
            <w:vAlign w:val="center"/>
          </w:tcPr>
          <w:p w:rsidR="00E47DF9" w:rsidRPr="0055489C" w:rsidRDefault="00E47DF9" w:rsidP="00E47DF9">
            <w:pPr>
              <w:jc w:val="right"/>
              <w:rPr>
                <w:color w:val="auto"/>
                <w:sz w:val="14"/>
                <w:szCs w:val="14"/>
              </w:rPr>
            </w:pPr>
            <w:r w:rsidRPr="0055489C">
              <w:rPr>
                <w:sz w:val="14"/>
                <w:szCs w:val="14"/>
              </w:rPr>
              <w:t>(22,511)</w:t>
            </w:r>
          </w:p>
        </w:tc>
        <w:tc>
          <w:tcPr>
            <w:tcW w:w="810" w:type="dxa"/>
            <w:tcBorders>
              <w:top w:val="nil"/>
            </w:tcBorders>
            <w:shd w:val="clear" w:color="auto" w:fill="auto"/>
            <w:tcMar>
              <w:left w:w="43" w:type="dxa"/>
              <w:right w:w="43" w:type="dxa"/>
            </w:tcMar>
            <w:vAlign w:val="center"/>
          </w:tcPr>
          <w:p w:rsidR="00E47DF9" w:rsidRPr="00C91306" w:rsidRDefault="00E47DF9" w:rsidP="00E47DF9">
            <w:pPr>
              <w:jc w:val="right"/>
              <w:rPr>
                <w:color w:val="auto"/>
                <w:sz w:val="14"/>
                <w:szCs w:val="14"/>
              </w:rPr>
            </w:pPr>
            <w:r w:rsidRPr="00C91306">
              <w:rPr>
                <w:sz w:val="14"/>
                <w:szCs w:val="14"/>
              </w:rPr>
              <w:t>48,700</w:t>
            </w:r>
          </w:p>
        </w:tc>
        <w:tc>
          <w:tcPr>
            <w:tcW w:w="720" w:type="dxa"/>
            <w:tcBorders>
              <w:top w:val="nil"/>
            </w:tcBorders>
            <w:shd w:val="clear" w:color="auto" w:fill="auto"/>
            <w:tcMar>
              <w:left w:w="43" w:type="dxa"/>
              <w:right w:w="43" w:type="dxa"/>
            </w:tcMar>
            <w:vAlign w:val="center"/>
          </w:tcPr>
          <w:p w:rsidR="00E47DF9" w:rsidRPr="00495995" w:rsidRDefault="00E47DF9" w:rsidP="00E47DF9">
            <w:pPr>
              <w:jc w:val="right"/>
              <w:rPr>
                <w:color w:val="auto"/>
                <w:sz w:val="14"/>
                <w:szCs w:val="14"/>
              </w:rPr>
            </w:pPr>
            <w:r w:rsidRPr="00495995">
              <w:rPr>
                <w:sz w:val="14"/>
                <w:szCs w:val="14"/>
              </w:rPr>
              <w:t>20,737</w:t>
            </w:r>
          </w:p>
        </w:tc>
        <w:tc>
          <w:tcPr>
            <w:tcW w:w="900" w:type="dxa"/>
            <w:tcBorders>
              <w:top w:val="nil"/>
            </w:tcBorders>
            <w:shd w:val="clear" w:color="auto" w:fill="auto"/>
            <w:tcMar>
              <w:left w:w="43" w:type="dxa"/>
              <w:right w:w="43" w:type="dxa"/>
            </w:tcMar>
            <w:vAlign w:val="center"/>
          </w:tcPr>
          <w:p w:rsidR="00E47DF9" w:rsidRPr="00CA03D9" w:rsidRDefault="00E47DF9" w:rsidP="00E47DF9">
            <w:pPr>
              <w:jc w:val="right"/>
              <w:rPr>
                <w:color w:val="auto"/>
                <w:sz w:val="14"/>
                <w:szCs w:val="14"/>
              </w:rPr>
            </w:pPr>
            <w:r w:rsidRPr="00CA03D9">
              <w:rPr>
                <w:sz w:val="14"/>
                <w:szCs w:val="14"/>
              </w:rPr>
              <w:t>46,708</w:t>
            </w:r>
          </w:p>
          <w:p w:rsidR="00E47DF9" w:rsidRPr="00CA03D9" w:rsidRDefault="00E47DF9" w:rsidP="00E47DF9">
            <w:pPr>
              <w:jc w:val="right"/>
              <w:rPr>
                <w:color w:val="auto"/>
                <w:sz w:val="14"/>
                <w:szCs w:val="14"/>
              </w:rPr>
            </w:pPr>
          </w:p>
        </w:tc>
      </w:tr>
      <w:tr w:rsidR="00E47DF9" w:rsidRPr="00B34F49" w:rsidTr="00063E4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E47DF9" w:rsidRPr="00B34F49" w:rsidRDefault="00E47DF9" w:rsidP="00E47DF9">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hideMark/>
          </w:tcPr>
          <w:p w:rsidR="00E47DF9" w:rsidRDefault="00E47DF9" w:rsidP="00E47DF9">
            <w:pPr>
              <w:jc w:val="right"/>
              <w:rPr>
                <w:b/>
                <w:bCs/>
                <w:sz w:val="14"/>
                <w:szCs w:val="14"/>
              </w:rPr>
            </w:pPr>
            <w:r>
              <w:rPr>
                <w:b/>
                <w:bCs/>
                <w:sz w:val="14"/>
                <w:szCs w:val="14"/>
              </w:rPr>
              <w:t>1,894,617</w:t>
            </w:r>
          </w:p>
        </w:tc>
        <w:tc>
          <w:tcPr>
            <w:tcW w:w="720" w:type="dxa"/>
            <w:tcBorders>
              <w:top w:val="nil"/>
              <w:bottom w:val="single" w:sz="12" w:space="0" w:color="auto"/>
            </w:tcBorders>
            <w:shd w:val="clear" w:color="auto" w:fill="auto"/>
            <w:tcMar>
              <w:left w:w="43" w:type="dxa"/>
              <w:right w:w="43" w:type="dxa"/>
            </w:tcMar>
            <w:vAlign w:val="center"/>
          </w:tcPr>
          <w:p w:rsidR="00E47DF9" w:rsidRDefault="00E47DF9" w:rsidP="00E47DF9">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E47DF9" w:rsidRDefault="00E47DF9" w:rsidP="00E47DF9">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7DF9" w:rsidRPr="007D78B8" w:rsidRDefault="00E47DF9" w:rsidP="00E47DF9">
            <w:pPr>
              <w:jc w:val="right"/>
              <w:rPr>
                <w:b/>
                <w:bCs/>
                <w:sz w:val="14"/>
                <w:szCs w:val="14"/>
              </w:rPr>
            </w:pPr>
            <w:r w:rsidRPr="002158F5">
              <w:rPr>
                <w:b/>
                <w:bCs/>
                <w:sz w:val="14"/>
                <w:szCs w:val="14"/>
              </w:rPr>
              <w:t>1,984,403</w:t>
            </w:r>
          </w:p>
        </w:tc>
        <w:tc>
          <w:tcPr>
            <w:tcW w:w="720" w:type="dxa"/>
            <w:tcBorders>
              <w:top w:val="nil"/>
              <w:left w:val="nil"/>
              <w:bottom w:val="single" w:sz="12" w:space="0" w:color="auto"/>
              <w:right w:val="nil"/>
            </w:tcBorders>
            <w:shd w:val="clear" w:color="auto" w:fill="auto"/>
            <w:tcMar>
              <w:left w:w="43" w:type="dxa"/>
              <w:right w:w="43" w:type="dxa"/>
            </w:tcMar>
            <w:vAlign w:val="center"/>
          </w:tcPr>
          <w:p w:rsidR="00E47DF9" w:rsidRPr="00B713FF" w:rsidRDefault="00E47DF9" w:rsidP="00E47DF9">
            <w:pPr>
              <w:jc w:val="right"/>
              <w:rPr>
                <w:b/>
                <w:bCs/>
                <w:sz w:val="14"/>
                <w:szCs w:val="14"/>
              </w:rPr>
            </w:pPr>
            <w:r w:rsidRPr="00B713FF">
              <w:rPr>
                <w:b/>
                <w:bCs/>
                <w:sz w:val="14"/>
                <w:szCs w:val="14"/>
              </w:rPr>
              <w:t>2,212,583</w:t>
            </w:r>
          </w:p>
        </w:tc>
        <w:tc>
          <w:tcPr>
            <w:tcW w:w="720" w:type="dxa"/>
            <w:tcBorders>
              <w:top w:val="nil"/>
              <w:bottom w:val="single" w:sz="12" w:space="0" w:color="auto"/>
            </w:tcBorders>
            <w:shd w:val="clear" w:color="auto" w:fill="auto"/>
            <w:tcMar>
              <w:left w:w="43" w:type="dxa"/>
              <w:right w:w="43" w:type="dxa"/>
            </w:tcMar>
            <w:vAlign w:val="center"/>
          </w:tcPr>
          <w:p w:rsidR="00E47DF9" w:rsidRPr="0055489C" w:rsidRDefault="00E47DF9" w:rsidP="00E47DF9">
            <w:pPr>
              <w:jc w:val="right"/>
              <w:rPr>
                <w:b/>
                <w:bCs/>
                <w:color w:val="auto"/>
                <w:sz w:val="14"/>
                <w:szCs w:val="14"/>
              </w:rPr>
            </w:pPr>
            <w:r w:rsidRPr="0055489C">
              <w:rPr>
                <w:b/>
                <w:bCs/>
                <w:sz w:val="14"/>
                <w:szCs w:val="14"/>
              </w:rPr>
              <w:t>2,139,061</w:t>
            </w:r>
          </w:p>
        </w:tc>
        <w:tc>
          <w:tcPr>
            <w:tcW w:w="810" w:type="dxa"/>
            <w:tcBorders>
              <w:top w:val="nil"/>
              <w:bottom w:val="single" w:sz="12" w:space="0" w:color="auto"/>
            </w:tcBorders>
            <w:shd w:val="clear" w:color="auto" w:fill="auto"/>
            <w:tcMar>
              <w:left w:w="43" w:type="dxa"/>
              <w:right w:w="43" w:type="dxa"/>
            </w:tcMar>
            <w:vAlign w:val="center"/>
          </w:tcPr>
          <w:p w:rsidR="00E47DF9" w:rsidRPr="00C91306" w:rsidRDefault="00E47DF9" w:rsidP="00E47DF9">
            <w:pPr>
              <w:jc w:val="right"/>
              <w:rPr>
                <w:b/>
                <w:bCs/>
                <w:sz w:val="14"/>
                <w:szCs w:val="14"/>
              </w:rPr>
            </w:pPr>
            <w:r w:rsidRPr="00C91306">
              <w:rPr>
                <w:b/>
                <w:bCs/>
                <w:sz w:val="14"/>
                <w:szCs w:val="14"/>
              </w:rPr>
              <w:t>2,179,767</w:t>
            </w:r>
          </w:p>
        </w:tc>
        <w:tc>
          <w:tcPr>
            <w:tcW w:w="720" w:type="dxa"/>
            <w:tcBorders>
              <w:left w:val="nil"/>
              <w:bottom w:val="single" w:sz="12" w:space="0" w:color="auto"/>
            </w:tcBorders>
            <w:shd w:val="clear" w:color="auto" w:fill="auto"/>
            <w:tcMar>
              <w:left w:w="43" w:type="dxa"/>
              <w:right w:w="43" w:type="dxa"/>
            </w:tcMar>
            <w:vAlign w:val="center"/>
          </w:tcPr>
          <w:p w:rsidR="00E47DF9" w:rsidRPr="00495995" w:rsidRDefault="00E47DF9" w:rsidP="00E47DF9">
            <w:pPr>
              <w:jc w:val="right"/>
              <w:rPr>
                <w:b/>
                <w:bCs/>
                <w:color w:val="auto"/>
                <w:sz w:val="14"/>
                <w:szCs w:val="14"/>
              </w:rPr>
            </w:pPr>
            <w:r w:rsidRPr="00495995">
              <w:rPr>
                <w:b/>
                <w:bCs/>
                <w:sz w:val="14"/>
                <w:szCs w:val="14"/>
              </w:rPr>
              <w:t>2,223,945</w:t>
            </w:r>
          </w:p>
        </w:tc>
        <w:tc>
          <w:tcPr>
            <w:tcW w:w="900" w:type="dxa"/>
            <w:tcBorders>
              <w:left w:val="nil"/>
              <w:bottom w:val="single" w:sz="12" w:space="0" w:color="auto"/>
            </w:tcBorders>
            <w:shd w:val="clear" w:color="auto" w:fill="auto"/>
            <w:tcMar>
              <w:left w:w="43" w:type="dxa"/>
              <w:right w:w="43" w:type="dxa"/>
            </w:tcMar>
            <w:vAlign w:val="center"/>
          </w:tcPr>
          <w:p w:rsidR="00E47DF9" w:rsidRPr="00CA03D9" w:rsidRDefault="00E47DF9" w:rsidP="00E47DF9">
            <w:pPr>
              <w:jc w:val="right"/>
              <w:rPr>
                <w:b/>
                <w:bCs/>
                <w:color w:val="auto"/>
                <w:sz w:val="14"/>
                <w:szCs w:val="14"/>
              </w:rPr>
            </w:pPr>
            <w:r w:rsidRPr="00CA03D9">
              <w:rPr>
                <w:b/>
                <w:bCs/>
                <w:sz w:val="14"/>
                <w:szCs w:val="14"/>
              </w:rPr>
              <w:t>2,319,586</w:t>
            </w:r>
          </w:p>
        </w:tc>
      </w:tr>
      <w:tr w:rsidR="004D32CF" w:rsidRPr="00B34F49" w:rsidTr="0088105F">
        <w:trPr>
          <w:trHeight w:hRule="exact" w:val="356"/>
          <w:jc w:val="center"/>
        </w:trPr>
        <w:tc>
          <w:tcPr>
            <w:tcW w:w="10260" w:type="dxa"/>
            <w:gridSpan w:val="10"/>
            <w:tcBorders>
              <w:top w:val="nil"/>
              <w:left w:val="nil"/>
              <w:bottom w:val="nil"/>
              <w:right w:val="nil"/>
            </w:tcBorders>
            <w:shd w:val="clear" w:color="auto" w:fill="auto"/>
            <w:noWrap/>
            <w:hideMark/>
          </w:tcPr>
          <w:p w:rsidR="004D32CF" w:rsidRPr="00E00182" w:rsidRDefault="004D32CF" w:rsidP="004D32CF">
            <w:pPr>
              <w:jc w:val="right"/>
              <w:rPr>
                <w:color w:val="auto"/>
                <w:sz w:val="14"/>
                <w:szCs w:val="16"/>
              </w:rPr>
            </w:pPr>
            <w:r w:rsidRPr="00095162">
              <w:rPr>
                <w:color w:val="auto"/>
                <w:sz w:val="14"/>
                <w:szCs w:val="14"/>
              </w:rPr>
              <w:t>Note: Figures pertain to last week end of every month</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4D32CF" w:rsidRPr="00B34F49" w:rsidTr="0088105F">
        <w:trPr>
          <w:trHeight w:hRule="exact" w:val="506"/>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4D32CF" w:rsidRDefault="004D32CF" w:rsidP="004D32CF">
            <w:pPr>
              <w:rPr>
                <w:b/>
                <w:bCs/>
                <w:color w:val="auto"/>
                <w:sz w:val="24"/>
                <w:szCs w:val="24"/>
              </w:rPr>
            </w:pPr>
            <w:r w:rsidRPr="00095162">
              <w:rPr>
                <w:b/>
                <w:bCs/>
                <w:sz w:val="28"/>
                <w:szCs w:val="28"/>
              </w:rPr>
              <w:t>2.</w:t>
            </w:r>
            <w:r w:rsidRPr="00F00D44">
              <w:rPr>
                <w:b/>
                <w:bCs/>
                <w:sz w:val="28"/>
                <w:szCs w:val="28"/>
              </w:rPr>
              <w:t>1</w:t>
            </w:r>
            <w:r>
              <w:rPr>
                <w:b/>
                <w:bCs/>
                <w:sz w:val="28"/>
                <w:szCs w:val="28"/>
              </w:rPr>
              <w:t xml:space="preserve">3 </w:t>
            </w:r>
            <w:r w:rsidRPr="00F00D44">
              <w:rPr>
                <w:b/>
                <w:bCs/>
                <w:sz w:val="28"/>
                <w:szCs w:val="28"/>
              </w:rPr>
              <w:t xml:space="preserve">Scheduled Banks' Consolidated Liquidity Position </w:t>
            </w:r>
            <w:r w:rsidRPr="00F00D44">
              <w:rPr>
                <w:b/>
                <w:bCs/>
                <w:color w:val="auto"/>
                <w:sz w:val="24"/>
                <w:szCs w:val="24"/>
              </w:rPr>
              <w:t>(All Banks)</w:t>
            </w:r>
          </w:p>
          <w:p w:rsidR="004D32CF" w:rsidRPr="00095162" w:rsidRDefault="004D32CF" w:rsidP="004D32CF">
            <w:pPr>
              <w:jc w:val="right"/>
              <w:rPr>
                <w:b/>
                <w:bCs/>
                <w:sz w:val="28"/>
                <w:szCs w:val="28"/>
              </w:rPr>
            </w:pPr>
            <w:r>
              <w:rPr>
                <w:b/>
                <w:bCs/>
                <w:color w:val="auto"/>
                <w:sz w:val="24"/>
                <w:szCs w:val="24"/>
              </w:rPr>
              <w:t xml:space="preserve">                                   </w:t>
            </w:r>
            <w:r w:rsidRPr="00C54556">
              <w:rPr>
                <w:color w:val="auto"/>
                <w:sz w:val="14"/>
              </w:rPr>
              <w:t>Million Rupees</w:t>
            </w:r>
          </w:p>
        </w:tc>
      </w:tr>
      <w:tr w:rsidR="00E47DF9" w:rsidRPr="00B34F49" w:rsidTr="00E47DF9">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E47DF9" w:rsidRPr="00B34F49" w:rsidRDefault="00E47DF9" w:rsidP="004D32CF">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E47DF9" w:rsidRPr="00AB7A08" w:rsidRDefault="00E47DF9" w:rsidP="004D32CF">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E47DF9" w:rsidRPr="00AB7A08" w:rsidRDefault="00E47DF9" w:rsidP="004D32CF">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E47DF9" w:rsidRPr="00AB7A08" w:rsidRDefault="00E47DF9" w:rsidP="004D32CF">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E47DF9" w:rsidRPr="006619BF" w:rsidRDefault="00E47DF9" w:rsidP="004D32CF">
            <w:pPr>
              <w:rPr>
                <w:b/>
                <w:bCs/>
                <w:color w:val="auto"/>
                <w:szCs w:val="16"/>
              </w:rPr>
            </w:pPr>
            <w:r>
              <w:rPr>
                <w:b/>
                <w:bCs/>
                <w:color w:val="auto"/>
                <w:szCs w:val="16"/>
              </w:rPr>
              <w:t>2022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rsidR="00E47DF9" w:rsidRPr="006619BF" w:rsidRDefault="00E47DF9" w:rsidP="004D32CF">
            <w:pPr>
              <w:rPr>
                <w:b/>
                <w:bCs/>
                <w:color w:val="auto"/>
                <w:szCs w:val="16"/>
              </w:rPr>
            </w:pPr>
            <w:r>
              <w:rPr>
                <w:b/>
                <w:bCs/>
                <w:color w:val="auto"/>
                <w:szCs w:val="16"/>
              </w:rPr>
              <w:t>2022</w:t>
            </w:r>
          </w:p>
        </w:tc>
        <w:tc>
          <w:tcPr>
            <w:tcW w:w="3150" w:type="dxa"/>
            <w:gridSpan w:val="4"/>
            <w:tcBorders>
              <w:top w:val="single" w:sz="12" w:space="0" w:color="auto"/>
              <w:left w:val="single" w:sz="4" w:space="0" w:color="auto"/>
              <w:bottom w:val="single" w:sz="4" w:space="0" w:color="auto"/>
            </w:tcBorders>
            <w:shd w:val="clear" w:color="auto" w:fill="auto"/>
            <w:vAlign w:val="center"/>
          </w:tcPr>
          <w:p w:rsidR="00E47DF9" w:rsidRPr="006619BF" w:rsidRDefault="00E47DF9" w:rsidP="004D32CF">
            <w:pPr>
              <w:rPr>
                <w:b/>
                <w:bCs/>
                <w:color w:val="auto"/>
                <w:szCs w:val="16"/>
              </w:rPr>
            </w:pPr>
            <w:r>
              <w:rPr>
                <w:b/>
                <w:bCs/>
                <w:color w:val="auto"/>
                <w:szCs w:val="16"/>
              </w:rPr>
              <w:t>2023</w:t>
            </w:r>
          </w:p>
        </w:tc>
      </w:tr>
      <w:tr w:rsidR="00E47DF9" w:rsidRPr="00B34F49" w:rsidTr="00E47DF9">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E47DF9" w:rsidRPr="00B34F49" w:rsidRDefault="00E47DF9" w:rsidP="00E47DF9">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7DF9" w:rsidRPr="006619BF" w:rsidRDefault="00E47DF9" w:rsidP="00E47DF9">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7DF9" w:rsidRPr="006619BF" w:rsidRDefault="00E47DF9" w:rsidP="00E47DF9">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7DF9" w:rsidRPr="006619BF" w:rsidRDefault="00E47DF9" w:rsidP="00E47DF9">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7DF9" w:rsidRPr="006619BF" w:rsidRDefault="00E47DF9" w:rsidP="00E47DF9">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7DF9" w:rsidRPr="006619BF" w:rsidRDefault="00E47DF9" w:rsidP="00E47DF9">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47DF9" w:rsidRPr="006619BF" w:rsidRDefault="00E47DF9" w:rsidP="00E47DF9">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E47DF9" w:rsidRPr="006619BF" w:rsidRDefault="00E47DF9" w:rsidP="00E47DF9">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E47DF9" w:rsidRPr="006619BF" w:rsidRDefault="00E47DF9" w:rsidP="00E47DF9">
            <w:pPr>
              <w:jc w:val="right"/>
              <w:rPr>
                <w:b/>
                <w:color w:val="auto"/>
                <w:sz w:val="14"/>
                <w:szCs w:val="14"/>
              </w:rPr>
            </w:pPr>
            <w:r>
              <w:rPr>
                <w:b/>
                <w:color w:val="auto"/>
                <w:sz w:val="14"/>
                <w:szCs w:val="14"/>
              </w:rPr>
              <w:t>Mar</w:t>
            </w:r>
          </w:p>
        </w:tc>
        <w:tc>
          <w:tcPr>
            <w:tcW w:w="90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E47DF9" w:rsidRPr="001A6ACB" w:rsidRDefault="00E47DF9" w:rsidP="00E47DF9">
            <w:pPr>
              <w:jc w:val="right"/>
              <w:rPr>
                <w:b/>
                <w:color w:val="auto"/>
                <w:sz w:val="14"/>
                <w:szCs w:val="14"/>
              </w:rPr>
            </w:pPr>
            <w:r w:rsidRPr="001A6ACB">
              <w:rPr>
                <w:b/>
                <w:color w:val="auto"/>
                <w:sz w:val="14"/>
                <w:szCs w:val="14"/>
              </w:rPr>
              <w:t>Apr</w:t>
            </w:r>
          </w:p>
        </w:tc>
      </w:tr>
      <w:tr w:rsidR="00E47DF9"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14,142,999</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15,390,362</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17,135,911</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16,598,462</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19,293,271</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15,136,830</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color w:val="auto"/>
                <w:sz w:val="14"/>
                <w:szCs w:val="14"/>
              </w:rPr>
            </w:pPr>
            <w:r w:rsidRPr="001A6ACB">
              <w:rPr>
                <w:sz w:val="14"/>
                <w:szCs w:val="14"/>
              </w:rPr>
              <w:t>16,425,354</w:t>
            </w:r>
          </w:p>
        </w:tc>
      </w:tr>
      <w:tr w:rsidR="00E47DF9"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1,791,929</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2,082,999</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2,561,201</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2,687,200</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2,747,897</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4,523,997</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1A6ACB" w:rsidP="001A6ACB">
            <w:pPr>
              <w:jc w:val="right"/>
              <w:rPr>
                <w:color w:val="auto"/>
                <w:sz w:val="14"/>
                <w:szCs w:val="14"/>
              </w:rPr>
            </w:pPr>
            <w:r>
              <w:rPr>
                <w:sz w:val="14"/>
                <w:szCs w:val="14"/>
              </w:rPr>
              <w:t>4,302,748</w:t>
            </w:r>
          </w:p>
        </w:tc>
      </w:tr>
      <w:tr w:rsidR="00E47DF9"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0D5F77">
              <w:rPr>
                <w:b/>
                <w:bCs/>
                <w:sz w:val="13"/>
                <w:szCs w:val="13"/>
              </w:rPr>
              <w:t>15,934,928</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0D5F77">
              <w:rPr>
                <w:b/>
                <w:bCs/>
                <w:sz w:val="13"/>
                <w:szCs w:val="13"/>
              </w:rPr>
              <w:t>17,473,361</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b/>
                <w:bCs/>
                <w:color w:val="auto"/>
                <w:sz w:val="14"/>
                <w:szCs w:val="14"/>
              </w:rPr>
            </w:pPr>
            <w:r w:rsidRPr="00063E4E">
              <w:rPr>
                <w:b/>
                <w:bCs/>
                <w:sz w:val="14"/>
                <w:szCs w:val="14"/>
              </w:rPr>
              <w:t>19,697,112</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b/>
                <w:bCs/>
                <w:color w:val="auto"/>
                <w:sz w:val="14"/>
                <w:szCs w:val="14"/>
              </w:rPr>
            </w:pPr>
            <w:r w:rsidRPr="00780694">
              <w:rPr>
                <w:b/>
                <w:bCs/>
                <w:sz w:val="14"/>
                <w:szCs w:val="14"/>
              </w:rPr>
              <w:t>19,285,662</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b/>
                <w:bCs/>
                <w:color w:val="auto"/>
                <w:sz w:val="14"/>
                <w:szCs w:val="14"/>
              </w:rPr>
            </w:pPr>
            <w:r w:rsidRPr="00B52F31">
              <w:rPr>
                <w:rFonts w:asciiTheme="majorBidi" w:hAnsiTheme="majorBidi" w:cstheme="majorBidi"/>
                <w:b/>
                <w:bCs/>
                <w:sz w:val="14"/>
                <w:szCs w:val="14"/>
              </w:rPr>
              <w:t>19,296,019</w:t>
            </w:r>
          </w:p>
        </w:tc>
        <w:tc>
          <w:tcPr>
            <w:tcW w:w="720" w:type="dxa"/>
            <w:tcBorders>
              <w:top w:val="nil"/>
              <w:left w:val="nil"/>
              <w:bottom w:val="nil"/>
              <w:right w:val="nil"/>
            </w:tcBorders>
            <w:shd w:val="clear" w:color="auto" w:fill="auto"/>
            <w:tcMar>
              <w:left w:w="43" w:type="dxa"/>
              <w:right w:w="43" w:type="dxa"/>
            </w:tcMar>
            <w:vAlign w:val="center"/>
          </w:tcPr>
          <w:p w:rsidR="00E47DF9" w:rsidRPr="006951CE" w:rsidRDefault="00E47DF9" w:rsidP="00E47DF9">
            <w:pPr>
              <w:jc w:val="right"/>
              <w:rPr>
                <w:b/>
                <w:bCs/>
                <w:color w:val="auto"/>
                <w:sz w:val="14"/>
                <w:szCs w:val="14"/>
              </w:rPr>
            </w:pPr>
            <w:r w:rsidRPr="006951CE">
              <w:rPr>
                <w:b/>
                <w:bCs/>
                <w:sz w:val="14"/>
                <w:szCs w:val="14"/>
              </w:rPr>
              <w:t>19,660,827</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b/>
                <w:bCs/>
                <w:color w:val="auto"/>
                <w:sz w:val="14"/>
                <w:szCs w:val="14"/>
              </w:rPr>
            </w:pPr>
            <w:r w:rsidRPr="001A6ACB">
              <w:rPr>
                <w:b/>
                <w:bCs/>
                <w:sz w:val="14"/>
                <w:szCs w:val="14"/>
              </w:rPr>
              <w:t>20,728,102</w:t>
            </w:r>
          </w:p>
        </w:tc>
      </w:tr>
      <w:tr w:rsidR="00E47DF9"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0D5F77">
              <w:rPr>
                <w:b/>
                <w:bCs/>
                <w:sz w:val="13"/>
                <w:szCs w:val="13"/>
              </w:rPr>
              <w:t>8,611,065</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b/>
                <w:bCs/>
                <w:sz w:val="13"/>
                <w:szCs w:val="13"/>
              </w:rPr>
            </w:pPr>
            <w:r w:rsidRPr="000D5F77">
              <w:rPr>
                <w:b/>
                <w:bCs/>
                <w:sz w:val="13"/>
                <w:szCs w:val="13"/>
              </w:rPr>
              <w:t>12,627,729</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b/>
                <w:bCs/>
                <w:color w:val="auto"/>
                <w:sz w:val="14"/>
                <w:szCs w:val="14"/>
              </w:rPr>
            </w:pPr>
            <w:r w:rsidRPr="00063E4E">
              <w:rPr>
                <w:b/>
                <w:bCs/>
                <w:sz w:val="14"/>
                <w:szCs w:val="14"/>
              </w:rPr>
              <w:t>15,634,771</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b/>
                <w:bCs/>
                <w:color w:val="auto"/>
                <w:sz w:val="14"/>
                <w:szCs w:val="14"/>
              </w:rPr>
            </w:pPr>
            <w:r w:rsidRPr="00780694">
              <w:rPr>
                <w:b/>
                <w:bCs/>
                <w:sz w:val="14"/>
                <w:szCs w:val="14"/>
              </w:rPr>
              <w:t>15,221,178</w:t>
            </w:r>
          </w:p>
        </w:tc>
        <w:tc>
          <w:tcPr>
            <w:tcW w:w="810" w:type="dxa"/>
            <w:tcBorders>
              <w:top w:val="nil"/>
              <w:left w:val="nil"/>
              <w:bottom w:val="nil"/>
              <w:right w:val="nil"/>
            </w:tcBorders>
            <w:shd w:val="clear" w:color="auto" w:fill="auto"/>
            <w:tcMar>
              <w:left w:w="43" w:type="dxa"/>
              <w:right w:w="43" w:type="dxa"/>
            </w:tcMar>
            <w:vAlign w:val="center"/>
          </w:tcPr>
          <w:p w:rsidR="00E47DF9" w:rsidRPr="0013043B" w:rsidRDefault="00E47DF9" w:rsidP="00E47DF9">
            <w:pPr>
              <w:jc w:val="right"/>
              <w:rPr>
                <w:rFonts w:asciiTheme="majorBidi" w:hAnsiTheme="majorBidi" w:cstheme="majorBidi"/>
                <w:b/>
                <w:bCs/>
                <w:sz w:val="14"/>
                <w:szCs w:val="14"/>
              </w:rPr>
            </w:pPr>
            <w:r w:rsidRPr="0013043B">
              <w:rPr>
                <w:rFonts w:asciiTheme="majorBidi" w:hAnsiTheme="majorBidi" w:cstheme="majorBidi"/>
                <w:b/>
                <w:bCs/>
                <w:sz w:val="14"/>
                <w:szCs w:val="14"/>
              </w:rPr>
              <w:t>15,494,846</w:t>
            </w:r>
          </w:p>
        </w:tc>
        <w:tc>
          <w:tcPr>
            <w:tcW w:w="720" w:type="dxa"/>
            <w:tcBorders>
              <w:top w:val="nil"/>
              <w:left w:val="nil"/>
              <w:bottom w:val="nil"/>
              <w:right w:val="nil"/>
            </w:tcBorders>
            <w:shd w:val="clear" w:color="auto" w:fill="auto"/>
            <w:tcMar>
              <w:left w:w="43" w:type="dxa"/>
              <w:right w:w="43" w:type="dxa"/>
            </w:tcMar>
            <w:vAlign w:val="center"/>
          </w:tcPr>
          <w:p w:rsidR="00E47DF9" w:rsidRPr="006951CE" w:rsidRDefault="00E47DF9" w:rsidP="00E47DF9">
            <w:pPr>
              <w:jc w:val="right"/>
              <w:rPr>
                <w:b/>
                <w:bCs/>
                <w:color w:val="auto"/>
                <w:sz w:val="14"/>
                <w:szCs w:val="14"/>
              </w:rPr>
            </w:pPr>
            <w:r w:rsidRPr="006951CE">
              <w:rPr>
                <w:b/>
                <w:bCs/>
                <w:sz w:val="14"/>
                <w:szCs w:val="14"/>
              </w:rPr>
              <w:t>15,770,503</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b/>
                <w:bCs/>
                <w:color w:val="auto"/>
                <w:sz w:val="14"/>
                <w:szCs w:val="14"/>
              </w:rPr>
            </w:pPr>
            <w:r w:rsidRPr="001A6ACB">
              <w:rPr>
                <w:b/>
                <w:bCs/>
                <w:sz w:val="14"/>
                <w:szCs w:val="14"/>
              </w:rPr>
              <w:t>16,090,623</w:t>
            </w:r>
          </w:p>
        </w:tc>
      </w:tr>
      <w:tr w:rsidR="00E47DF9"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374,689</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449,254</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441,082</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434,346</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456,254</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472,408</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1A6ACB" w:rsidP="001A6ACB">
            <w:pPr>
              <w:jc w:val="right"/>
              <w:rPr>
                <w:color w:val="auto"/>
                <w:sz w:val="14"/>
                <w:szCs w:val="14"/>
              </w:rPr>
            </w:pPr>
            <w:r>
              <w:rPr>
                <w:sz w:val="14"/>
                <w:szCs w:val="14"/>
              </w:rPr>
              <w:t>723,405</w:t>
            </w:r>
          </w:p>
        </w:tc>
      </w:tr>
      <w:tr w:rsidR="00E47DF9"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606,361</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1,142,576</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1,143,174</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1,318,119</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1,194,591</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1,218,614</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color w:val="auto"/>
                <w:sz w:val="14"/>
                <w:szCs w:val="14"/>
              </w:rPr>
            </w:pPr>
            <w:r w:rsidRPr="001A6ACB">
              <w:rPr>
                <w:sz w:val="14"/>
                <w:szCs w:val="14"/>
              </w:rPr>
              <w:t>1,307,664</w:t>
            </w:r>
          </w:p>
        </w:tc>
      </w:tr>
      <w:tr w:rsidR="00E47DF9" w:rsidRPr="00B34F49" w:rsidTr="00EE0E21">
        <w:trPr>
          <w:trHeight w:hRule="exact" w:val="216"/>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193,531</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70,317</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169,804</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65,821</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72,160</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90,770</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color w:val="auto"/>
                <w:sz w:val="14"/>
                <w:szCs w:val="14"/>
              </w:rPr>
            </w:pPr>
            <w:r w:rsidRPr="001A6ACB">
              <w:rPr>
                <w:sz w:val="14"/>
                <w:szCs w:val="14"/>
              </w:rPr>
              <w:t>266,516</w:t>
            </w:r>
          </w:p>
        </w:tc>
      </w:tr>
      <w:tr w:rsidR="00E47DF9" w:rsidRPr="00B34F49" w:rsidTr="00063E4E">
        <w:trPr>
          <w:trHeight w:hRule="exact" w:val="279"/>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7,390,284</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10,915,890</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13,821,574</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13,342,411</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13,704,653</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13,917,822</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color w:val="auto"/>
                <w:sz w:val="14"/>
                <w:szCs w:val="14"/>
              </w:rPr>
            </w:pPr>
            <w:r w:rsidRPr="001A6ACB">
              <w:rPr>
                <w:sz w:val="14"/>
                <w:szCs w:val="14"/>
              </w:rPr>
              <w:t>13,719,541</w:t>
            </w:r>
          </w:p>
        </w:tc>
      </w:tr>
      <w:tr w:rsidR="00E47DF9" w:rsidRPr="00B34F49" w:rsidTr="00063E4E">
        <w:trPr>
          <w:trHeight w:hRule="exact" w:val="324"/>
          <w:jc w:val="center"/>
        </w:trPr>
        <w:tc>
          <w:tcPr>
            <w:tcW w:w="3420" w:type="dxa"/>
            <w:tcBorders>
              <w:top w:val="nil"/>
              <w:left w:val="nil"/>
              <w:bottom w:val="nil"/>
              <w:right w:val="nil"/>
            </w:tcBorders>
            <w:shd w:val="clear" w:color="auto" w:fill="auto"/>
            <w:vAlign w:val="center"/>
            <w:hideMark/>
          </w:tcPr>
          <w:p w:rsidR="00E47DF9" w:rsidRPr="007E3CF2" w:rsidRDefault="00E47DF9" w:rsidP="00E47DF9">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46,201</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49,691</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59,138</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60,480</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67,188</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70,890</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color w:val="auto"/>
                <w:sz w:val="14"/>
                <w:szCs w:val="14"/>
              </w:rPr>
            </w:pPr>
            <w:r w:rsidRPr="001A6ACB">
              <w:rPr>
                <w:sz w:val="14"/>
                <w:szCs w:val="14"/>
              </w:rPr>
              <w:t>73,497</w:t>
            </w:r>
          </w:p>
        </w:tc>
      </w:tr>
      <w:tr w:rsidR="00E47DF9" w:rsidRPr="00B34F49" w:rsidTr="00063E4E">
        <w:trPr>
          <w:trHeight w:hRule="exact" w:val="315"/>
          <w:jc w:val="center"/>
        </w:trPr>
        <w:tc>
          <w:tcPr>
            <w:tcW w:w="3420" w:type="dxa"/>
            <w:tcBorders>
              <w:top w:val="nil"/>
              <w:left w:val="nil"/>
              <w:bottom w:val="nil"/>
              <w:right w:val="nil"/>
            </w:tcBorders>
            <w:shd w:val="clear" w:color="auto" w:fill="auto"/>
            <w:vAlign w:val="center"/>
            <w:hideMark/>
          </w:tcPr>
          <w:p w:rsidR="00E47DF9" w:rsidRPr="00B34F49" w:rsidRDefault="00E47DF9" w:rsidP="00E47DF9">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3,270,049</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4,612,478</w:t>
            </w:r>
          </w:p>
        </w:tc>
        <w:tc>
          <w:tcPr>
            <w:tcW w:w="81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4,176,610</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4,693,596</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4,594,430</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4,595,229</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4,687,637</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color w:val="auto"/>
                <w:sz w:val="14"/>
                <w:szCs w:val="14"/>
              </w:rPr>
            </w:pPr>
            <w:r w:rsidRPr="001A6ACB">
              <w:rPr>
                <w:sz w:val="14"/>
                <w:szCs w:val="14"/>
              </w:rPr>
              <w:t>4,933,713</w:t>
            </w:r>
          </w:p>
        </w:tc>
      </w:tr>
      <w:tr w:rsidR="00E47DF9" w:rsidRPr="00B34F49" w:rsidTr="00063E4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E47DF9" w:rsidRPr="00B34F49" w:rsidRDefault="00E47DF9" w:rsidP="00E47DF9">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E47DF9" w:rsidRPr="000D5F77" w:rsidRDefault="00E47DF9" w:rsidP="00E47DF9">
            <w:pPr>
              <w:jc w:val="right"/>
              <w:rPr>
                <w:sz w:val="13"/>
                <w:szCs w:val="13"/>
              </w:rPr>
            </w:pPr>
            <w:r w:rsidRPr="000D5F77">
              <w:rPr>
                <w:sz w:val="13"/>
                <w:szCs w:val="13"/>
              </w:rPr>
              <w:t>8,511,072</w:t>
            </w:r>
          </w:p>
        </w:tc>
        <w:tc>
          <w:tcPr>
            <w:tcW w:w="720" w:type="dxa"/>
            <w:tcBorders>
              <w:top w:val="nil"/>
              <w:left w:val="nil"/>
              <w:bottom w:val="nil"/>
              <w:right w:val="nil"/>
            </w:tcBorders>
            <w:shd w:val="clear" w:color="auto" w:fill="auto"/>
            <w:tcMar>
              <w:left w:w="43" w:type="dxa"/>
              <w:right w:w="43" w:type="dxa"/>
            </w:tcMar>
            <w:vAlign w:val="center"/>
          </w:tcPr>
          <w:p w:rsidR="00E47DF9" w:rsidRPr="00063E4E" w:rsidRDefault="00E47DF9" w:rsidP="00E47DF9">
            <w:pPr>
              <w:jc w:val="right"/>
              <w:rPr>
                <w:color w:val="auto"/>
                <w:sz w:val="14"/>
                <w:szCs w:val="14"/>
              </w:rPr>
            </w:pPr>
            <w:r w:rsidRPr="00063E4E">
              <w:rPr>
                <w:sz w:val="14"/>
                <w:szCs w:val="14"/>
              </w:rPr>
              <w:t>10,941,174</w:t>
            </w:r>
          </w:p>
        </w:tc>
        <w:tc>
          <w:tcPr>
            <w:tcW w:w="720" w:type="dxa"/>
            <w:tcBorders>
              <w:top w:val="nil"/>
              <w:left w:val="nil"/>
              <w:bottom w:val="nil"/>
              <w:right w:val="nil"/>
            </w:tcBorders>
            <w:shd w:val="clear" w:color="auto" w:fill="auto"/>
            <w:tcMar>
              <w:left w:w="43" w:type="dxa"/>
              <w:right w:w="43" w:type="dxa"/>
            </w:tcMar>
            <w:vAlign w:val="center"/>
          </w:tcPr>
          <w:p w:rsidR="00E47DF9" w:rsidRPr="00780694" w:rsidRDefault="00E47DF9" w:rsidP="00E47DF9">
            <w:pPr>
              <w:jc w:val="right"/>
              <w:rPr>
                <w:color w:val="auto"/>
                <w:sz w:val="14"/>
                <w:szCs w:val="14"/>
              </w:rPr>
            </w:pPr>
            <w:r w:rsidRPr="00780694">
              <w:rPr>
                <w:sz w:val="14"/>
                <w:szCs w:val="14"/>
              </w:rPr>
              <w:t>10,626,748</w:t>
            </w:r>
          </w:p>
        </w:tc>
        <w:tc>
          <w:tcPr>
            <w:tcW w:w="810" w:type="dxa"/>
            <w:tcBorders>
              <w:top w:val="nil"/>
              <w:left w:val="nil"/>
              <w:bottom w:val="nil"/>
              <w:right w:val="nil"/>
            </w:tcBorders>
            <w:shd w:val="clear" w:color="auto" w:fill="auto"/>
            <w:tcMar>
              <w:left w:w="43" w:type="dxa"/>
              <w:right w:w="43" w:type="dxa"/>
            </w:tcMar>
            <w:vAlign w:val="center"/>
          </w:tcPr>
          <w:p w:rsidR="00E47DF9" w:rsidRPr="00B52F31" w:rsidRDefault="00E47DF9" w:rsidP="00E47DF9">
            <w:pPr>
              <w:jc w:val="right"/>
              <w:rPr>
                <w:rFonts w:asciiTheme="majorBidi" w:hAnsiTheme="majorBidi" w:cstheme="majorBidi"/>
                <w:sz w:val="14"/>
                <w:szCs w:val="14"/>
              </w:rPr>
            </w:pPr>
            <w:r w:rsidRPr="00B52F31">
              <w:rPr>
                <w:rFonts w:asciiTheme="majorBidi" w:hAnsiTheme="majorBidi" w:cstheme="majorBidi"/>
                <w:sz w:val="14"/>
                <w:szCs w:val="14"/>
              </w:rPr>
              <w:t>10,899,617</w:t>
            </w:r>
          </w:p>
        </w:tc>
        <w:tc>
          <w:tcPr>
            <w:tcW w:w="720" w:type="dxa"/>
            <w:tcBorders>
              <w:top w:val="nil"/>
              <w:left w:val="nil"/>
              <w:bottom w:val="nil"/>
              <w:right w:val="nil"/>
            </w:tcBorders>
            <w:shd w:val="clear" w:color="auto" w:fill="auto"/>
            <w:tcMar>
              <w:left w:w="43" w:type="dxa"/>
              <w:right w:w="43" w:type="dxa"/>
            </w:tcMar>
            <w:vAlign w:val="center"/>
          </w:tcPr>
          <w:p w:rsidR="00E47DF9" w:rsidRPr="00E8012D" w:rsidRDefault="00E47DF9" w:rsidP="00E47DF9">
            <w:pPr>
              <w:jc w:val="right"/>
              <w:rPr>
                <w:color w:val="auto"/>
                <w:sz w:val="14"/>
                <w:szCs w:val="14"/>
              </w:rPr>
            </w:pPr>
            <w:r w:rsidRPr="00E8012D">
              <w:rPr>
                <w:sz w:val="14"/>
                <w:szCs w:val="14"/>
              </w:rPr>
              <w:t>11,082,866</w:t>
            </w:r>
          </w:p>
        </w:tc>
        <w:tc>
          <w:tcPr>
            <w:tcW w:w="900" w:type="dxa"/>
            <w:tcBorders>
              <w:top w:val="nil"/>
              <w:left w:val="nil"/>
              <w:bottom w:val="nil"/>
              <w:right w:val="nil"/>
            </w:tcBorders>
            <w:shd w:val="clear" w:color="auto" w:fill="auto"/>
            <w:tcMar>
              <w:left w:w="43" w:type="dxa"/>
              <w:right w:w="43" w:type="dxa"/>
            </w:tcMar>
            <w:vAlign w:val="center"/>
          </w:tcPr>
          <w:p w:rsidR="00E47DF9" w:rsidRPr="001A6ACB" w:rsidRDefault="008D1A60" w:rsidP="001A6ACB">
            <w:pPr>
              <w:jc w:val="right"/>
              <w:rPr>
                <w:color w:val="auto"/>
                <w:sz w:val="14"/>
                <w:szCs w:val="14"/>
              </w:rPr>
            </w:pPr>
            <w:r w:rsidRPr="001A6ACB">
              <w:rPr>
                <w:sz w:val="14"/>
                <w:szCs w:val="14"/>
              </w:rPr>
              <w:t>11,156,910</w:t>
            </w:r>
          </w:p>
        </w:tc>
      </w:tr>
      <w:tr w:rsidR="00E47DF9" w:rsidRPr="00B34F49" w:rsidTr="0029362B">
        <w:trPr>
          <w:trHeight w:val="177"/>
          <w:jc w:val="center"/>
        </w:trPr>
        <w:tc>
          <w:tcPr>
            <w:tcW w:w="3420" w:type="dxa"/>
            <w:tcBorders>
              <w:top w:val="nil"/>
              <w:left w:val="nil"/>
              <w:bottom w:val="nil"/>
              <w:right w:val="nil"/>
            </w:tcBorders>
            <w:shd w:val="clear" w:color="auto" w:fill="auto"/>
            <w:noWrap/>
            <w:vAlign w:val="bottom"/>
          </w:tcPr>
          <w:p w:rsidR="00E47DF9" w:rsidRPr="00B34F49" w:rsidRDefault="00E47DF9" w:rsidP="00E47DF9">
            <w:pPr>
              <w:jc w:val="left"/>
              <w:rPr>
                <w:sz w:val="14"/>
                <w:szCs w:val="14"/>
              </w:rPr>
            </w:pPr>
          </w:p>
        </w:tc>
        <w:tc>
          <w:tcPr>
            <w:tcW w:w="6840" w:type="dxa"/>
            <w:gridSpan w:val="9"/>
            <w:tcBorders>
              <w:top w:val="single" w:sz="12" w:space="0" w:color="auto"/>
              <w:left w:val="nil"/>
              <w:bottom w:val="nil"/>
              <w:right w:val="nil"/>
            </w:tcBorders>
            <w:shd w:val="clear" w:color="auto" w:fill="auto"/>
            <w:noWrap/>
            <w:vAlign w:val="bottom"/>
            <w:hideMark/>
          </w:tcPr>
          <w:p w:rsidR="00E47DF9" w:rsidRPr="00B34F49" w:rsidRDefault="00E47DF9" w:rsidP="00E47DF9">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E47DF9" w:rsidRPr="00B34F49" w:rsidTr="0029362B">
        <w:trPr>
          <w:trHeight w:val="180"/>
          <w:jc w:val="center"/>
        </w:trPr>
        <w:tc>
          <w:tcPr>
            <w:tcW w:w="10260" w:type="dxa"/>
            <w:gridSpan w:val="10"/>
            <w:tcBorders>
              <w:top w:val="nil"/>
              <w:left w:val="nil"/>
              <w:bottom w:val="nil"/>
              <w:right w:val="nil"/>
            </w:tcBorders>
            <w:shd w:val="clear" w:color="auto" w:fill="auto"/>
            <w:noWrap/>
            <w:vAlign w:val="center"/>
          </w:tcPr>
          <w:p w:rsidR="00E47DF9" w:rsidRPr="00B728BC" w:rsidRDefault="00E47DF9" w:rsidP="00E47DF9">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839"/>
        <w:gridCol w:w="814"/>
        <w:gridCol w:w="838"/>
        <w:gridCol w:w="746"/>
        <w:gridCol w:w="929"/>
        <w:gridCol w:w="838"/>
        <w:gridCol w:w="840"/>
        <w:gridCol w:w="723"/>
        <w:gridCol w:w="850"/>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lastRenderedPageBreak/>
              <w:t>2.1</w:t>
            </w:r>
            <w:r w:rsidR="005C0886">
              <w:rPr>
                <w:b/>
                <w:bCs/>
                <w:color w:val="auto"/>
                <w:sz w:val="28"/>
                <w:szCs w:val="28"/>
              </w:rPr>
              <w:t>4</w:t>
            </w:r>
            <w:r w:rsidR="00CE30FF">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AE7571">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97" w:type="pct"/>
            <w:gridSpan w:val="4"/>
            <w:tcBorders>
              <w:bottom w:val="single" w:sz="4" w:space="0" w:color="auto"/>
              <w:right w:val="single" w:sz="4" w:space="0" w:color="auto"/>
            </w:tcBorders>
            <w:shd w:val="clear" w:color="auto" w:fill="auto"/>
            <w:vAlign w:val="center"/>
          </w:tcPr>
          <w:p w:rsidR="00295FF8" w:rsidRPr="00D5469A" w:rsidRDefault="00AE7571" w:rsidP="004357F0">
            <w:pPr>
              <w:rPr>
                <w:b/>
                <w:color w:val="auto"/>
                <w:szCs w:val="16"/>
              </w:rPr>
            </w:pPr>
            <w:r>
              <w:rPr>
                <w:b/>
                <w:color w:val="auto"/>
                <w:szCs w:val="16"/>
              </w:rPr>
              <w:t>Sep-22</w:t>
            </w:r>
          </w:p>
        </w:tc>
        <w:tc>
          <w:tcPr>
            <w:tcW w:w="1560" w:type="pct"/>
            <w:gridSpan w:val="4"/>
            <w:tcBorders>
              <w:left w:val="single" w:sz="4" w:space="0" w:color="auto"/>
              <w:bottom w:val="single" w:sz="4" w:space="0" w:color="auto"/>
            </w:tcBorders>
            <w:shd w:val="clear" w:color="auto" w:fill="auto"/>
            <w:vAlign w:val="center"/>
          </w:tcPr>
          <w:p w:rsidR="00295FF8" w:rsidRPr="00D5469A" w:rsidRDefault="00AE7571" w:rsidP="00295FF8">
            <w:pPr>
              <w:rPr>
                <w:b/>
                <w:color w:val="auto"/>
                <w:szCs w:val="16"/>
              </w:rPr>
            </w:pPr>
            <w:r>
              <w:rPr>
                <w:b/>
                <w:color w:val="auto"/>
                <w:szCs w:val="16"/>
              </w:rPr>
              <w:t>Dec-22</w:t>
            </w:r>
          </w:p>
        </w:tc>
      </w:tr>
      <w:tr w:rsidR="00295FF8" w:rsidRPr="00D5469A" w:rsidTr="00AE7571">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91"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402"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8"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46"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02"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03"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347"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8"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91"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19,435</w:t>
            </w:r>
          </w:p>
        </w:tc>
        <w:tc>
          <w:tcPr>
            <w:tcW w:w="402"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574,806</w:t>
            </w:r>
          </w:p>
        </w:tc>
        <w:tc>
          <w:tcPr>
            <w:tcW w:w="358" w:type="pct"/>
            <w:tcBorders>
              <w:top w:val="single" w:sz="12" w:space="0" w:color="auto"/>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53,882</w:t>
            </w:r>
          </w:p>
        </w:tc>
        <w:tc>
          <w:tcPr>
            <w:tcW w:w="446"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648,123</w:t>
            </w:r>
          </w:p>
        </w:tc>
        <w:tc>
          <w:tcPr>
            <w:tcW w:w="402"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11,719</w:t>
            </w:r>
          </w:p>
        </w:tc>
        <w:tc>
          <w:tcPr>
            <w:tcW w:w="403"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584,917</w:t>
            </w:r>
          </w:p>
        </w:tc>
        <w:tc>
          <w:tcPr>
            <w:tcW w:w="347"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81,948</w:t>
            </w:r>
          </w:p>
        </w:tc>
        <w:tc>
          <w:tcPr>
            <w:tcW w:w="408"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678,584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Currency</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4,912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6,598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11,524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3,957</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9,641</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13,611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Transferable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7,175</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472,993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43,356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523,524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2,862</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458,984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61,990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523,837</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c. Restricted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20,334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3,440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23,774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32,313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5,813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38,126</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d. Other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12,244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76,568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488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89,300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8,844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89,664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4,503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103,011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2. Investment in securities other than shares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742,408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303,966</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134,750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1,181,124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1,134,659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565,323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225,642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1,925,625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435,367</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221,264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117,195</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773,827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615,004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442,959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143,968</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1,201,932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307,040</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82,701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17,555</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407,297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519,655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122,364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81,674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723,693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193,619</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110,923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394,740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699,281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233,417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137,174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419,050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789,640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28,311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37,454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263,799</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329,565</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54,495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63,228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269,907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387,630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165,308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73,469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130,940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369,717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178,921</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73,945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149,143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402,010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4. Investment in shares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47,274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243,032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290,306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49,947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214,085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264,032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41,526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227,599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269,124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44,154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201,350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245,504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5,749</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15,433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21,182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5,793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12,735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18,528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Life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Non-life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21,696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78,140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23,247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123,082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26,259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114,048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27,486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167,793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8,008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35,507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49,674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93,188</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9,336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32,379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50,977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92,692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1B2736" w:rsidRDefault="00AE7571" w:rsidP="00AE7571">
            <w:pPr>
              <w:ind w:firstLine="445"/>
              <w:jc w:val="left"/>
              <w:rPr>
                <w:b/>
                <w:bCs/>
                <w:color w:val="auto"/>
                <w:szCs w:val="16"/>
              </w:rPr>
            </w:pPr>
            <w:r w:rsidRPr="001B2736">
              <w:rPr>
                <w:b/>
                <w:bCs/>
                <w:color w:val="auto"/>
                <w:szCs w:val="16"/>
              </w:rPr>
              <w:t>a. 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7,646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29,237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48,648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85,532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8,198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26,136</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50,031</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84,364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i. Fixed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7,377</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25,792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39,268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72,436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7,885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23,324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40,238</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71,447</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ii.Inventories</w:t>
            </w:r>
            <w:proofErr w:type="spellEnd"/>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1,585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iii.Valuables</w:t>
            </w:r>
            <w:proofErr w:type="spellEnd"/>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iv.Other</w:t>
            </w:r>
            <w:proofErr w:type="spellEnd"/>
            <w:r w:rsidRPr="00D5469A">
              <w:rPr>
                <w:color w:val="auto"/>
                <w:szCs w:val="16"/>
              </w:rPr>
              <w:t xml:space="preserve"> 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270</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1,093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9,380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10,743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313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1,073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9,793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11,179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1B2736" w:rsidRDefault="00AE7571" w:rsidP="00AE7571">
            <w:pPr>
              <w:ind w:firstLine="445"/>
              <w:jc w:val="left"/>
              <w:rPr>
                <w:b/>
                <w:bCs/>
                <w:color w:val="auto"/>
                <w:szCs w:val="16"/>
              </w:rPr>
            </w:pPr>
            <w:r w:rsidRPr="001B2736">
              <w:rPr>
                <w:b/>
                <w:bCs/>
                <w:color w:val="auto"/>
                <w:szCs w:val="16"/>
              </w:rPr>
              <w:t>b. Non-produced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361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1,026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7,656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1,138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6,244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946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8,328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451"/>
              <w:jc w:val="left"/>
              <w:rPr>
                <w:color w:val="auto"/>
                <w:szCs w:val="16"/>
              </w:rPr>
            </w:pPr>
            <w:r w:rsidRPr="00D5469A">
              <w:rPr>
                <w:color w:val="auto"/>
                <w:szCs w:val="16"/>
              </w:rPr>
              <w:t>i. Land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2,261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334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2,903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308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2,299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170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2,777</w:t>
            </w:r>
          </w:p>
        </w:tc>
      </w:tr>
      <w:tr w:rsidR="00AE7571" w:rsidRPr="00E30683" w:rsidTr="00AE7571">
        <w:trPr>
          <w:trHeight w:hRule="exact" w:val="230"/>
        </w:trPr>
        <w:tc>
          <w:tcPr>
            <w:tcW w:w="1843" w:type="pct"/>
            <w:tcBorders>
              <w:top w:val="nil"/>
              <w:left w:val="nil"/>
              <w:right w:val="nil"/>
            </w:tcBorders>
            <w:shd w:val="clear" w:color="auto" w:fill="auto"/>
            <w:noWrap/>
            <w:vAlign w:val="center"/>
          </w:tcPr>
          <w:p w:rsidR="00AE7571" w:rsidRPr="00D5469A" w:rsidRDefault="00AE7571" w:rsidP="00AE7571">
            <w:pPr>
              <w:ind w:left="451"/>
              <w:jc w:val="left"/>
              <w:rPr>
                <w:color w:val="auto"/>
                <w:szCs w:val="16"/>
              </w:rPr>
            </w:pPr>
            <w:proofErr w:type="spellStart"/>
            <w:r w:rsidRPr="00D5469A">
              <w:rPr>
                <w:color w:val="auto"/>
                <w:szCs w:val="16"/>
              </w:rPr>
              <w:t>ii.Other</w:t>
            </w:r>
            <w:proofErr w:type="spellEnd"/>
            <w:r w:rsidRPr="00D5469A">
              <w:rPr>
                <w:color w:val="auto"/>
                <w:szCs w:val="16"/>
              </w:rPr>
              <w:t>-non-produced assets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53</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4,009</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692</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4,754</w:t>
            </w:r>
          </w:p>
        </w:tc>
        <w:tc>
          <w:tcPr>
            <w:tcW w:w="402"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830</w:t>
            </w:r>
          </w:p>
        </w:tc>
        <w:tc>
          <w:tcPr>
            <w:tcW w:w="403"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3,945</w:t>
            </w:r>
          </w:p>
        </w:tc>
        <w:tc>
          <w:tcPr>
            <w:tcW w:w="347"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776</w:t>
            </w:r>
          </w:p>
        </w:tc>
        <w:tc>
          <w:tcPr>
            <w:tcW w:w="408"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5,551</w:t>
            </w:r>
          </w:p>
        </w:tc>
      </w:tr>
      <w:tr w:rsidR="00AE7571" w:rsidRPr="00E30683" w:rsidTr="00AE7571">
        <w:trPr>
          <w:trHeight w:hRule="exact" w:val="230"/>
        </w:trPr>
        <w:tc>
          <w:tcPr>
            <w:tcW w:w="1843" w:type="pct"/>
            <w:tcBorders>
              <w:left w:val="nil"/>
              <w:right w:val="nil"/>
            </w:tcBorders>
            <w:shd w:val="clear" w:color="auto" w:fill="auto"/>
            <w:noWrap/>
            <w:vAlign w:val="center"/>
          </w:tcPr>
          <w:p w:rsidR="00AE7571" w:rsidRPr="00D5469A" w:rsidRDefault="00AE7571" w:rsidP="00AE7571">
            <w:pPr>
              <w:jc w:val="left"/>
              <w:rPr>
                <w:b/>
                <w:bCs/>
                <w:color w:val="auto"/>
                <w:szCs w:val="16"/>
              </w:rPr>
            </w:pPr>
            <w:r w:rsidRPr="00D5469A">
              <w:rPr>
                <w:b/>
                <w:bCs/>
                <w:color w:val="auto"/>
                <w:szCs w:val="16"/>
              </w:rPr>
              <w:t>Total Assets/ Liabilities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1,032,439</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1,346,373</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656,469</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3,035,281</w:t>
            </w:r>
          </w:p>
        </w:tc>
        <w:tc>
          <w:tcPr>
            <w:tcW w:w="402"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1,465,335</w:t>
            </w:r>
          </w:p>
        </w:tc>
        <w:tc>
          <w:tcPr>
            <w:tcW w:w="403"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1,647,926</w:t>
            </w:r>
          </w:p>
        </w:tc>
        <w:tc>
          <w:tcPr>
            <w:tcW w:w="347"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805,248</w:t>
            </w:r>
          </w:p>
        </w:tc>
        <w:tc>
          <w:tcPr>
            <w:tcW w:w="408"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3,918,510</w:t>
            </w:r>
          </w:p>
        </w:tc>
      </w:tr>
      <w:tr w:rsidR="00AE7571" w:rsidRPr="00E30683" w:rsidTr="00AE7571">
        <w:trPr>
          <w:trHeight w:hRule="exact" w:val="230"/>
        </w:trPr>
        <w:tc>
          <w:tcPr>
            <w:tcW w:w="1843" w:type="pct"/>
            <w:tcBorders>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32,454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35,531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456,523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524,509</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39,319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37,149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521,880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598,349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Restricted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24,369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24,502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26,014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26,140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Other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32,322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11,162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456,523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500,007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39,194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11,135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521,880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572,209</w:t>
            </w:r>
          </w:p>
        </w:tc>
      </w:tr>
      <w:tr w:rsidR="00AE7571" w:rsidRPr="00E30683" w:rsidTr="00AE7571">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2,715</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8,228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10,943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940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9,104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10,044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 xml:space="preserve">a. Short-term </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934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8,228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9,163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934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9,104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10,039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812,996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62,410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62,003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937,409</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1,235,535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65,981</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141,809</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1,443,325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690,518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20,591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13,276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724,384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1,033,986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22,097</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12,076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1,068,159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122,478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41,818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48,728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213,024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201,549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43,884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129,733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375,165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44,421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99,918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84,917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229,255</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43,989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88,408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87,729</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220,125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143,442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1,145,798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44,798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1,334,038</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146,493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1,455,448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44,727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1,646,668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6,238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673,247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4,290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683,774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6,238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828,804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4,290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839,331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78,333</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360,410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30,133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468,876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78,333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473,368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34,490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586,191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c. Retained earnings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31,301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61,052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(25,769)</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66,584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31,565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54,290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(27,510)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58,345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d. Current year result</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6,578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36,454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(12,811)</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30,221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11,633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87,599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(15,682)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83,549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e. General &amp; special reserves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22,936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12,133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49,181</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84,250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22,987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12,941</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49,545</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85,473</w:t>
            </w:r>
          </w:p>
        </w:tc>
      </w:tr>
      <w:tr w:rsidR="00AE7571" w:rsidRPr="00E30683" w:rsidTr="00AE7571">
        <w:trPr>
          <w:trHeight w:hRule="exact" w:val="230"/>
        </w:trPr>
        <w:tc>
          <w:tcPr>
            <w:tcW w:w="1843" w:type="pct"/>
            <w:tcBorders>
              <w:top w:val="nil"/>
              <w:left w:val="nil"/>
              <w:bottom w:val="single" w:sz="12" w:space="0" w:color="auto"/>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f. Valuation adjustments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(1,945)</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2,502</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(226)</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332</w:t>
            </w:r>
          </w:p>
        </w:tc>
        <w:tc>
          <w:tcPr>
            <w:tcW w:w="402"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(4,263)</w:t>
            </w:r>
          </w:p>
        </w:tc>
        <w:tc>
          <w:tcPr>
            <w:tcW w:w="403"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(1,554)</w:t>
            </w:r>
          </w:p>
        </w:tc>
        <w:tc>
          <w:tcPr>
            <w:tcW w:w="347"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(406)</w:t>
            </w:r>
          </w:p>
        </w:tc>
        <w:tc>
          <w:tcPr>
            <w:tcW w:w="408"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(6,222)</w:t>
            </w:r>
          </w:p>
        </w:tc>
      </w:tr>
      <w:tr w:rsidR="00AE7571" w:rsidRPr="00D5469A" w:rsidTr="00E00182">
        <w:trPr>
          <w:trHeight w:val="645"/>
        </w:trPr>
        <w:tc>
          <w:tcPr>
            <w:tcW w:w="5000" w:type="pct"/>
            <w:gridSpan w:val="9"/>
            <w:tcBorders>
              <w:top w:val="single" w:sz="12" w:space="0" w:color="auto"/>
              <w:left w:val="nil"/>
              <w:right w:val="nil"/>
            </w:tcBorders>
            <w:shd w:val="clear" w:color="auto" w:fill="auto"/>
          </w:tcPr>
          <w:p w:rsidR="00AE7571" w:rsidRDefault="00AE7571" w:rsidP="00AE7571">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sidR="00CE30FF">
              <w:rPr>
                <w:color w:val="auto"/>
                <w:sz w:val="13"/>
                <w:szCs w:val="13"/>
              </w:rPr>
              <w:t xml:space="preserve"> </w:t>
            </w:r>
            <w:r>
              <w:rPr>
                <w:sz w:val="14"/>
                <w:szCs w:val="14"/>
              </w:rPr>
              <w:t>Source: Core Statistics Department</w:t>
            </w:r>
          </w:p>
          <w:p w:rsidR="00AE7571" w:rsidRPr="009836DB" w:rsidRDefault="00AE7571" w:rsidP="00AE7571">
            <w:pPr>
              <w:ind w:hanging="95"/>
              <w:jc w:val="left"/>
              <w:rPr>
                <w:color w:val="auto"/>
                <w:sz w:val="13"/>
                <w:szCs w:val="13"/>
              </w:rPr>
            </w:pPr>
          </w:p>
          <w:p w:rsidR="00AE7571" w:rsidRPr="00D5469A" w:rsidRDefault="00AE7571" w:rsidP="00AE7571">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00CE30FF">
              <w:rPr>
                <w:b/>
                <w:bCs/>
                <w:color w:val="auto"/>
                <w:sz w:val="28"/>
                <w:szCs w:val="28"/>
              </w:rPr>
              <w:t xml:space="preserve"> </w:t>
            </w:r>
            <w:r w:rsidRPr="00540B10">
              <w:rPr>
                <w:b/>
                <w:bCs/>
                <w:color w:val="auto"/>
                <w:sz w:val="28"/>
                <w:szCs w:val="28"/>
              </w:rPr>
              <w:t>Classification of Loans Extended (Advances) by DFIs</w:t>
            </w:r>
            <w:r w:rsidR="001723FB" w:rsidRPr="00540B10">
              <w:rPr>
                <w:b/>
                <w:bCs/>
                <w:color w:val="auto"/>
                <w:sz w:val="28"/>
                <w:szCs w:val="28"/>
              </w:rPr>
              <w:t>, MFBs</w:t>
            </w:r>
            <w:r w:rsidR="00CE30FF">
              <w:rPr>
                <w:b/>
                <w:bCs/>
                <w:color w:val="auto"/>
                <w:sz w:val="28"/>
                <w:szCs w:val="28"/>
              </w:rPr>
              <w:t xml:space="preserve"> </w:t>
            </w:r>
            <w:r w:rsidR="00FD672E">
              <w:rPr>
                <w:b/>
                <w:bCs/>
                <w:color w:val="auto"/>
                <w:sz w:val="28"/>
                <w:szCs w:val="28"/>
              </w:rPr>
              <w:t>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AE7571" w:rsidP="00DB0C32">
            <w:pPr>
              <w:rPr>
                <w:b/>
                <w:color w:val="auto"/>
                <w:szCs w:val="16"/>
              </w:rPr>
            </w:pPr>
            <w:r>
              <w:rPr>
                <w:b/>
                <w:color w:val="auto"/>
                <w:szCs w:val="16"/>
              </w:rPr>
              <w:t>Sep-22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AE7571" w:rsidP="00295FF8">
            <w:pPr>
              <w:rPr>
                <w:b/>
                <w:color w:val="auto"/>
                <w:szCs w:val="16"/>
              </w:rPr>
            </w:pPr>
            <w:r>
              <w:rPr>
                <w:b/>
                <w:color w:val="auto"/>
                <w:szCs w:val="16"/>
              </w:rPr>
              <w:t>Dec-22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222,808</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5,817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228,625</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242,079</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5,145</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247,224</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5,036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498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5,534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5,415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554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5,969</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217,772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5,319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223,091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236,663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4,591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241,254</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6,187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59,179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65,367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29,862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74,995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104,857</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1,016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22,855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23,870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18,216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28,187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46,402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2,355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8,349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10,704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9,005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18,807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27,812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2,699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27,786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30,484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2,500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27,941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30,441</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118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189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307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61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202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Pr>
                <w:rFonts w:asciiTheme="majorBidi" w:hAnsiTheme="majorBidi" w:cstheme="majorBidi"/>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63,617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19,438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83,056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69,476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20,125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89,601</w:t>
            </w:r>
          </w:p>
        </w:tc>
      </w:tr>
      <w:tr w:rsidR="00597BFA" w:rsidRPr="00E30683" w:rsidTr="00597BFA">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r>
      <w:tr w:rsidR="00597BFA" w:rsidRPr="00E30683" w:rsidTr="00597BFA">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302,604</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18,282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320,886</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327,390</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19,460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346,850</w:t>
            </w:r>
          </w:p>
        </w:tc>
      </w:tr>
      <w:tr w:rsidR="00597BFA" w:rsidRPr="00E30683" w:rsidTr="00597BFA">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597BFA" w:rsidRPr="00D5469A" w:rsidRDefault="00597BFA" w:rsidP="00597BFA">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596,564</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102,717</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699,281</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669,915</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119,725</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789,640</w:t>
            </w:r>
          </w:p>
        </w:tc>
      </w:tr>
      <w:tr w:rsidR="00AE7571"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AE7571" w:rsidRDefault="00AE7571" w:rsidP="00AE7571">
            <w:pPr>
              <w:jc w:val="right"/>
              <w:rPr>
                <w:color w:val="auto"/>
                <w:sz w:val="12"/>
                <w:szCs w:val="16"/>
              </w:rPr>
            </w:pPr>
            <w:r w:rsidRPr="009836DB">
              <w:rPr>
                <w:color w:val="auto"/>
                <w:sz w:val="13"/>
                <w:szCs w:val="13"/>
              </w:rPr>
              <w:t>* This includes Depository NBFCs, DFIs and MFIs.</w:t>
            </w:r>
            <w:r>
              <w:rPr>
                <w:sz w:val="14"/>
                <w:szCs w:val="14"/>
              </w:rPr>
              <w:t xml:space="preserve"> Source: Core Statistics Department</w:t>
            </w:r>
          </w:p>
          <w:p w:rsidR="00AE7571" w:rsidRPr="00D5469A" w:rsidRDefault="00AE7571" w:rsidP="00AE7571">
            <w:pPr>
              <w:jc w:val="left"/>
              <w:rPr>
                <w:color w:val="auto"/>
                <w:sz w:val="12"/>
                <w:szCs w:val="16"/>
              </w:rPr>
            </w:pPr>
            <w:r w:rsidRPr="009836DB">
              <w:rPr>
                <w:color w:val="auto"/>
                <w:sz w:val="13"/>
                <w:szCs w:val="13"/>
              </w:rPr>
              <w:t>** This includes Non-Depository NBFCs, PMRCL and HBFC.</w:t>
            </w:r>
          </w:p>
        </w:tc>
        <w:tc>
          <w:tcPr>
            <w:tcW w:w="1876" w:type="dxa"/>
          </w:tcPr>
          <w:p w:rsidR="00AE7571" w:rsidRPr="00D5469A" w:rsidRDefault="00AE7571" w:rsidP="00AE7571">
            <w:pPr>
              <w:jc w:val="left"/>
            </w:pPr>
          </w:p>
        </w:tc>
        <w:tc>
          <w:tcPr>
            <w:tcW w:w="1876" w:type="dxa"/>
          </w:tcPr>
          <w:p w:rsidR="00AE7571" w:rsidRPr="00D5469A" w:rsidRDefault="00AE7571" w:rsidP="00AE7571">
            <w:pPr>
              <w:jc w:val="left"/>
            </w:pPr>
          </w:p>
        </w:tc>
        <w:tc>
          <w:tcPr>
            <w:tcW w:w="1876" w:type="dxa"/>
          </w:tcPr>
          <w:p w:rsidR="00AE7571" w:rsidRPr="00D5469A" w:rsidRDefault="00AE7571" w:rsidP="00AE7571">
            <w:pPr>
              <w:jc w:val="left"/>
            </w:pP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CE30FF">
              <w:rPr>
                <w:b/>
                <w:bCs/>
                <w:color w:val="auto"/>
                <w:sz w:val="28"/>
                <w:szCs w:val="28"/>
              </w:rPr>
              <w:t xml:space="preserve"> </w:t>
            </w:r>
            <w:r w:rsidR="007B3B61" w:rsidRPr="00540B10">
              <w:rPr>
                <w:b/>
                <w:bCs/>
                <w:color w:val="auto"/>
                <w:sz w:val="28"/>
                <w:szCs w:val="28"/>
              </w:rPr>
              <w:t>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AE7571"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AE7571" w:rsidRPr="00D5469A" w:rsidRDefault="00AE7571" w:rsidP="00AE757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sidRPr="004357F0">
              <w:rPr>
                <w:b/>
                <w:bCs/>
                <w:color w:val="auto"/>
                <w:szCs w:val="22"/>
              </w:rPr>
              <w:t>Sep-2</w:t>
            </w:r>
            <w:r>
              <w:rPr>
                <w:b/>
                <w:bCs/>
                <w:color w:val="auto"/>
                <w:szCs w:val="22"/>
              </w:rPr>
              <w:t>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Mar-22</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AE7571" w:rsidRPr="00D5469A" w:rsidRDefault="00AE7571" w:rsidP="00AE7571">
            <w:pPr>
              <w:jc w:val="right"/>
              <w:rPr>
                <w:b/>
                <w:bCs/>
                <w:color w:val="auto"/>
                <w:szCs w:val="22"/>
              </w:rPr>
            </w:pPr>
            <w:r>
              <w:rPr>
                <w:b/>
                <w:bCs/>
                <w:color w:val="auto"/>
                <w:szCs w:val="22"/>
              </w:rPr>
              <w:t>Jun-22</w:t>
            </w:r>
          </w:p>
        </w:tc>
        <w:tc>
          <w:tcPr>
            <w:tcW w:w="900" w:type="dxa"/>
            <w:tcBorders>
              <w:top w:val="single" w:sz="8" w:space="0" w:color="auto"/>
              <w:left w:val="single" w:sz="4" w:space="0" w:color="auto"/>
              <w:bottom w:val="single" w:sz="12"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Sep-22</w:t>
            </w:r>
          </w:p>
        </w:tc>
        <w:tc>
          <w:tcPr>
            <w:tcW w:w="792" w:type="dxa"/>
            <w:tcBorders>
              <w:top w:val="single" w:sz="8" w:space="0" w:color="auto"/>
              <w:left w:val="single" w:sz="4" w:space="0" w:color="auto"/>
              <w:bottom w:val="single" w:sz="12" w:space="0" w:color="auto"/>
            </w:tcBorders>
            <w:shd w:val="clear" w:color="auto" w:fill="auto"/>
            <w:noWrap/>
            <w:vAlign w:val="center"/>
          </w:tcPr>
          <w:p w:rsidR="00AE7571" w:rsidRPr="00D5469A" w:rsidRDefault="00AE7571" w:rsidP="00AE7571">
            <w:pPr>
              <w:jc w:val="right"/>
              <w:rPr>
                <w:b/>
                <w:bCs/>
                <w:color w:val="auto"/>
                <w:szCs w:val="22"/>
              </w:rPr>
            </w:pPr>
            <w:r>
              <w:rPr>
                <w:b/>
                <w:color w:val="auto"/>
                <w:szCs w:val="16"/>
              </w:rPr>
              <w:t>Dec-22</w:t>
            </w:r>
          </w:p>
        </w:tc>
      </w:tr>
      <w:tr w:rsidR="00597BFA" w:rsidRPr="00D5469A" w:rsidTr="00597BFA">
        <w:trPr>
          <w:trHeight w:hRule="exact" w:val="259"/>
        </w:trPr>
        <w:tc>
          <w:tcPr>
            <w:tcW w:w="4068" w:type="dxa"/>
            <w:tcBorders>
              <w:top w:val="single" w:sz="12" w:space="0" w:color="auto"/>
            </w:tcBorders>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597BFA" w:rsidRDefault="00597BFA" w:rsidP="00597BFA">
            <w:pPr>
              <w:jc w:val="right"/>
              <w:rPr>
                <w:b/>
                <w:bCs/>
                <w:sz w:val="14"/>
                <w:szCs w:val="14"/>
              </w:rPr>
            </w:pPr>
            <w:r>
              <w:rPr>
                <w:b/>
                <w:bCs/>
                <w:sz w:val="14"/>
                <w:szCs w:val="14"/>
              </w:rPr>
              <w:t>122,922</w:t>
            </w:r>
          </w:p>
        </w:tc>
        <w:tc>
          <w:tcPr>
            <w:tcW w:w="900" w:type="dxa"/>
            <w:tcBorders>
              <w:top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133,675</w:t>
            </w:r>
          </w:p>
        </w:tc>
        <w:tc>
          <w:tcPr>
            <w:tcW w:w="900" w:type="dxa"/>
            <w:tcBorders>
              <w:top w:val="single" w:sz="12" w:space="0" w:color="auto"/>
            </w:tcBorders>
            <w:shd w:val="clear" w:color="auto" w:fill="auto"/>
            <w:noWrap/>
            <w:vAlign w:val="center"/>
          </w:tcPr>
          <w:p w:rsidR="00597BFA" w:rsidRDefault="00597BFA" w:rsidP="00597BFA">
            <w:pPr>
              <w:jc w:val="right"/>
              <w:rPr>
                <w:b/>
                <w:bCs/>
                <w:sz w:val="14"/>
                <w:szCs w:val="14"/>
              </w:rPr>
            </w:pPr>
            <w:r w:rsidRPr="005372F3">
              <w:rPr>
                <w:b/>
                <w:bCs/>
                <w:sz w:val="14"/>
                <w:szCs w:val="14"/>
              </w:rPr>
              <w:t xml:space="preserve">129,679 </w:t>
            </w:r>
          </w:p>
        </w:tc>
        <w:tc>
          <w:tcPr>
            <w:tcW w:w="990" w:type="dxa"/>
            <w:tcBorders>
              <w:top w:val="single" w:sz="12" w:space="0" w:color="auto"/>
            </w:tcBorders>
            <w:shd w:val="clear" w:color="auto" w:fill="auto"/>
            <w:noWrap/>
            <w:vAlign w:val="center"/>
          </w:tcPr>
          <w:p w:rsidR="00597BFA" w:rsidRPr="00912373" w:rsidRDefault="00597BFA" w:rsidP="00597BFA">
            <w:pPr>
              <w:jc w:val="right"/>
              <w:rPr>
                <w:b/>
                <w:bCs/>
                <w:sz w:val="14"/>
                <w:szCs w:val="14"/>
              </w:rPr>
            </w:pPr>
            <w:r>
              <w:rPr>
                <w:b/>
                <w:bCs/>
                <w:sz w:val="14"/>
                <w:szCs w:val="14"/>
              </w:rPr>
              <w:t xml:space="preserve">95,920 </w:t>
            </w:r>
          </w:p>
        </w:tc>
        <w:tc>
          <w:tcPr>
            <w:tcW w:w="900" w:type="dxa"/>
            <w:tcBorders>
              <w:top w:val="single" w:sz="12" w:space="0" w:color="auto"/>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99,307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597BFA" w:rsidRDefault="00597BFA" w:rsidP="00597BFA">
            <w:pPr>
              <w:jc w:val="right"/>
              <w:rPr>
                <w:sz w:val="14"/>
                <w:szCs w:val="14"/>
              </w:rPr>
            </w:pPr>
            <w:r>
              <w:rPr>
                <w:sz w:val="14"/>
                <w:szCs w:val="14"/>
              </w:rPr>
              <w:t>33,973</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33,183</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34,176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37,160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37,553</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32,830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597BFA" w:rsidRDefault="00597BFA" w:rsidP="00597BFA">
            <w:pPr>
              <w:jc w:val="right"/>
              <w:rPr>
                <w:sz w:val="14"/>
                <w:szCs w:val="14"/>
              </w:rPr>
            </w:pPr>
            <w:r>
              <w:rPr>
                <w:sz w:val="14"/>
                <w:szCs w:val="14"/>
              </w:rPr>
              <w:t>88,949</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100,492</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95,504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58,761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98,835</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66,477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54,544</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73,252</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105,915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151,218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181,142</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597BFA" w:rsidRDefault="00597BFA" w:rsidP="00597BFA">
            <w:pPr>
              <w:jc w:val="right"/>
              <w:rPr>
                <w:sz w:val="14"/>
                <w:szCs w:val="14"/>
              </w:rPr>
            </w:pPr>
            <w:r>
              <w:rPr>
                <w:sz w:val="14"/>
                <w:szCs w:val="14"/>
              </w:rPr>
              <w:t>7,037</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3,404</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1,152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41,404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1,570</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47,837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597BFA" w:rsidRDefault="00597BFA" w:rsidP="00597BFA">
            <w:pPr>
              <w:jc w:val="right"/>
              <w:rPr>
                <w:sz w:val="14"/>
                <w:szCs w:val="14"/>
              </w:rPr>
            </w:pPr>
            <w:r>
              <w:rPr>
                <w:sz w:val="14"/>
                <w:szCs w:val="14"/>
              </w:rPr>
              <w:t>41,838</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62,385</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58,690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50,867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36,364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74,915</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597BFA" w:rsidRDefault="00597BFA" w:rsidP="00597BFA">
            <w:pPr>
              <w:jc w:val="right"/>
              <w:rPr>
                <w:sz w:val="14"/>
                <w:szCs w:val="14"/>
              </w:rPr>
            </w:pPr>
            <w:r>
              <w:rPr>
                <w:sz w:val="14"/>
                <w:szCs w:val="14"/>
              </w:rPr>
              <w:t>3,506</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5,126</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34,857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45,057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50,366</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55,850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597BFA" w:rsidRDefault="00597BFA" w:rsidP="00597BFA">
            <w:pPr>
              <w:jc w:val="right"/>
              <w:rPr>
                <w:sz w:val="14"/>
                <w:szCs w:val="14"/>
              </w:rPr>
            </w:pPr>
            <w:r>
              <w:rPr>
                <w:sz w:val="14"/>
                <w:szCs w:val="14"/>
              </w:rPr>
              <w:t>17</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170</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8,461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12,241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14,645</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1,239</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597BFA" w:rsidRDefault="00597BFA" w:rsidP="00597BFA">
            <w:pPr>
              <w:jc w:val="right"/>
              <w:rPr>
                <w:sz w:val="14"/>
                <w:szCs w:val="14"/>
              </w:rPr>
            </w:pPr>
            <w:r>
              <w:rPr>
                <w:sz w:val="14"/>
                <w:szCs w:val="14"/>
              </w:rPr>
              <w:t>2,145</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2,167</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2,756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1,648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1,638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1,301</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14,655</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22,775</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18,967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16,048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31,827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6,601</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9,137</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9,552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9,810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13,083</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746</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791</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1,212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339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1,366</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212,957</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213,345</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202,155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213,745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234,745</w:t>
            </w:r>
          </w:p>
        </w:tc>
      </w:tr>
      <w:tr w:rsidR="00597BFA" w:rsidRPr="00D5469A" w:rsidTr="00597BFA">
        <w:trPr>
          <w:trHeight w:hRule="exact" w:val="288"/>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32,424</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43,416</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30,875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31,123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35,860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807</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837</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856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952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1,018</w:t>
            </w:r>
          </w:p>
        </w:tc>
      </w:tr>
      <w:tr w:rsidR="00597BFA" w:rsidRPr="00D5469A" w:rsidTr="00597BFA">
        <w:trPr>
          <w:trHeight w:hRule="exact" w:val="259"/>
        </w:trPr>
        <w:tc>
          <w:tcPr>
            <w:tcW w:w="4068" w:type="dxa"/>
            <w:tcBorders>
              <w:bottom w:val="single" w:sz="12" w:space="0" w:color="auto"/>
            </w:tcBorders>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DB0C32">
              <w:rPr>
                <w:b/>
                <w:bCs/>
                <w:sz w:val="14"/>
                <w:szCs w:val="14"/>
              </w:rPr>
              <w:t>..</w:t>
            </w:r>
          </w:p>
        </w:tc>
        <w:tc>
          <w:tcPr>
            <w:tcW w:w="90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597BFA" w:rsidRPr="00912373" w:rsidRDefault="00597BFA" w:rsidP="00597BFA">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792" w:type="dxa"/>
            <w:tcBorders>
              <w:top w:val="nil"/>
              <w:left w:val="nil"/>
              <w:bottom w:val="single" w:sz="12" w:space="0" w:color="auto"/>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Pr>
                <w:rFonts w:asciiTheme="majorBidi" w:hAnsiTheme="majorBidi" w:cstheme="majorBidi"/>
                <w:b/>
                <w:bCs/>
                <w:sz w:val="14"/>
                <w:szCs w:val="14"/>
              </w:rPr>
              <w:t>..</w:t>
            </w:r>
          </w:p>
        </w:tc>
      </w:tr>
      <w:tr w:rsidR="00597BFA" w:rsidRPr="00D5469A" w:rsidTr="00597BFA">
        <w:trPr>
          <w:trHeight w:hRule="exact" w:val="259"/>
        </w:trPr>
        <w:tc>
          <w:tcPr>
            <w:tcW w:w="4068" w:type="dxa"/>
            <w:tcBorders>
              <w:top w:val="single" w:sz="12" w:space="0" w:color="auto"/>
              <w:bottom w:val="single" w:sz="12" w:space="0" w:color="auto"/>
            </w:tcBorders>
            <w:shd w:val="clear" w:color="auto" w:fill="auto"/>
            <w:noWrap/>
            <w:vAlign w:val="center"/>
          </w:tcPr>
          <w:p w:rsidR="00597BFA" w:rsidRPr="00D5469A" w:rsidRDefault="00597BFA" w:rsidP="00597BFA">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Pr>
                <w:b/>
                <w:bCs/>
                <w:sz w:val="14"/>
                <w:szCs w:val="14"/>
              </w:rPr>
              <w:t>445,658</w:t>
            </w:r>
          </w:p>
        </w:tc>
        <w:tc>
          <w:tcPr>
            <w:tcW w:w="90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497,228</w:t>
            </w:r>
          </w:p>
        </w:tc>
        <w:tc>
          <w:tcPr>
            <w:tcW w:w="90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sidRPr="005372F3">
              <w:rPr>
                <w:b/>
                <w:bCs/>
                <w:sz w:val="14"/>
                <w:szCs w:val="14"/>
              </w:rPr>
              <w:t>499,211</w:t>
            </w:r>
          </w:p>
        </w:tc>
        <w:tc>
          <w:tcPr>
            <w:tcW w:w="990" w:type="dxa"/>
            <w:tcBorders>
              <w:top w:val="single" w:sz="12" w:space="0" w:color="auto"/>
              <w:bottom w:val="single" w:sz="12" w:space="0" w:color="auto"/>
            </w:tcBorders>
            <w:shd w:val="clear" w:color="auto" w:fill="auto"/>
            <w:noWrap/>
            <w:vAlign w:val="center"/>
          </w:tcPr>
          <w:p w:rsidR="00597BFA" w:rsidRPr="00912373" w:rsidRDefault="00597BFA" w:rsidP="00597BFA">
            <w:pPr>
              <w:jc w:val="right"/>
              <w:rPr>
                <w:b/>
                <w:bCs/>
                <w:sz w:val="14"/>
                <w:szCs w:val="14"/>
              </w:rPr>
            </w:pPr>
            <w:r w:rsidRPr="001D0A28">
              <w:rPr>
                <w:b/>
                <w:bCs/>
                <w:sz w:val="14"/>
                <w:szCs w:val="14"/>
              </w:rPr>
              <w:t>519,156</w:t>
            </w:r>
          </w:p>
        </w:tc>
        <w:tc>
          <w:tcPr>
            <w:tcW w:w="900" w:type="dxa"/>
            <w:tcBorders>
              <w:top w:val="single" w:sz="12" w:space="0" w:color="auto"/>
              <w:left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c>
          <w:tcPr>
            <w:tcW w:w="792" w:type="dxa"/>
            <w:tcBorders>
              <w:top w:val="single" w:sz="12" w:space="0" w:color="auto"/>
              <w:left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598,349</w:t>
            </w:r>
          </w:p>
        </w:tc>
      </w:tr>
      <w:tr w:rsidR="00AE7571" w:rsidRPr="00D5469A" w:rsidTr="007B3B61">
        <w:trPr>
          <w:trHeight w:val="216"/>
        </w:trPr>
        <w:tc>
          <w:tcPr>
            <w:tcW w:w="9720" w:type="dxa"/>
            <w:gridSpan w:val="7"/>
            <w:tcBorders>
              <w:top w:val="single" w:sz="12" w:space="0" w:color="auto"/>
            </w:tcBorders>
            <w:shd w:val="clear" w:color="auto" w:fill="auto"/>
            <w:noWrap/>
            <w:vAlign w:val="center"/>
          </w:tcPr>
          <w:p w:rsidR="00AE7571" w:rsidRPr="00D5469A" w:rsidRDefault="00AE7571" w:rsidP="00AE7571">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CE30FF" w:rsidP="008B474C">
            <w:pPr>
              <w:rPr>
                <w:b/>
                <w:bCs/>
                <w:color w:val="auto"/>
                <w:sz w:val="28"/>
                <w:szCs w:val="28"/>
              </w:rPr>
            </w:pPr>
            <w:r w:rsidRPr="00540B10">
              <w:rPr>
                <w:b/>
                <w:bCs/>
                <w:color w:val="auto"/>
                <w:sz w:val="28"/>
                <w:szCs w:val="28"/>
              </w:rPr>
              <w:t>B</w:t>
            </w:r>
            <w:r w:rsidR="00750683" w:rsidRPr="00540B10">
              <w:rPr>
                <w:b/>
                <w:bCs/>
                <w:color w:val="auto"/>
                <w:sz w:val="28"/>
                <w:szCs w:val="28"/>
              </w:rPr>
              <w:t>y</w:t>
            </w:r>
            <w:r>
              <w:rPr>
                <w:b/>
                <w:bCs/>
                <w:color w:val="auto"/>
                <w:sz w:val="28"/>
                <w:szCs w:val="28"/>
              </w:rPr>
              <w:t xml:space="preserve"> </w:t>
            </w:r>
            <w:r w:rsidR="00750683" w:rsidRPr="00540B10">
              <w:rPr>
                <w:b/>
                <w:bCs/>
                <w:color w:val="auto"/>
                <w:sz w:val="28"/>
                <w:szCs w:val="28"/>
              </w:rPr>
              <w:t>DFIs</w:t>
            </w:r>
            <w:r w:rsidR="001723FB" w:rsidRPr="00540B10">
              <w:rPr>
                <w:b/>
                <w:bCs/>
                <w:color w:val="auto"/>
                <w:sz w:val="28"/>
                <w:szCs w:val="28"/>
              </w:rPr>
              <w:t>,</w:t>
            </w:r>
            <w:r>
              <w:rPr>
                <w:b/>
                <w:bCs/>
                <w:color w:val="auto"/>
                <w:sz w:val="28"/>
                <w:szCs w:val="28"/>
              </w:rPr>
              <w:t xml:space="preserve"> </w:t>
            </w:r>
            <w:r w:rsidR="001723FB" w:rsidRPr="00540B10">
              <w:rPr>
                <w:b/>
                <w:bCs/>
                <w:color w:val="auto"/>
                <w:sz w:val="28"/>
                <w:szCs w:val="28"/>
              </w:rPr>
              <w:t xml:space="preserve">MFBs </w:t>
            </w:r>
            <w:r w:rsidR="008B474C">
              <w:rPr>
                <w:b/>
                <w:bCs/>
                <w:color w:val="auto"/>
                <w:sz w:val="28"/>
                <w:szCs w:val="28"/>
              </w:rPr>
              <w:t>and</w:t>
            </w:r>
            <w:r w:rsidR="00750683"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AE7571" w:rsidP="00E941B9">
            <w:pPr>
              <w:rPr>
                <w:b/>
                <w:color w:val="auto"/>
                <w:szCs w:val="16"/>
              </w:rPr>
            </w:pPr>
            <w:r>
              <w:rPr>
                <w:b/>
                <w:color w:val="auto"/>
                <w:szCs w:val="16"/>
              </w:rPr>
              <w:t>Sep-22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AE7571" w:rsidP="00C4368C">
            <w:pPr>
              <w:rPr>
                <w:b/>
                <w:color w:val="auto"/>
                <w:szCs w:val="16"/>
              </w:rPr>
            </w:pPr>
            <w:r>
              <w:rPr>
                <w:b/>
                <w:color w:val="auto"/>
                <w:szCs w:val="16"/>
              </w:rPr>
              <w:t>Dec-22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1,013,734</w:t>
            </w:r>
          </w:p>
        </w:tc>
        <w:tc>
          <w:tcPr>
            <w:tcW w:w="108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167,390</w:t>
            </w:r>
          </w:p>
        </w:tc>
        <w:tc>
          <w:tcPr>
            <w:tcW w:w="81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1,181,124</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1,651,523</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274,101</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1,925,625</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18,193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41,538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59,731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17,487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75,621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93,107</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2,743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7,361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10,104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1,791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12,038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13,829</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15,450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34,177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49,627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15,695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63,583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79,278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73,176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51,847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125,023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96,816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76,659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173,475</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35,570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12,650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48,220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58,093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30,048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88,141</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13,664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20,334</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33,999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9,552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24,172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33,724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23,942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18,795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42,736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29,171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22,320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51,490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922,365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74,004</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996,369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1,537,171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121,822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1,658,993</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6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50,937</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239,369</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290,306</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53,086</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210,946</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264,032</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11,231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222,547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233,778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10,902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182,975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193,877</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1,412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141,265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142,677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1,438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108,949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110,386</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9,819</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81,281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91,101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9,464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74,027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83,491</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38,403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16,377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54,780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40,829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27,529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68,358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30,617</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2,607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33,224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33,575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2,945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36,520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2,518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3,483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1,839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2,804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5,614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10,843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16,457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5,072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22,340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27,412</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986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988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212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410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231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403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634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8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31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1,302</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445</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1,748</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1,356</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442</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1,797</w:t>
            </w:r>
          </w:p>
        </w:tc>
      </w:tr>
      <w:tr w:rsidR="00A54F82" w:rsidRPr="00D5469A" w:rsidTr="00A54F82">
        <w:trPr>
          <w:trHeight w:hRule="exact" w:val="288"/>
        </w:trPr>
        <w:tc>
          <w:tcPr>
            <w:tcW w:w="4068" w:type="dxa"/>
            <w:tcBorders>
              <w:top w:val="single" w:sz="12" w:space="0" w:color="auto"/>
              <w:bottom w:val="single" w:sz="12" w:space="0" w:color="auto"/>
            </w:tcBorders>
            <w:shd w:val="clear" w:color="auto" w:fill="auto"/>
            <w:noWrap/>
            <w:vAlign w:val="center"/>
          </w:tcPr>
          <w:p w:rsidR="00A54F82" w:rsidRPr="00D5469A" w:rsidRDefault="00A54F82" w:rsidP="00A54F82">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1,064,671</w:t>
            </w:r>
          </w:p>
        </w:tc>
        <w:tc>
          <w:tcPr>
            <w:tcW w:w="108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406,759</w:t>
            </w:r>
          </w:p>
        </w:tc>
        <w:tc>
          <w:tcPr>
            <w:tcW w:w="81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1,471,430</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1,704,609</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485,047</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2,189,657</w:t>
            </w:r>
          </w:p>
        </w:tc>
      </w:tr>
      <w:tr w:rsidR="00AE7571" w:rsidRPr="00D5469A" w:rsidTr="007828BE">
        <w:trPr>
          <w:trHeight w:hRule="exact" w:val="247"/>
        </w:trPr>
        <w:tc>
          <w:tcPr>
            <w:tcW w:w="10008" w:type="dxa"/>
            <w:gridSpan w:val="7"/>
            <w:tcBorders>
              <w:top w:val="single" w:sz="12" w:space="0" w:color="auto"/>
            </w:tcBorders>
            <w:shd w:val="clear" w:color="auto" w:fill="auto"/>
            <w:noWrap/>
            <w:vAlign w:val="center"/>
          </w:tcPr>
          <w:p w:rsidR="00AE7571" w:rsidRPr="00D5469A" w:rsidRDefault="00AE7571" w:rsidP="00AE7571">
            <w:pPr>
              <w:jc w:val="right"/>
              <w:rPr>
                <w:color w:val="auto"/>
                <w:sz w:val="12"/>
                <w:szCs w:val="16"/>
              </w:rPr>
            </w:pPr>
            <w:r w:rsidRPr="009836DB">
              <w:rPr>
                <w:color w:val="auto"/>
                <w:sz w:val="13"/>
                <w:szCs w:val="13"/>
              </w:rPr>
              <w:t>* This includes Depository NBFCs, DFIs and MFIs.</w:t>
            </w:r>
            <w:r w:rsidR="00CE30FF">
              <w:rPr>
                <w:color w:val="auto"/>
                <w:sz w:val="13"/>
                <w:szCs w:val="13"/>
              </w:rPr>
              <w:t xml:space="preserve"> </w:t>
            </w:r>
            <w:r>
              <w:rPr>
                <w:sz w:val="14"/>
                <w:szCs w:val="14"/>
              </w:rPr>
              <w:t>Source: Core Statistics Department</w:t>
            </w:r>
          </w:p>
        </w:tc>
      </w:tr>
      <w:tr w:rsidR="00AE7571" w:rsidRPr="00D5469A" w:rsidTr="007828BE">
        <w:trPr>
          <w:trHeight w:hRule="exact" w:val="235"/>
        </w:trPr>
        <w:tc>
          <w:tcPr>
            <w:tcW w:w="10008" w:type="dxa"/>
            <w:gridSpan w:val="7"/>
            <w:shd w:val="clear" w:color="auto" w:fill="auto"/>
            <w:noWrap/>
            <w:vAlign w:val="center"/>
          </w:tcPr>
          <w:p w:rsidR="00AE7571" w:rsidRPr="009836DB" w:rsidRDefault="00AE7571" w:rsidP="00AE7571">
            <w:pPr>
              <w:jc w:val="left"/>
              <w:rPr>
                <w:color w:val="auto"/>
                <w:sz w:val="13"/>
                <w:szCs w:val="13"/>
              </w:rPr>
            </w:pPr>
            <w:r w:rsidRPr="009836DB">
              <w:rPr>
                <w:color w:val="auto"/>
                <w:sz w:val="13"/>
                <w:szCs w:val="13"/>
              </w:rPr>
              <w:t>** This includes Non-Depository NBFCs, PMRCL and HBFC.</w:t>
            </w:r>
          </w:p>
        </w:tc>
      </w:tr>
      <w:tr w:rsidR="00AE7571" w:rsidRPr="00D5469A" w:rsidTr="007828BE">
        <w:trPr>
          <w:trHeight w:hRule="exact" w:val="235"/>
        </w:trPr>
        <w:tc>
          <w:tcPr>
            <w:tcW w:w="10008" w:type="dxa"/>
            <w:gridSpan w:val="7"/>
            <w:shd w:val="clear" w:color="auto" w:fill="auto"/>
            <w:noWrap/>
            <w:vAlign w:val="center"/>
          </w:tcPr>
          <w:p w:rsidR="00AE7571" w:rsidRPr="009836DB" w:rsidRDefault="00AE7571" w:rsidP="00AE7571">
            <w:pPr>
              <w:jc w:val="left"/>
              <w:rPr>
                <w:color w:val="auto"/>
                <w:sz w:val="13"/>
                <w:szCs w:val="13"/>
              </w:rPr>
            </w:pPr>
          </w:p>
        </w:tc>
      </w:tr>
    </w:tbl>
    <w:p w:rsidR="00B433FE" w:rsidRPr="0004205B" w:rsidRDefault="00B433FE" w:rsidP="00C156D0">
      <w:pPr>
        <w:rPr>
          <w:color w:val="auto"/>
        </w:rPr>
      </w:pPr>
    </w:p>
    <w:sectPr w:rsidR="00B433FE" w:rsidRPr="0004205B" w:rsidSect="00277F5B">
      <w:footerReference w:type="even" r:id="rId18"/>
      <w:footerReference w:type="default" r:id="rId19"/>
      <w:type w:val="continuous"/>
      <w:pgSz w:w="11906" w:h="16838" w:code="9"/>
      <w:pgMar w:top="259" w:right="386"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E6" w:rsidRDefault="00027DE6">
      <w:r>
        <w:separator/>
      </w:r>
    </w:p>
  </w:endnote>
  <w:endnote w:type="continuationSeparator" w:id="0">
    <w:p w:rsidR="00027DE6" w:rsidRDefault="0002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6E" w:rsidRDefault="00071D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071D6E" w:rsidRDefault="00071D6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6E" w:rsidRPr="008961D3" w:rsidRDefault="00071D6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C871ED">
      <w:rPr>
        <w:noProof/>
        <w:sz w:val="20"/>
      </w:rPr>
      <w:t>23</w:t>
    </w:r>
    <w:r w:rsidRPr="008961D3">
      <w:rPr>
        <w:sz w:val="20"/>
      </w:rPr>
      <w:fldChar w:fldCharType="end"/>
    </w:r>
  </w:p>
  <w:p w:rsidR="00071D6E" w:rsidRPr="008961D3" w:rsidRDefault="00071D6E">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E6" w:rsidRDefault="00027DE6">
      <w:r>
        <w:separator/>
      </w:r>
    </w:p>
  </w:footnote>
  <w:footnote w:type="continuationSeparator" w:id="0">
    <w:p w:rsidR="00027DE6" w:rsidRDefault="0002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DE6"/>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8A9"/>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69B"/>
    <w:rsid w:val="00070ACB"/>
    <w:rsid w:val="00071241"/>
    <w:rsid w:val="00071287"/>
    <w:rsid w:val="0007152A"/>
    <w:rsid w:val="000716AF"/>
    <w:rsid w:val="000719AC"/>
    <w:rsid w:val="00071D6E"/>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74D"/>
    <w:rsid w:val="000948BA"/>
    <w:rsid w:val="0009491A"/>
    <w:rsid w:val="00094B52"/>
    <w:rsid w:val="00094F49"/>
    <w:rsid w:val="00094F9D"/>
    <w:rsid w:val="00095162"/>
    <w:rsid w:val="0009557D"/>
    <w:rsid w:val="000957B0"/>
    <w:rsid w:val="00096457"/>
    <w:rsid w:val="00096C36"/>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3C7A"/>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83"/>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3B"/>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7CF"/>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8BF"/>
    <w:rsid w:val="001A5FED"/>
    <w:rsid w:val="001A69C4"/>
    <w:rsid w:val="001A6ACB"/>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AEB"/>
    <w:rsid w:val="001C5B6A"/>
    <w:rsid w:val="001C5C86"/>
    <w:rsid w:val="001C5F83"/>
    <w:rsid w:val="001C6B99"/>
    <w:rsid w:val="001C6ED8"/>
    <w:rsid w:val="001C755C"/>
    <w:rsid w:val="001C75FA"/>
    <w:rsid w:val="001C77DD"/>
    <w:rsid w:val="001C78B6"/>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77F5B"/>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B7FB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727"/>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223"/>
    <w:rsid w:val="002F0414"/>
    <w:rsid w:val="002F0449"/>
    <w:rsid w:val="002F100E"/>
    <w:rsid w:val="002F1219"/>
    <w:rsid w:val="002F13EE"/>
    <w:rsid w:val="002F1454"/>
    <w:rsid w:val="002F176D"/>
    <w:rsid w:val="002F24C1"/>
    <w:rsid w:val="002F25DC"/>
    <w:rsid w:val="002F2A74"/>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51A"/>
    <w:rsid w:val="00320A81"/>
    <w:rsid w:val="00320BE4"/>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26A"/>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07"/>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67D13"/>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35B"/>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47B1"/>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DE4"/>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3A5"/>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40"/>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0EBB"/>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C39"/>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552"/>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995"/>
    <w:rsid w:val="00495D19"/>
    <w:rsid w:val="00495D46"/>
    <w:rsid w:val="00495F6C"/>
    <w:rsid w:val="004965AC"/>
    <w:rsid w:val="00496CC8"/>
    <w:rsid w:val="00496E37"/>
    <w:rsid w:val="00497118"/>
    <w:rsid w:val="00497A26"/>
    <w:rsid w:val="00497D7D"/>
    <w:rsid w:val="004A0342"/>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AD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618"/>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2C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0EAC"/>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BFA"/>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536"/>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6DE7"/>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1CE"/>
    <w:rsid w:val="0069571C"/>
    <w:rsid w:val="00695BE6"/>
    <w:rsid w:val="00695BFA"/>
    <w:rsid w:val="00695FD9"/>
    <w:rsid w:val="00696478"/>
    <w:rsid w:val="006965DE"/>
    <w:rsid w:val="006966CC"/>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5CB2"/>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9DD"/>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1F"/>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29EB"/>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5AE"/>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3E8E"/>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A5F"/>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BE4"/>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0ADB"/>
    <w:rsid w:val="007F1208"/>
    <w:rsid w:val="007F14D5"/>
    <w:rsid w:val="007F17D1"/>
    <w:rsid w:val="007F2276"/>
    <w:rsid w:val="007F22A9"/>
    <w:rsid w:val="007F27FE"/>
    <w:rsid w:val="007F28B8"/>
    <w:rsid w:val="007F2B17"/>
    <w:rsid w:val="007F2B50"/>
    <w:rsid w:val="007F2FCC"/>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D9A"/>
    <w:rsid w:val="00805E1C"/>
    <w:rsid w:val="00806232"/>
    <w:rsid w:val="0080662B"/>
    <w:rsid w:val="00806700"/>
    <w:rsid w:val="00806765"/>
    <w:rsid w:val="00806E28"/>
    <w:rsid w:val="00807083"/>
    <w:rsid w:val="00807276"/>
    <w:rsid w:val="008074D4"/>
    <w:rsid w:val="008075EE"/>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2F86"/>
    <w:rsid w:val="008232D7"/>
    <w:rsid w:val="00823DA2"/>
    <w:rsid w:val="00824543"/>
    <w:rsid w:val="008245E8"/>
    <w:rsid w:val="00825C6D"/>
    <w:rsid w:val="00825E96"/>
    <w:rsid w:val="00825F81"/>
    <w:rsid w:val="008263C3"/>
    <w:rsid w:val="00826581"/>
    <w:rsid w:val="0082664F"/>
    <w:rsid w:val="00826895"/>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8E6"/>
    <w:rsid w:val="00880B57"/>
    <w:rsid w:val="00880B9F"/>
    <w:rsid w:val="00880D1B"/>
    <w:rsid w:val="00880DC2"/>
    <w:rsid w:val="00880FB4"/>
    <w:rsid w:val="0088105F"/>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399"/>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E8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9F"/>
    <w:rsid w:val="008D189A"/>
    <w:rsid w:val="008D1A60"/>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64F"/>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285"/>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596"/>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73"/>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2CEC"/>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806"/>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BE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ADE"/>
    <w:rsid w:val="009E0C3E"/>
    <w:rsid w:val="009E13B7"/>
    <w:rsid w:val="009E14A3"/>
    <w:rsid w:val="009E15A8"/>
    <w:rsid w:val="009E1787"/>
    <w:rsid w:val="009E1805"/>
    <w:rsid w:val="009E1B5B"/>
    <w:rsid w:val="009E1C06"/>
    <w:rsid w:val="009E1CDF"/>
    <w:rsid w:val="009E1D1D"/>
    <w:rsid w:val="009E1EC2"/>
    <w:rsid w:val="009E29CB"/>
    <w:rsid w:val="009E2C3E"/>
    <w:rsid w:val="009E2D92"/>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D35"/>
    <w:rsid w:val="00A16E23"/>
    <w:rsid w:val="00A17348"/>
    <w:rsid w:val="00A1737C"/>
    <w:rsid w:val="00A1771E"/>
    <w:rsid w:val="00A177E9"/>
    <w:rsid w:val="00A17829"/>
    <w:rsid w:val="00A17BF4"/>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82"/>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80D"/>
    <w:rsid w:val="00A80913"/>
    <w:rsid w:val="00A80F67"/>
    <w:rsid w:val="00A81047"/>
    <w:rsid w:val="00A811AD"/>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8E"/>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A25"/>
    <w:rsid w:val="00AB7F8B"/>
    <w:rsid w:val="00AB7FCB"/>
    <w:rsid w:val="00AB7FE7"/>
    <w:rsid w:val="00AC00B9"/>
    <w:rsid w:val="00AC0693"/>
    <w:rsid w:val="00AC09C1"/>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AA7"/>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71"/>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044"/>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3B9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C61"/>
    <w:rsid w:val="00B52F3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6CF"/>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88D"/>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714"/>
    <w:rsid w:val="00C1688B"/>
    <w:rsid w:val="00C1693B"/>
    <w:rsid w:val="00C169D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081"/>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8E5"/>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1C3"/>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70A"/>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1ED"/>
    <w:rsid w:val="00C87337"/>
    <w:rsid w:val="00C87451"/>
    <w:rsid w:val="00C876FD"/>
    <w:rsid w:val="00C87C34"/>
    <w:rsid w:val="00C9009B"/>
    <w:rsid w:val="00C90139"/>
    <w:rsid w:val="00C903CC"/>
    <w:rsid w:val="00C9044C"/>
    <w:rsid w:val="00C90820"/>
    <w:rsid w:val="00C91040"/>
    <w:rsid w:val="00C91306"/>
    <w:rsid w:val="00C91B27"/>
    <w:rsid w:val="00C91F97"/>
    <w:rsid w:val="00C92552"/>
    <w:rsid w:val="00C92639"/>
    <w:rsid w:val="00C92D86"/>
    <w:rsid w:val="00C92F5D"/>
    <w:rsid w:val="00C9307D"/>
    <w:rsid w:val="00C930E4"/>
    <w:rsid w:val="00C9326D"/>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3D9"/>
    <w:rsid w:val="00CA0AD2"/>
    <w:rsid w:val="00CA0CD8"/>
    <w:rsid w:val="00CA12E0"/>
    <w:rsid w:val="00CA12E5"/>
    <w:rsid w:val="00CA1BBB"/>
    <w:rsid w:val="00CA2420"/>
    <w:rsid w:val="00CA2CB5"/>
    <w:rsid w:val="00CA2D05"/>
    <w:rsid w:val="00CA3093"/>
    <w:rsid w:val="00CA35C4"/>
    <w:rsid w:val="00CA3F20"/>
    <w:rsid w:val="00CA4421"/>
    <w:rsid w:val="00CA44C9"/>
    <w:rsid w:val="00CA4C21"/>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1F0"/>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A86"/>
    <w:rsid w:val="00CE1BD9"/>
    <w:rsid w:val="00CE1D59"/>
    <w:rsid w:val="00CE20CE"/>
    <w:rsid w:val="00CE220D"/>
    <w:rsid w:val="00CE22BD"/>
    <w:rsid w:val="00CE2F59"/>
    <w:rsid w:val="00CE30FF"/>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7E7"/>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BD9"/>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862"/>
    <w:rsid w:val="00D77B2F"/>
    <w:rsid w:val="00D77BAB"/>
    <w:rsid w:val="00D801EF"/>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92C"/>
    <w:rsid w:val="00D86AB2"/>
    <w:rsid w:val="00D86D0D"/>
    <w:rsid w:val="00D86D1E"/>
    <w:rsid w:val="00D86EFC"/>
    <w:rsid w:val="00D87418"/>
    <w:rsid w:val="00D87531"/>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0EFE"/>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0F50"/>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93A"/>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2FA8"/>
    <w:rsid w:val="00E13282"/>
    <w:rsid w:val="00E13414"/>
    <w:rsid w:val="00E135AE"/>
    <w:rsid w:val="00E13ADB"/>
    <w:rsid w:val="00E13E05"/>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47A23"/>
    <w:rsid w:val="00E47B8E"/>
    <w:rsid w:val="00E47DF9"/>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12D"/>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153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2BC2"/>
    <w:rsid w:val="00EC3772"/>
    <w:rsid w:val="00EC3820"/>
    <w:rsid w:val="00EC45AF"/>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878"/>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E19"/>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BA3"/>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5C6"/>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55"/>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293C"/>
    <w:rsid w:val="00FB34EB"/>
    <w:rsid w:val="00FB35E2"/>
    <w:rsid w:val="00FB3BD5"/>
    <w:rsid w:val="00FB3D0C"/>
    <w:rsid w:val="00FB3DF8"/>
    <w:rsid w:val="00FB3E8C"/>
    <w:rsid w:val="00FB3ED2"/>
    <w:rsid w:val="00FB4201"/>
    <w:rsid w:val="00FB4D7E"/>
    <w:rsid w:val="00FB4DC2"/>
    <w:rsid w:val="00FB4DFE"/>
    <w:rsid w:val="00FB51CE"/>
    <w:rsid w:val="00FB5262"/>
    <w:rsid w:val="00FB5608"/>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8A9"/>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669C1"/>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0250448">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078488">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27962424">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2440735">
      <w:bodyDiv w:val="1"/>
      <w:marLeft w:val="0"/>
      <w:marRight w:val="0"/>
      <w:marTop w:val="0"/>
      <w:marBottom w:val="0"/>
      <w:divBdr>
        <w:top w:val="none" w:sz="0" w:space="0" w:color="auto"/>
        <w:left w:val="none" w:sz="0" w:space="0" w:color="auto"/>
        <w:bottom w:val="none" w:sz="0" w:space="0" w:color="auto"/>
        <w:right w:val="none" w:sz="0" w:space="0" w:color="auto"/>
      </w:divBdr>
    </w:div>
    <w:div w:id="295374026">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08692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1166726">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503321555">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21821720">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46838499">
      <w:bodyDiv w:val="1"/>
      <w:marLeft w:val="0"/>
      <w:marRight w:val="0"/>
      <w:marTop w:val="0"/>
      <w:marBottom w:val="0"/>
      <w:divBdr>
        <w:top w:val="none" w:sz="0" w:space="0" w:color="auto"/>
        <w:left w:val="none" w:sz="0" w:space="0" w:color="auto"/>
        <w:bottom w:val="none" w:sz="0" w:space="0" w:color="auto"/>
        <w:right w:val="none" w:sz="0" w:space="0" w:color="auto"/>
      </w:divBdr>
    </w:div>
    <w:div w:id="547228715">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464724">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23445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0654508">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15404985">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038666">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77730188">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1783711">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14812525">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5176976">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3675605">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35923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89594196">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8232616">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8563641">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63977341">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303426">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6226122">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3794674">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6149650">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5759103">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2116735">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26004255">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548145">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025309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3974318">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8564463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5395314">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5060029">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794396">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8712773">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19678975">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17004203">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59449365">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69806713">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277416">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0472821">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687650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69637485">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78664594">
      <w:bodyDiv w:val="1"/>
      <w:marLeft w:val="0"/>
      <w:marRight w:val="0"/>
      <w:marTop w:val="0"/>
      <w:marBottom w:val="0"/>
      <w:divBdr>
        <w:top w:val="none" w:sz="0" w:space="0" w:color="auto"/>
        <w:left w:val="none" w:sz="0" w:space="0" w:color="auto"/>
        <w:bottom w:val="none" w:sz="0" w:space="0" w:color="auto"/>
        <w:right w:val="none" w:sz="0" w:space="0" w:color="auto"/>
      </w:divBdr>
    </w:div>
    <w:div w:id="1878810954">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0505790">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4413368">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4747555">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388582">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26588707">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3568164">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MFSM_Other_Depositor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ecodata/RSMS.pdf" TargetMode="External"/><Relationship Id="rId2" Type="http://schemas.openxmlformats.org/officeDocument/2006/relationships/numbering" Target="numbering.xml"/><Relationship Id="rId16" Type="http://schemas.openxmlformats.org/officeDocument/2006/relationships/hyperlink" Target="http://www.sbp.org.pk/ecodata/MFSM_Dep_C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_Acc_bkg.pdf" TargetMode="External"/><Relationship Id="rId5" Type="http://schemas.openxmlformats.org/officeDocument/2006/relationships/webSettings" Target="webSettings.xml"/><Relationship Id="rId15" Type="http://schemas.openxmlformats.org/officeDocument/2006/relationships/hyperlink" Target="http://www.sbp.org.pk/departments/stats/Notice-27-Mar-2017.pdf" TargetMode="External"/><Relationship Id="rId28" Type="http://schemas.microsoft.com/office/2016/09/relationships/commentsIds" Target="commentsIds.xml"/><Relationship Id="rId10" Type="http://schemas.openxmlformats.org/officeDocument/2006/relationships/hyperlink" Target="http://www.sbp.org.pk/departments/stats/ntb.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bp.org.pk/ecodata/Ana_Acc_Sbp.pdf" TargetMode="External"/><Relationship Id="rId14" Type="http://schemas.openxmlformats.org/officeDocument/2006/relationships/hyperlink" Target="http://www.sbp.org.pk/departments/stats/ntb.htm"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17026-D0DB-4256-9685-B703E1C1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16</Pages>
  <Words>10332</Words>
  <Characters>58895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69089</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Khalid Sarwar - Statistics &amp; DWH</cp:lastModifiedBy>
  <cp:revision>39</cp:revision>
  <cp:lastPrinted>2023-06-22T11:06:00Z</cp:lastPrinted>
  <dcterms:created xsi:type="dcterms:W3CDTF">2023-05-03T11:19:00Z</dcterms:created>
  <dcterms:modified xsi:type="dcterms:W3CDTF">2023-07-07T09:56:00Z</dcterms:modified>
</cp:coreProperties>
</file>