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76"/>
        <w:gridCol w:w="939"/>
        <w:gridCol w:w="829"/>
        <w:gridCol w:w="810"/>
        <w:gridCol w:w="893"/>
        <w:gridCol w:w="854"/>
        <w:gridCol w:w="948"/>
      </w:tblGrid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D3ADA" w:rsidRPr="00423117" w:rsidTr="008D3AD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BB03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8D3ADA" w:rsidRPr="00423117" w:rsidTr="008D3ADA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8D3A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</w:tr>
      <w:tr w:rsidR="008D3ADA" w:rsidRPr="00423117" w:rsidTr="002F7FD8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8D3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23117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3ADA" w:rsidRPr="00423117" w:rsidTr="002F7FD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8D3AD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6C1D3D" w:rsidRDefault="008D3ADA" w:rsidP="008D3AD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1,748,384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2,419,461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2,544,915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1,028,192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69,920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114,829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119,881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51,283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1,028,808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917,413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2,170,826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1,448,334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37,132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33,677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84,816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45,274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4,536,573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4,278,799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4,527,434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5,624,015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5,992,568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20,417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18,552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29,481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13,140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1,977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3,225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1,438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67,821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61,779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110,026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5,305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4,870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358,621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317,259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225,785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144,553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138,642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9,999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128,750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123,294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45,982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1,953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27,274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26,895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10,080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120,604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107,472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285,483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218,248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190,519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13,223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34,890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29,141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28,026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</w:tr>
      <w:tr w:rsidR="00063E4F" w:rsidRPr="00664FF0" w:rsidTr="00063E4F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710C55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1,796,276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1,698,804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1,542,072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1,447,118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2F7FD8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2F7FD8">
              <w:rPr>
                <w:rFonts w:asciiTheme="majorBidi" w:hAnsiTheme="majorBidi" w:cstheme="majorBidi"/>
                <w:sz w:val="16"/>
                <w:szCs w:val="16"/>
              </w:rPr>
              <w:t>1,302,581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E4F" w:rsidRPr="00063E4F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63E4F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</w:tr>
      <w:tr w:rsidR="00063E4F" w:rsidRPr="00423117" w:rsidTr="002F7FD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423117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423117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423117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605286" w:rsidRDefault="00063E4F" w:rsidP="00063E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3E4F" w:rsidRPr="00605286" w:rsidRDefault="00063E4F" w:rsidP="00063E4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423117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3E4F" w:rsidRPr="00423117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3E4F" w:rsidRPr="00423117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3E4F" w:rsidRPr="00423117" w:rsidRDefault="00063E4F" w:rsidP="00063E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63E4F" w:rsidRPr="001B7DA0" w:rsidRDefault="00063E4F" w:rsidP="00063E4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3E4F" w:rsidRPr="00423117" w:rsidTr="002F7FD8">
        <w:trPr>
          <w:trHeight w:val="32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</w:p>
        </w:tc>
      </w:tr>
      <w:tr w:rsidR="00063E4F" w:rsidRPr="00423117" w:rsidTr="002F7FD8">
        <w:trPr>
          <w:trHeight w:val="25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3E4F" w:rsidRPr="006C1D3D" w:rsidRDefault="00063E4F" w:rsidP="00063E4F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861"/>
        <w:gridCol w:w="810"/>
        <w:gridCol w:w="810"/>
        <w:gridCol w:w="810"/>
        <w:gridCol w:w="810"/>
        <w:gridCol w:w="810"/>
      </w:tblGrid>
      <w:tr w:rsidR="00BB1A19" w:rsidRPr="00E73AA6" w:rsidTr="00E319C7">
        <w:trPr>
          <w:trHeight w:val="259"/>
          <w:jc w:val="center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E319C7">
        <w:trPr>
          <w:trHeight w:val="259"/>
          <w:jc w:val="center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E319C7">
        <w:trPr>
          <w:trHeight w:val="259"/>
          <w:jc w:val="center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E319C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4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B5327C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E73AA6" w:rsidRDefault="00B5327C" w:rsidP="00B5327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D16B4B" w:rsidRDefault="00B5327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D16B4B" w:rsidRDefault="00B5327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824.2</w:t>
            </w:r>
          </w:p>
        </w:tc>
      </w:tr>
      <w:tr w:rsidR="0002077A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7F3FB7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399.6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384.6</w:t>
            </w:r>
          </w:p>
        </w:tc>
      </w:tr>
      <w:tr w:rsidR="007F3FB7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</w:tr>
      <w:tr w:rsidR="007F3FB7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1,124.5</w:t>
            </w:r>
          </w:p>
        </w:tc>
      </w:tr>
      <w:tr w:rsidR="00DA3A92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92" w:rsidRPr="00E73AA6" w:rsidRDefault="00DA3A92" w:rsidP="00DA3A9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893.</w:t>
            </w:r>
            <w:r w:rsidR="0028757A" w:rsidRPr="00D16B4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2875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887</w:t>
            </w:r>
            <w:r w:rsidR="000E6398" w:rsidRPr="00D16B4B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151A35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151A35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251.00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421.8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E319C7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618.2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E319C7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560.8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319C7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1372D1" w:rsidRDefault="00E319C7" w:rsidP="00E319C7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625.4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612.2</w:t>
            </w:r>
          </w:p>
        </w:tc>
      </w:tr>
      <w:tr w:rsidR="00E319C7" w:rsidRPr="00E73AA6" w:rsidTr="00E319C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1372D1" w:rsidRDefault="00E319C7" w:rsidP="00E319C7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Pr="001372D1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20.41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E319C7">
        <w:trPr>
          <w:trHeight w:val="259"/>
          <w:jc w:val="center"/>
        </w:trPr>
        <w:tc>
          <w:tcPr>
            <w:tcW w:w="882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3,452.3</w:t>
            </w:r>
          </w:p>
        </w:tc>
      </w:tr>
      <w:tr w:rsidR="00035B69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8,396.9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3,376.05</w:t>
            </w:r>
          </w:p>
        </w:tc>
      </w:tr>
      <w:tr w:rsidR="0002077A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10,076.8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6,884.30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5,894.75</w:t>
            </w:r>
          </w:p>
        </w:tc>
      </w:tr>
      <w:tr w:rsidR="00067E0D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73AA6" w:rsidRDefault="00067E0D" w:rsidP="00067E0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10,810.8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9,744.9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2,504.40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2,313.40</w:t>
            </w:r>
          </w:p>
        </w:tc>
      </w:tr>
      <w:tr w:rsidR="007F114F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7,125.4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5,367.00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4,971.75</w:t>
            </w:r>
          </w:p>
        </w:tc>
      </w:tr>
      <w:tr w:rsidR="0056468D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3,159.8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5,074.20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3,803.00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2,663.60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2,343.15</w:t>
            </w:r>
          </w:p>
        </w:tc>
      </w:tr>
      <w:tr w:rsidR="000E6398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Pr="00E73AA6" w:rsidRDefault="000E6398" w:rsidP="000E6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14,152.8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8,606.65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7,909.65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16,150.0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016DFA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584.60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016DFA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266.40</w:t>
            </w:r>
          </w:p>
        </w:tc>
      </w:tr>
      <w:tr w:rsidR="00785D93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Pr="00E73AA6" w:rsidRDefault="00785D93" w:rsidP="00785D9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Default="00785D93" w:rsidP="00785D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5D93" w:rsidRPr="00D16B4B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14,149.9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4,061.40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4,039.40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3,188.2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E319C7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12,548.65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E319C7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12,459.30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785D9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319C7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41DC9" w:rsidRDefault="00E319C7" w:rsidP="00E319C7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9,426.8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5,396.16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4,765.20</w:t>
            </w:r>
          </w:p>
        </w:tc>
      </w:tr>
      <w:tr w:rsidR="00E319C7" w:rsidRPr="00E73AA6" w:rsidTr="00E319C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41DC9" w:rsidRDefault="00E319C7" w:rsidP="00E319C7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319C7" w:rsidRPr="00E41DC9" w:rsidRDefault="00E319C7" w:rsidP="00E319C7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319C7" w:rsidRPr="00D16B4B" w:rsidRDefault="00E319C7" w:rsidP="00E319C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314.2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158.84</w:t>
            </w:r>
          </w:p>
        </w:tc>
      </w:tr>
      <w:tr w:rsidR="006B542C" w:rsidRPr="00E73AA6" w:rsidTr="00E319C7">
        <w:trPr>
          <w:trHeight w:val="259"/>
          <w:jc w:val="center"/>
        </w:trPr>
        <w:tc>
          <w:tcPr>
            <w:tcW w:w="882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800"/>
        <w:gridCol w:w="810"/>
      </w:tblGrid>
      <w:tr w:rsidR="007222EC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32DC5">
        <w:trPr>
          <w:trHeight w:val="162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32DC5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832DC5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832DC5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02077A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</w:tr>
      <w:tr w:rsidR="00BE2261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147,550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</w:t>
            </w:r>
          </w:p>
        </w:tc>
      </w:tr>
      <w:tr w:rsidR="007F114F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1,438,45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1,752,250</w:t>
            </w:r>
          </w:p>
        </w:tc>
      </w:tr>
      <w:tr w:rsidR="007D1D0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D07" w:rsidRPr="00E73AA6" w:rsidRDefault="007D1D07" w:rsidP="007D1D0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2,338,800</w:t>
            </w:r>
          </w:p>
        </w:tc>
      </w:tr>
      <w:tr w:rsidR="007D1D0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D07" w:rsidRPr="00E73AA6" w:rsidRDefault="007D1D07" w:rsidP="007D1D0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722,600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  <w:r w:rsidR="000E6398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0E6398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2,233,500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1,028,80</w:t>
            </w:r>
            <w:r w:rsidR="00D16B4B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488,750</w:t>
            </w:r>
          </w:p>
        </w:tc>
      </w:tr>
      <w:tr w:rsidR="00D20BF2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3,266,300</w:t>
            </w:r>
          </w:p>
        </w:tc>
      </w:tr>
      <w:tr w:rsidR="002D7E39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E319C7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E319C7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2,856,500</w:t>
            </w:r>
          </w:p>
        </w:tc>
      </w:tr>
      <w:tr w:rsidR="002D7E39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D20BF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D20BF2">
            <w:pPr>
              <w:jc w:val="right"/>
              <w:rPr>
                <w:sz w:val="16"/>
                <w:szCs w:val="16"/>
              </w:rPr>
            </w:pPr>
          </w:p>
        </w:tc>
      </w:tr>
      <w:tr w:rsidR="00E319C7" w:rsidRPr="00E73AA6" w:rsidTr="00437E0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627,652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1,525,871</w:t>
            </w:r>
          </w:p>
        </w:tc>
      </w:tr>
      <w:tr w:rsidR="00E319C7" w:rsidRPr="00E73AA6" w:rsidTr="00437E0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20,922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50,862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 w:rsidR="00C97FC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D7E39" w:rsidRPr="00E73AA6" w:rsidTr="00832DC5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832DC5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832DC5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02077A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15.00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</w:tr>
      <w:tr w:rsidR="00870232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232" w:rsidRPr="00E73AA6" w:rsidRDefault="00870232" w:rsidP="0087023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232" w:rsidRPr="0056468D" w:rsidRDefault="00870232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232" w:rsidRPr="0056468D" w:rsidRDefault="00870232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Pr="000832EF" w:rsidRDefault="000832EF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Pr="000832EF" w:rsidRDefault="000832EF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19.00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</w:tr>
      <w:tr w:rsidR="00D20BF2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Pr="00E73AA6" w:rsidRDefault="00D20BF2" w:rsidP="00D20BF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F2" w:rsidRDefault="00D20BF2" w:rsidP="00D20B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</w:tr>
      <w:tr w:rsidR="00E319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D375A7" w:rsidP="00E319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bookmarkStart w:id="0" w:name="_GoBack"/>
            <w:bookmarkEnd w:id="0"/>
            <w:r w:rsidR="00E319C7">
              <w:rPr>
                <w:sz w:val="16"/>
                <w:szCs w:val="16"/>
              </w:rPr>
              <w:t>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D375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75A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</w:tr>
      <w:tr w:rsidR="00E319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19C7" w:rsidRPr="00E73AA6" w:rsidRDefault="00E319C7" w:rsidP="00E319C7">
            <w:pPr>
              <w:jc w:val="right"/>
              <w:rPr>
                <w:sz w:val="16"/>
                <w:szCs w:val="16"/>
              </w:rPr>
            </w:pPr>
          </w:p>
        </w:tc>
      </w:tr>
      <w:tr w:rsidR="00E319C7" w:rsidRPr="00E73AA6" w:rsidTr="00832DC5">
        <w:trPr>
          <w:trHeight w:hRule="exact" w:val="21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9C7" w:rsidRPr="00E73AA6" w:rsidRDefault="00E319C7" w:rsidP="00E319C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E319C7" w:rsidRPr="00E73AA6" w:rsidTr="00832DC5">
        <w:trPr>
          <w:trHeight w:hRule="exact" w:val="414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Pr="00E73AA6" w:rsidRDefault="00E319C7" w:rsidP="00E319C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discount rate) is the rate at which banks borrow from SBP on an overnight basis.</w:t>
            </w:r>
          </w:p>
        </w:tc>
      </w:tr>
      <w:tr w:rsidR="00E319C7" w:rsidRPr="00E73AA6" w:rsidTr="00832DC5">
        <w:trPr>
          <w:trHeight w:val="30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C7" w:rsidRDefault="00E319C7" w:rsidP="00E319C7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E319C7" w:rsidRPr="00E73AA6" w:rsidRDefault="00E319C7" w:rsidP="00E319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832EF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F4A71" w:rsidRDefault="000832EF" w:rsidP="000832EF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14.4730</w:t>
            </w: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8610D3" w:rsidRDefault="0058746D" w:rsidP="005874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14.7499</w:t>
            </w: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0340F4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2917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15.1503</w:t>
            </w: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2917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2917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58746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8746D" w:rsidRPr="0067184C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15.8345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8746D" w:rsidRPr="0067184C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15.8837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E6418E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15.8869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E6418E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15.8994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8746D" w:rsidRPr="0067184C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E6418E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E6418E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left="-10" w:right="-13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righ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  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8746D" w:rsidRPr="0067184C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02077A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15.6874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02077A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15.6655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8746D" w:rsidRPr="0067184C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E1D23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15.7267</w:t>
            </w:r>
          </w:p>
        </w:tc>
      </w:tr>
      <w:tr w:rsidR="0058746D" w:rsidRPr="00254811" w:rsidTr="00FC777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E1D23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</w:tr>
      <w:tr w:rsidR="0058746D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02077A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16.7726</w:t>
            </w: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16.7952</w:t>
            </w:r>
          </w:p>
        </w:tc>
      </w:tr>
      <w:tr w:rsidR="0058746D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16.8135</w:t>
            </w:r>
          </w:p>
        </w:tc>
      </w:tr>
      <w:tr w:rsidR="0058746D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0832EF" w:rsidRDefault="0058746D" w:rsidP="005874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2E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5909CF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58746D" w:rsidRPr="00254811" w:rsidTr="005909CF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58746D" w:rsidRPr="00254811" w:rsidTr="005909CF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5909CF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563,277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454,476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173,955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8,455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167,888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1,169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328,075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233,075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19.2652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51,888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4D6B33">
              <w:rPr>
                <w:rFonts w:asciiTheme="majorBidi" w:hAnsiTheme="majorBidi" w:cstheme="majorBidi"/>
                <w:sz w:val="16"/>
                <w:szCs w:val="16"/>
              </w:rPr>
              <w:t>887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19.5706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50,783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10,782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19.7697</w:t>
            </w: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5909CF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08-Mar-23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1,978,216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2,941,414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20.9719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240,520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20.6686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3,699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20.8647</w:t>
            </w:r>
          </w:p>
        </w:tc>
      </w:tr>
      <w:tr w:rsidR="0058746D" w:rsidRPr="00254811" w:rsidTr="005909CF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22-Mar-23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1,073,277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1,857,012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21.0643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155,008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29,501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21.9566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287,84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275,595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B53AAC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21.4865</w:t>
            </w:r>
          </w:p>
        </w:tc>
      </w:tr>
      <w:tr w:rsidR="0058746D" w:rsidRPr="00254811" w:rsidTr="005909CF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7F114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4D6B33" w:rsidRDefault="0058746D" w:rsidP="0058746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2,360,233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2,153,940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149,689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9,189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21.8776</w:t>
            </w:r>
          </w:p>
        </w:tc>
      </w:tr>
      <w:tr w:rsidR="0058746D" w:rsidRPr="00254811" w:rsidTr="005909CF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510,856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21.9840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203,516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21.9445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225,820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21.8694</w:t>
            </w: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Default="0058746D" w:rsidP="0058746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746D" w:rsidRPr="00254811" w:rsidTr="00C27841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930,036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651,238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155,277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159,133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45,132.86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21.9788</w:t>
            </w:r>
          </w:p>
        </w:tc>
      </w:tr>
      <w:tr w:rsidR="0058746D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546,464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81,301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88,529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10,929.40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21.9973</w:t>
            </w:r>
          </w:p>
        </w:tc>
      </w:tr>
      <w:tr w:rsidR="0058746D" w:rsidRPr="00254811" w:rsidTr="0018655A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2,488,810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2,275,949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309,154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326,432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6,031.56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655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</w:tr>
      <w:tr w:rsidR="0058746D" w:rsidRPr="00254811" w:rsidTr="0018655A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746D" w:rsidRPr="00254811" w:rsidTr="0058746D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2,049,368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2,016,368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21.9819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234,682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21.9669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360,715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18655A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201,214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21.9894</w:t>
            </w:r>
          </w:p>
        </w:tc>
      </w:tr>
      <w:tr w:rsidR="0058746D" w:rsidRPr="00254811" w:rsidTr="0058746D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8746D" w:rsidRPr="000832EF" w:rsidRDefault="0058746D" w:rsidP="00587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746D" w:rsidRPr="0058746D" w:rsidRDefault="0058746D" w:rsidP="005874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74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21.9774</w:t>
            </w:r>
          </w:p>
        </w:tc>
      </w:tr>
      <w:tr w:rsidR="0058746D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746D" w:rsidRDefault="0058746D" w:rsidP="0058746D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58746D" w:rsidRPr="009A1422" w:rsidRDefault="0058746D" w:rsidP="00587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DD3">
              <w:rPr>
                <w:b/>
                <w:bCs/>
                <w:color w:val="000000"/>
                <w:sz w:val="16"/>
                <w:szCs w:val="16"/>
              </w:rPr>
              <w:t>30-Nov-22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35,560.00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84,393.00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25,050.00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89.9988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A2DD3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13.3175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78,444.50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42,695.00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41,554.40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32,394.50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5B1470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5B1470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94453C" w:rsidRPr="005B1470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Pr="00282918" w:rsidRDefault="0094453C" w:rsidP="0094453C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43,619.00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26,000.10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84.8756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29,014.00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89.0472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13.4666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122,808.00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94453C" w:rsidRDefault="0094453C" w:rsidP="0094453C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164,847.00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143,741.30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84.7013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18.3899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18.3354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43,800.50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117,924.00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282918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F1764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6E6BEC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101,065.00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62,884.80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83.5395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19.3895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18.9210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8F4A71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22,000.00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22,250.00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797171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2F7FD8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57BB0" w:rsidRPr="00E73AA6" w:rsidTr="00357BB0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6E6BEC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07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221,595.50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ind w:right="-103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126,606.70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84.2055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19.2462</w:t>
            </w:r>
          </w:p>
        </w:tc>
      </w:tr>
      <w:tr w:rsidR="00357BB0" w:rsidRPr="00E73AA6" w:rsidTr="00357BB0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8F4A71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36,250.00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35,750.00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357BB0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BB0" w:rsidRPr="001268EF" w:rsidRDefault="00357BB0" w:rsidP="00357B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357BB0" w:rsidRPr="00357BB0" w:rsidRDefault="00357BB0" w:rsidP="00357BB0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94453C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9255AC" w:rsidRDefault="0094453C" w:rsidP="0094453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Pr="001268EF" w:rsidRDefault="0094453C" w:rsidP="009445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1268EF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1268EF" w:rsidRDefault="0094453C" w:rsidP="0094453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94453C" w:rsidRPr="006A7589" w:rsidRDefault="0094453C" w:rsidP="0094453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453C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53C" w:rsidRDefault="0094453C" w:rsidP="00944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94453C" w:rsidRDefault="0094453C" w:rsidP="0094453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94453C" w:rsidRPr="00DC2641" w:rsidRDefault="0094453C" w:rsidP="0094453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BF7B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</w:t>
            </w:r>
            <w:r w:rsidR="00E564A7">
              <w:rPr>
                <w:color w:val="000000"/>
                <w:sz w:val="16"/>
                <w:szCs w:val="16"/>
              </w:rPr>
              <w:t>ce</w:t>
            </w:r>
            <w:r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28-Feb-23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378,900.00</w:t>
            </w: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262,501.00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98.4026</w:t>
            </w: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68,250.00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7962C2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7962C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08-Mar-23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306,876.00</w:t>
            </w: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257,351.90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98.4305</w:t>
            </w: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433.20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96.6875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22-Mar-23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58,199.20</w:t>
            </w: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25,788.70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98.4675</w:t>
            </w: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149,580.00</w:t>
            </w: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106,230.00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98.4330</w:t>
            </w: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96.7735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94.3250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37,141.00</w:t>
            </w: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8,891.00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98.4507</w:t>
            </w: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96.8139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68,500.00</w:t>
            </w: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50,610.50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98.4626</w:t>
            </w: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96.8599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40,750.00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94.4742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34,771.00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98.4698</w:t>
            </w:r>
          </w:p>
        </w:tc>
      </w:tr>
      <w:tr w:rsidR="007D15E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6,000.20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97.0476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8,905.00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94.4413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</w:tr>
      <w:tr w:rsidR="007D15EC" w:rsidRPr="00E73AA6" w:rsidTr="0035260F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15-Jun-23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69,620.00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28,436.10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98.5409</w:t>
            </w:r>
          </w:p>
        </w:tc>
      </w:tr>
      <w:tr w:rsidR="007D15EC" w:rsidRPr="00E73AA6" w:rsidTr="0035260F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97.0834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132,368.00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94.4512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22-Jun-23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98.5606</w:t>
            </w: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A6323F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1,359.00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97.0970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7D15E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D15EC" w:rsidRPr="008F4A71" w:rsidRDefault="007D15EC" w:rsidP="007D15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15EC">
              <w:rPr>
                <w:rFonts w:ascii="Calibri" w:hAnsi="Calibri" w:cs="Calibri"/>
                <w:color w:val="000000"/>
                <w:sz w:val="14"/>
                <w:szCs w:val="14"/>
              </w:rPr>
              <w:t>126,200.00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48A0">
              <w:rPr>
                <w:rFonts w:asciiTheme="majorBidi" w:hAnsiTheme="majorBidi" w:cstheme="majorBidi"/>
                <w:sz w:val="14"/>
                <w:szCs w:val="14"/>
              </w:rPr>
              <w:t>93,640.00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15EC" w:rsidRPr="00E048A0" w:rsidRDefault="007D15EC" w:rsidP="00E048A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48A0">
              <w:rPr>
                <w:rFonts w:asciiTheme="majorBidi" w:hAnsiTheme="majorBidi" w:cstheme="majorBidi"/>
                <w:sz w:val="14"/>
                <w:szCs w:val="14"/>
              </w:rPr>
              <w:t>94.4582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46B6E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FB5CFC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E05081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35260F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401CCC" w:rsidRDefault="007D15EC" w:rsidP="007D15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5A4675" w:rsidRDefault="007D15EC" w:rsidP="007D15E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7D15EC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7D15EC" w:rsidRDefault="007D15EC" w:rsidP="007D15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Default="007D15EC" w:rsidP="007D15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BE487A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7D15EC" w:rsidRPr="00DA51AF" w:rsidRDefault="007D15EC" w:rsidP="007D15EC">
            <w:pPr>
              <w:jc w:val="right"/>
              <w:rPr>
                <w:sz w:val="16"/>
                <w:szCs w:val="18"/>
              </w:rPr>
            </w:pPr>
          </w:p>
        </w:tc>
      </w:tr>
      <w:tr w:rsidR="007D15EC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7D15EC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7D15EC" w:rsidRDefault="007D15EC" w:rsidP="007D15E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7D15EC" w:rsidRDefault="007D15EC" w:rsidP="007D15E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7D15EC" w:rsidRDefault="007D15EC" w:rsidP="007D15E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7D15EC" w:rsidRDefault="007D15EC" w:rsidP="007D15E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7D15EC" w:rsidRDefault="007D15EC" w:rsidP="007D15EC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7D15EC" w:rsidRDefault="007D15EC" w:rsidP="007D15EC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0C3AF0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215DD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215DD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Default="008D3ADA" w:rsidP="008D3ADA">
            <w:pPr>
              <w:rPr>
                <w:rFonts w:ascii="Garamond" w:hAnsi="Garamond" w:cs="Calibri"/>
              </w:rPr>
            </w:pP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215DD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882B95" w:rsidRDefault="008D3ADA" w:rsidP="008D3A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215DD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0427B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8D3A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164039" w:rsidRDefault="008D3ADA" w:rsidP="008D3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3ADA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882B95" w:rsidRDefault="008D3ADA" w:rsidP="008D3A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</w:tr>
      <w:tr w:rsidR="008D3ADA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16.13</w:t>
            </w:r>
          </w:p>
        </w:tc>
      </w:tr>
      <w:tr w:rsidR="008D3ADA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D3ADA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8D3ADA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8D3ADA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D3ADA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8D3ADA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8D3ADA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D3ADA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A054BE" w:rsidRDefault="008D3ADA" w:rsidP="008D3ADA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8D3ADA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5A4675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8D3ADA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D3ADA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A054BE" w:rsidRDefault="008D3ADA" w:rsidP="008D3A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19.05</w:t>
            </w:r>
          </w:p>
        </w:tc>
      </w:tr>
      <w:tr w:rsidR="008D3ADA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20.40</w:t>
            </w:r>
          </w:p>
        </w:tc>
      </w:tr>
      <w:tr w:rsidR="008D3ADA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D3ADA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A054BE" w:rsidRDefault="008D3ADA" w:rsidP="008D3A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</w:tr>
      <w:tr w:rsidR="008D3ADA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DA2584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</w:tr>
      <w:tr w:rsidR="008D3ADA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D3ADA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A054BE" w:rsidRDefault="008D3ADA" w:rsidP="008D3A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22.32</w:t>
            </w:r>
          </w:p>
        </w:tc>
      </w:tr>
      <w:tr w:rsidR="008D3ADA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C27841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</w:tr>
      <w:tr w:rsidR="008D3ADA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D3ADA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A054BE" w:rsidRDefault="008D3ADA" w:rsidP="008D3A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</w:tr>
      <w:tr w:rsidR="008D3ADA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7F087C" w:rsidRDefault="008D3ADA" w:rsidP="008D3A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20.9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21.92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sz w:val="16"/>
                <w:szCs w:val="16"/>
              </w:rPr>
              <w:t>22.42</w:t>
            </w:r>
          </w:p>
        </w:tc>
      </w:tr>
      <w:tr w:rsidR="008D3ADA" w:rsidRPr="00E73AA6" w:rsidTr="00384563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D3ADA" w:rsidRPr="004D6B33" w:rsidRDefault="008D3ADA" w:rsidP="008D3A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579A4" w:rsidRPr="00E73AA6" w:rsidTr="005579A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A054BE" w:rsidRDefault="005579A4" w:rsidP="005579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579A4" w:rsidRPr="007F087C" w:rsidRDefault="005579A4" w:rsidP="00557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579A4" w:rsidRPr="007F087C" w:rsidRDefault="005579A4" w:rsidP="005579A4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22.43</w:t>
            </w:r>
          </w:p>
        </w:tc>
      </w:tr>
      <w:tr w:rsidR="005579A4" w:rsidRPr="00E73AA6" w:rsidTr="005579A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ED0974" w:rsidRDefault="005579A4" w:rsidP="00557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7F087C" w:rsidRDefault="005579A4" w:rsidP="005579A4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579A4" w:rsidRPr="007F087C" w:rsidRDefault="005579A4" w:rsidP="005579A4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21.89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22.39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21.97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22.47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22.04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22.54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22.72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22.77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579A4">
              <w:rPr>
                <w:rFonts w:asciiTheme="majorBidi" w:hAnsiTheme="majorBidi" w:cstheme="majorBidi"/>
                <w:sz w:val="14"/>
                <w:szCs w:val="14"/>
              </w:rPr>
              <w:t>23.27</w:t>
            </w:r>
          </w:p>
        </w:tc>
      </w:tr>
      <w:tr w:rsidR="008D3ADA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D3ADA" w:rsidRPr="00ED0974" w:rsidRDefault="008D3ADA" w:rsidP="008D3A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3ADA" w:rsidRPr="00ED0974" w:rsidRDefault="008D3ADA" w:rsidP="008D3ADA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8D3ADA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8D3ADA" w:rsidRPr="00E73AA6" w:rsidRDefault="008D3ADA" w:rsidP="008D3AD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ADA" w:rsidRPr="00E73AA6" w:rsidRDefault="008D3ADA" w:rsidP="008D3AD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ADA" w:rsidRPr="00E73AA6" w:rsidRDefault="008D3ADA" w:rsidP="008D3ADA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8D3ADA" w:rsidRPr="00E73AA6" w:rsidRDefault="008D3ADA" w:rsidP="008D3AD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8D3ADA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8D3ADA" w:rsidRDefault="008D3ADA" w:rsidP="008D3A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8D3ADA" w:rsidRPr="00E73AA6" w:rsidRDefault="008D3ADA" w:rsidP="008D3ADA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66587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90CF9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F81C62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EF2A8C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A81551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2B0DA9" w:rsidRDefault="00E654C6" w:rsidP="00E654C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21053" w:rsidRDefault="00E654C6" w:rsidP="00E654C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bottom"/>
          </w:tcPr>
          <w:p w:rsidR="00E654C6" w:rsidRPr="00CD7D4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953E01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ind w:left="-90" w:hanging="9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tabs>
                <w:tab w:val="left" w:pos="720"/>
              </w:tabs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18.06</w:t>
            </w:r>
          </w:p>
        </w:tc>
      </w:tr>
      <w:tr w:rsidR="00E654C6" w:rsidRPr="00E73AA6" w:rsidTr="00943CB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C6BC5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013A89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E05081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54C6" w:rsidRPr="00865343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E654C6" w:rsidRPr="00492FD4" w:rsidRDefault="00E654C6" w:rsidP="00E654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785D93" w:rsidRPr="00E73AA6" w:rsidTr="00785D93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785D93" w:rsidRPr="00E73AA6" w:rsidRDefault="00785D93" w:rsidP="00785D9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85D93" w:rsidRPr="00865343" w:rsidRDefault="00785D93" w:rsidP="00785D9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85D93" w:rsidRPr="00785D93" w:rsidRDefault="00785D93" w:rsidP="00785D9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579A4" w:rsidRPr="00E73AA6" w:rsidTr="00225770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579A4" w:rsidRPr="00E73AA6" w:rsidRDefault="005579A4" w:rsidP="005579A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579A4" w:rsidRPr="00865343" w:rsidRDefault="005579A4" w:rsidP="005579A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654C6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E73AA6" w:rsidRDefault="00E654C6" w:rsidP="00E654C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5A4675" w:rsidRDefault="00E654C6" w:rsidP="00E654C6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5A4675" w:rsidRDefault="00E654C6" w:rsidP="00E654C6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5A4675" w:rsidRDefault="00E654C6" w:rsidP="00E654C6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953E01" w:rsidRDefault="00E654C6" w:rsidP="00E654C6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953E01" w:rsidRDefault="00E654C6" w:rsidP="00E654C6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4C6" w:rsidRPr="00953E01" w:rsidRDefault="00E654C6" w:rsidP="00E654C6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654C6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E654C6" w:rsidRPr="00E73AA6" w:rsidRDefault="00E654C6" w:rsidP="00E654C6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654C6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E654C6" w:rsidRPr="00E73AA6" w:rsidRDefault="00E654C6" w:rsidP="00E654C6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8D3ADA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8D3ADA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8D3ADA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8D3ADA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8D3ADA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8D3ADA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shd w:val="clear" w:color="auto" w:fill="auto"/>
            <w:noWrap/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01-Jun-23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285.3833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286.4903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289.7626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304.6752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305.9744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309.8846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2.0403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2.0503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2.0812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354.7171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356.1433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360.3867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285.6759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286.6524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289.6256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307.5301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308.7003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312.3238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2.0556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2.0647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2.0937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357.8661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359.1404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363.0421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286.1902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287.0487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289.0338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306.1091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307.1456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309.6869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2.0404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2.0486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2.0702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355.1048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356.2212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358.8543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286.5625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287.4902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289.5035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306.5932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307.7037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310.3089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2.0586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2.0674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2.0900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355.9249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357.1275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359.8082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286.8838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287.8114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289.8148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306.5066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307.6159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310.1897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2.0576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2.0664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2.0886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355.9941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357.1980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359.8552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286.8058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287.7568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290.0157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307.6279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308.7849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311.6010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2.0528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2.0621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2.0855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357.7329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358.9809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361.9526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09-Jun-23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286.9320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287.8785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289.8997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308.8823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310.0217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312.6043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2.0547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2.0636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2.0857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359.9849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361.2257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363.9225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287.6270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288.6567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290.2302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309.9324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311.1633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313.2670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2.0618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2.0713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2.0902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362.0648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363.4159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365.5513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287.9730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288.8862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290.4289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311.1836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312.2906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314.3968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2.0641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2.0728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2.0924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361.8381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363.0427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365.1411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287.1846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288.1352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289.8222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310.1594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311.3025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313.5386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2.0521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2.0610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2.0812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362.7285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363.9812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366.2619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287.3669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288.3376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290.0143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311.1896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312.3479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314.5508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2.0338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2.0428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363.6915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364.9562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367.2042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287.1941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288.1441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289.7174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314.2190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315.3654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317.4677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2.0355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2.0443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2.0627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367.2638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368.5147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370.6498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287.2551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288.1883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289.7653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313.9124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315.0372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317.1415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2.0258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2.0345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368.0744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369.3035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371.4407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287.2155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288.1201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289.4242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313.9840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315.0786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316.9160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2.0277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2.0362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2.0532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367.2050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368.3916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370.1814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286.9772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287.8560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289.0604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313.6374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314.7029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316.4111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2.0202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2.0285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2.0445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365.1355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366.2827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367.9293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286.7306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287.4767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288.8797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315.1743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316.1128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318.0161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2.0193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2.0268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2.0437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366.0403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367.0261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368.9157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286.7356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287.3174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288.8101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311.6672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312.4295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314.3904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2.0069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2.0135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2.0306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364.5986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365.3616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367.3121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286.7091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287.7148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289.3070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312.2262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313.4336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315.5251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2.0033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2.0126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2.0307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365.1814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366.4841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368.5729</w:t>
            </w:r>
          </w:p>
        </w:tc>
      </w:tr>
      <w:tr w:rsidR="009022D3" w:rsidRPr="0018318A" w:rsidTr="008D3ADA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27-Jun-23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285.9905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287.2672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289.8274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312.9308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314.4378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317.6352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1.9923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2.0034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2.0289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364.1373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365.7820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369.1119</w:t>
            </w:r>
          </w:p>
        </w:tc>
      </w:tr>
      <w:tr w:rsidR="00C772F3" w:rsidRPr="00A97258" w:rsidTr="008D3ADA">
        <w:trPr>
          <w:trHeight w:val="20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772F3" w:rsidRPr="00A97258" w:rsidTr="008D3ADA">
        <w:trPr>
          <w:trHeight w:val="20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772F3" w:rsidRPr="00EB5A69" w:rsidTr="008D3ADA">
        <w:trPr>
          <w:trHeight w:val="20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72F3" w:rsidRPr="00C772F3" w:rsidRDefault="00C772F3" w:rsidP="00C772F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772F3" w:rsidRPr="00785D93" w:rsidRDefault="00C772F3" w:rsidP="00785D9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8D3ADA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8D3ADA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8D3ADA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8D3ADA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8D3ADA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8D3ADA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8D3ADA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8D3ADA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shd w:val="clear" w:color="auto" w:fill="auto"/>
            <w:noWrap/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01-Jun-23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313.2982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314.7520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319.1963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185.5134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186.2849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188.5702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76.0860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76.3740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77.2247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927.3821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931.4169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943.4438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315.9432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317.2626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321.4137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188.8603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189.5488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191.6745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76.1619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76.4152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77.1841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928.9970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932.6125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943.5589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314.2185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315.4006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318.4412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188.7425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189.3523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190.8262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76.3042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76.5239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77.0223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929.8533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933.0639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940.7732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316.2592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317.5213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320.6748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190.7790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191.4368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192.9396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76.4126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76.6487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77.1454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931.6378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935.0662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943.0121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316.0557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317.3145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320.4129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191.4806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192.1377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193.6258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76.4942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76.7272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77.2345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932.0461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935.5224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943.2595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315.6569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316.9712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320.2557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191.7010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192.3763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194.0286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76.4734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76.7137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932.5513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936.1065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944.6765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09-Jun-23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318.6010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319.8864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322.9477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192.6892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193.3654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194.8633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76.5050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76.7451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77.2489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933.4168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936.9597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944.9130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318.8239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320.2021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322.7550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194.6084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195.3444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196.5494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76.6923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76.9546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77.3370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936.0420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939.8229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946.4850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318.2725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319.5184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322.0875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195.2025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195.8583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197.0473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76.7846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77.0158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77.3920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937.0460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940.4765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946.9194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317.5416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318.8293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321.5256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194.8548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195.5332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196.8104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76.5703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76.8125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77.2303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934.6328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938.1633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944.8917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317.9541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319.2506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321.8872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195.9698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196.6650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197.9226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76.6271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76.8675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77.2897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935.1650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938.7670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945.4501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321.9665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323.2587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325.8007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197.6470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198.3362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199.5371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76.5728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76.8077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77.2034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935.6989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939.2361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945.5240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321.2426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322.5114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325.0494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197.2581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197.9372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199.1412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76.5891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76.8236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77.2152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935.5322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939.1523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945.4007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320.3921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321.6227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323.9023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195.1629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195.8179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196.8371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76.5622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76.7941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77.1325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935.4339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938.8833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944.2570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319.6093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320.8071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322.9371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194.2262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194.8624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195.8085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76.5069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76.7381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77.0396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933.8363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937.0901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942.2890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320.6919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321.7743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324.0945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194.5897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195.1375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196.2077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76.4370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76.6359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76.9915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933.4894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936.2527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942.0252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318.3651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319.2824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321.6542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191.8261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192.2605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193.3676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76.4363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76.5914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76.9647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932.5341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934.7734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941.0166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320.2023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321.5635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324.0921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191.3353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192.0456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193.2267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76.4456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76.7137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77.1012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932.6603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936.2710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942.8499</w:t>
            </w:r>
          </w:p>
        </w:tc>
      </w:tr>
      <w:tr w:rsidR="009022D3" w:rsidRPr="00290C2D" w:rsidTr="008D3ADA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022D3" w:rsidRPr="008D3ADA" w:rsidRDefault="009022D3" w:rsidP="009022D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D3A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27-Jun-23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319.7568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321.4150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325.1029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191.7280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192.6233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194.4710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76.2540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76.5944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77.2564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930.7162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935.2087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022D3" w:rsidRPr="0018318A" w:rsidRDefault="009022D3" w:rsidP="009022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8318A">
              <w:rPr>
                <w:rFonts w:asciiTheme="majorBidi" w:hAnsiTheme="majorBidi" w:cstheme="majorBidi"/>
                <w:sz w:val="14"/>
                <w:szCs w:val="14"/>
              </w:rPr>
              <w:t>944.9687</w:t>
            </w:r>
          </w:p>
        </w:tc>
      </w:tr>
      <w:tr w:rsidR="008D3ADA" w:rsidRPr="00290C2D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772F3" w:rsidRDefault="008D3ADA" w:rsidP="008D3AD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8D3ADA" w:rsidRPr="00290C2D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772F3" w:rsidRDefault="008D3ADA" w:rsidP="008D3AD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8D3ADA" w:rsidRPr="00290C2D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C772F3" w:rsidRDefault="008D3ADA" w:rsidP="008D3AD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785D93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8D3ADA" w:rsidRPr="00EB5A69" w:rsidTr="008D3ADA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D3ADA" w:rsidRPr="00F3504A" w:rsidRDefault="008D3ADA" w:rsidP="008D3AD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8D3ADA" w:rsidRPr="00F3504A" w:rsidRDefault="008D3ADA" w:rsidP="008D3A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8D3ADA" w:rsidRPr="00B455F2" w:rsidTr="008D3ADA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8D3ADA" w:rsidRPr="00B455F2" w:rsidRDefault="008D3ADA" w:rsidP="008D3AD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8D3ADA" w:rsidRPr="00B455F2" w:rsidTr="008D3ADA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8D3ADA" w:rsidRPr="00B455F2" w:rsidRDefault="008D3ADA" w:rsidP="008D3A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4320"/>
        <w:gridCol w:w="180"/>
        <w:gridCol w:w="990"/>
        <w:gridCol w:w="1170"/>
        <w:gridCol w:w="990"/>
        <w:gridCol w:w="990"/>
        <w:gridCol w:w="1080"/>
      </w:tblGrid>
      <w:tr w:rsidR="00C90EDA" w:rsidRPr="00E73AA6" w:rsidTr="007578E9">
        <w:trPr>
          <w:trHeight w:val="357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7578E9">
        <w:trPr>
          <w:trHeight w:val="180"/>
        </w:trPr>
        <w:tc>
          <w:tcPr>
            <w:tcW w:w="972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B23190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</w:t>
            </w:r>
            <w:r w:rsidR="00E92A76">
              <w:rPr>
                <w:sz w:val="14"/>
                <w:szCs w:val="14"/>
              </w:rPr>
              <w:t xml:space="preserve"> Rupees</w:t>
            </w:r>
          </w:p>
        </w:tc>
      </w:tr>
      <w:tr w:rsidR="008D3ADA" w:rsidRPr="00E73AA6" w:rsidTr="00E654C6">
        <w:trPr>
          <w:trHeight w:val="315"/>
        </w:trPr>
        <w:tc>
          <w:tcPr>
            <w:tcW w:w="432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DA" w:rsidRPr="00E73AA6" w:rsidRDefault="008D3ADA" w:rsidP="008D3ADA">
            <w:pPr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ADA" w:rsidRPr="00B23190" w:rsidRDefault="008D3ADA" w:rsidP="008D3AD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19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Feb-23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3ADA" w:rsidRPr="00B23190" w:rsidRDefault="008D3ADA" w:rsidP="008D3AD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3ADA" w:rsidRPr="00B23190" w:rsidRDefault="008D3ADA" w:rsidP="008D3AD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Apr-23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3ADA" w:rsidRPr="00B23190" w:rsidRDefault="008D3ADA" w:rsidP="008D3AD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3ADA" w:rsidRPr="00B23190" w:rsidRDefault="008D3ADA" w:rsidP="008D3AD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Jun-23</w:t>
            </w:r>
          </w:p>
        </w:tc>
      </w:tr>
      <w:tr w:rsidR="008D3ADA" w:rsidRPr="00E73AA6" w:rsidTr="00492FD4">
        <w:trPr>
          <w:trHeight w:val="1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ADA" w:rsidRPr="00E73AA6" w:rsidRDefault="008D3ADA" w:rsidP="008D3AD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</w:tr>
      <w:tr w:rsidR="008D3ADA" w:rsidRPr="00E73AA6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D3ADA" w:rsidRPr="00384563" w:rsidRDefault="008D3ADA" w:rsidP="008D3AD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3ADA" w:rsidRPr="00530AF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3ADA" w:rsidRPr="00530AF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3ADA" w:rsidRPr="00530AF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ADA" w:rsidRPr="00530AF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ADA" w:rsidRPr="00530AF6" w:rsidRDefault="008D3ADA" w:rsidP="008D3ADA">
            <w:pPr>
              <w:jc w:val="right"/>
              <w:rPr>
                <w:sz w:val="14"/>
                <w:szCs w:val="14"/>
              </w:rPr>
            </w:pPr>
          </w:p>
        </w:tc>
      </w:tr>
      <w:tr w:rsidR="005579A4" w:rsidRPr="00921053" w:rsidTr="005579A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1,596,482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</w:tr>
      <w:tr w:rsidR="005579A4" w:rsidRPr="00CE3441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575,646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724,479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236,225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574,685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536,093</w:t>
            </w:r>
          </w:p>
        </w:tc>
      </w:tr>
      <w:tr w:rsidR="005579A4" w:rsidRPr="00CE3441" w:rsidTr="005579A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1,020,836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905,693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495,879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714,681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1,156,944</w:t>
            </w:r>
          </w:p>
        </w:tc>
      </w:tr>
      <w:tr w:rsidR="005579A4" w:rsidRPr="00CE3441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1,596,482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</w:tr>
      <w:tr w:rsidR="005579A4" w:rsidRPr="00CE3441" w:rsidTr="005579A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503,072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534,735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169,135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557,895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691,097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1,093,410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1,095,438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562,969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731,471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1,001,940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579A4" w:rsidRPr="00F33CBF" w:rsidTr="005579A4">
        <w:trPr>
          <w:trHeight w:val="211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GIS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294,783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96,715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63,566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73,506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199,207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79,560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198,068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167,648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137,080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306,163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227,730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294,783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106,687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103,250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59,981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200,714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111,348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188,096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127,964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150,606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304,656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195,941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579A4" w:rsidRPr="00F33CBF" w:rsidTr="005579A4">
        <w:trPr>
          <w:trHeight w:val="2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1,965,890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</w:tr>
      <w:tr w:rsidR="005579A4" w:rsidRPr="00921053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773,431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805,471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993,657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923,487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1,354,641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1,192,458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980,398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1,871,468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2,315,967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2,463,819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1,965,890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755,536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802,985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784,127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958,858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1,280,975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1,210,354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982,883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2,080,998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2,280,596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2,537,485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5,181,697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553,813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355,068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273,821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828,447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4,627,884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5,366,984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3,523,951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3,185,075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Reverse 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5,181,697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178,510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413,546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337,285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750,804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5,003,187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5,308,506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3,460,487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3,262,718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</w:tr>
      <w:tr w:rsidR="005579A4" w:rsidRPr="00F33CBF" w:rsidTr="005579A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384563" w:rsidRDefault="005579A4" w:rsidP="005579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7578E9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811908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9A4" w:rsidRPr="00492FD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BD2EE7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D2EE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579A4" w:rsidRPr="005579A4" w:rsidRDefault="005579A4" w:rsidP="005579A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8D3ADA" w:rsidRPr="00E73AA6" w:rsidTr="00492FD4">
        <w:trPr>
          <w:trHeight w:val="26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3ADA" w:rsidRPr="00E73AA6" w:rsidRDefault="008D3ADA" w:rsidP="008D3AD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8D3ADA" w:rsidRPr="00E73AA6" w:rsidTr="007578E9">
        <w:trPr>
          <w:trHeight w:val="202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D3ADA" w:rsidRPr="00E73AA6" w:rsidRDefault="008D3ADA" w:rsidP="008D3ADA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8D3ADA" w:rsidRPr="00E73AA6" w:rsidRDefault="008D3ADA" w:rsidP="008D3AD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8D3ADA" w:rsidRPr="00E73AA6" w:rsidTr="00C20659">
        <w:trPr>
          <w:trHeight w:val="225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ADA" w:rsidRPr="00E73AA6" w:rsidRDefault="008D3ADA" w:rsidP="008D3ADA">
            <w:pPr>
              <w:rPr>
                <w:sz w:val="14"/>
                <w:szCs w:val="14"/>
              </w:rPr>
            </w:pP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B5653B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91" w:rsidRDefault="00CD0891">
      <w:r>
        <w:separator/>
      </w:r>
    </w:p>
  </w:endnote>
  <w:endnote w:type="continuationSeparator" w:id="0">
    <w:p w:rsidR="00CD0891" w:rsidRDefault="00CD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4F" w:rsidRDefault="00063E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E4F" w:rsidRDefault="00063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4F" w:rsidRDefault="00063E4F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75A7">
      <w:rPr>
        <w:noProof/>
      </w:rPr>
      <w:t>126</w:t>
    </w:r>
    <w:r>
      <w:rPr>
        <w:noProof/>
      </w:rPr>
      <w:fldChar w:fldCharType="end"/>
    </w:r>
  </w:p>
  <w:p w:rsidR="00063E4F" w:rsidRDefault="00063E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91" w:rsidRDefault="00CD0891">
      <w:r>
        <w:separator/>
      </w:r>
    </w:p>
  </w:footnote>
  <w:footnote w:type="continuationSeparator" w:id="0">
    <w:p w:rsidR="00CD0891" w:rsidRDefault="00CD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3A89"/>
    <w:rsid w:val="000141A1"/>
    <w:rsid w:val="000146AC"/>
    <w:rsid w:val="000147B3"/>
    <w:rsid w:val="000151C4"/>
    <w:rsid w:val="000157F3"/>
    <w:rsid w:val="00016307"/>
    <w:rsid w:val="00016DFA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3E4F"/>
    <w:rsid w:val="00064E58"/>
    <w:rsid w:val="00065A24"/>
    <w:rsid w:val="00066155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2EF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398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1A35"/>
    <w:rsid w:val="001524CF"/>
    <w:rsid w:val="00152B0A"/>
    <w:rsid w:val="001532CE"/>
    <w:rsid w:val="00153348"/>
    <w:rsid w:val="001538D4"/>
    <w:rsid w:val="00154423"/>
    <w:rsid w:val="00154AA1"/>
    <w:rsid w:val="00154BF0"/>
    <w:rsid w:val="00154EBF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18A"/>
    <w:rsid w:val="001835DD"/>
    <w:rsid w:val="00183A01"/>
    <w:rsid w:val="0018474D"/>
    <w:rsid w:val="00184FA3"/>
    <w:rsid w:val="00185DB9"/>
    <w:rsid w:val="0018655A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5FB0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6B8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3FA9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57A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897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2F7FD8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251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0F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57BB0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4A9"/>
    <w:rsid w:val="00383BD4"/>
    <w:rsid w:val="00384563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845"/>
    <w:rsid w:val="003D0D59"/>
    <w:rsid w:val="003D0FD0"/>
    <w:rsid w:val="003D2066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4AF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672C6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2FD4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5D09"/>
    <w:rsid w:val="004C6AB7"/>
    <w:rsid w:val="004C6BC5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B33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6B6E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9A4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46D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470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06"/>
    <w:rsid w:val="006A6E8A"/>
    <w:rsid w:val="006A7589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906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55F"/>
    <w:rsid w:val="00724E9D"/>
    <w:rsid w:val="007258FF"/>
    <w:rsid w:val="00725F15"/>
    <w:rsid w:val="007270B3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578E9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D93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171"/>
    <w:rsid w:val="0079722D"/>
    <w:rsid w:val="00797C6E"/>
    <w:rsid w:val="007A08D3"/>
    <w:rsid w:val="007A0C37"/>
    <w:rsid w:val="007A1493"/>
    <w:rsid w:val="007A31EC"/>
    <w:rsid w:val="007A31EF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B84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5EC"/>
    <w:rsid w:val="007D1B86"/>
    <w:rsid w:val="007D1C5B"/>
    <w:rsid w:val="007D1D07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908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2DC5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281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232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173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ADA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E7857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2D3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5AC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3CB9"/>
    <w:rsid w:val="00944503"/>
    <w:rsid w:val="0094453C"/>
    <w:rsid w:val="009449D1"/>
    <w:rsid w:val="00945258"/>
    <w:rsid w:val="009452E9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9FB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3CC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0AF"/>
    <w:rsid w:val="00B17F35"/>
    <w:rsid w:val="00B21684"/>
    <w:rsid w:val="00B21A89"/>
    <w:rsid w:val="00B223C7"/>
    <w:rsid w:val="00B226BD"/>
    <w:rsid w:val="00B22756"/>
    <w:rsid w:val="00B22C30"/>
    <w:rsid w:val="00B2319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6C94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AAC"/>
    <w:rsid w:val="00B53EB7"/>
    <w:rsid w:val="00B53F52"/>
    <w:rsid w:val="00B54000"/>
    <w:rsid w:val="00B55454"/>
    <w:rsid w:val="00B55836"/>
    <w:rsid w:val="00B5635F"/>
    <w:rsid w:val="00B5653B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68BB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352"/>
    <w:rsid w:val="00BA7480"/>
    <w:rsid w:val="00BA758E"/>
    <w:rsid w:val="00BA7CAE"/>
    <w:rsid w:val="00BB031A"/>
    <w:rsid w:val="00BB0365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2EE7"/>
    <w:rsid w:val="00BD3285"/>
    <w:rsid w:val="00BD454D"/>
    <w:rsid w:val="00BD4742"/>
    <w:rsid w:val="00BD488C"/>
    <w:rsid w:val="00BD717E"/>
    <w:rsid w:val="00BD7253"/>
    <w:rsid w:val="00BD7CE4"/>
    <w:rsid w:val="00BE00C6"/>
    <w:rsid w:val="00BE0285"/>
    <w:rsid w:val="00BE044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BF7BE0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659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41"/>
    <w:rsid w:val="00C27886"/>
    <w:rsid w:val="00C27FFB"/>
    <w:rsid w:val="00C3046A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4A1A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2F3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B27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891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0F3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B4B"/>
    <w:rsid w:val="00D16E14"/>
    <w:rsid w:val="00D16F41"/>
    <w:rsid w:val="00D173A3"/>
    <w:rsid w:val="00D174AB"/>
    <w:rsid w:val="00D17901"/>
    <w:rsid w:val="00D20BF2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375A7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330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32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584"/>
    <w:rsid w:val="00DA2652"/>
    <w:rsid w:val="00DA3A9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3D5"/>
    <w:rsid w:val="00DF7A80"/>
    <w:rsid w:val="00DF7EB0"/>
    <w:rsid w:val="00E00102"/>
    <w:rsid w:val="00E0132E"/>
    <w:rsid w:val="00E01D76"/>
    <w:rsid w:val="00E025D2"/>
    <w:rsid w:val="00E02792"/>
    <w:rsid w:val="00E02924"/>
    <w:rsid w:val="00E039E4"/>
    <w:rsid w:val="00E040F5"/>
    <w:rsid w:val="00E04190"/>
    <w:rsid w:val="00E0463B"/>
    <w:rsid w:val="00E048A0"/>
    <w:rsid w:val="00E04E3E"/>
    <w:rsid w:val="00E05081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19C7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4C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69E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78F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5CFC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F29AD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CB8B-4C8B-44B8-8D6B-91D2D648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27764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96</cp:revision>
  <cp:lastPrinted>2023-06-02T06:33:00Z</cp:lastPrinted>
  <dcterms:created xsi:type="dcterms:W3CDTF">2022-11-24T09:59:00Z</dcterms:created>
  <dcterms:modified xsi:type="dcterms:W3CDTF">2023-08-07T10:57:00Z</dcterms:modified>
</cp:coreProperties>
</file>