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F" w:rsidRPr="00D73095" w:rsidRDefault="00FB38DF" w:rsidP="00FB38DF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FB38DF" w:rsidRPr="00D73095" w:rsidRDefault="00FB38DF" w:rsidP="00FB38DF">
      <w:pPr>
        <w:rPr>
          <w:b/>
          <w:sz w:val="40"/>
          <w:szCs w:val="40"/>
        </w:rPr>
      </w:pPr>
    </w:p>
    <w:p w:rsidR="00FB38DF" w:rsidRPr="00D73095" w:rsidRDefault="00FB38DF" w:rsidP="00FB38DF">
      <w:pPr>
        <w:rPr>
          <w:b/>
          <w:sz w:val="14"/>
          <w:szCs w:val="40"/>
        </w:rPr>
      </w:pPr>
    </w:p>
    <w:p w:rsidR="00FB38DF" w:rsidRDefault="00FB38DF" w:rsidP="00235647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Statistics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ata Warehouse </w:t>
      </w:r>
      <w:r w:rsidRPr="00D73095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(SDWD) </w:t>
      </w:r>
      <w:r w:rsidRPr="00D73095">
        <w:rPr>
          <w:sz w:val="24"/>
          <w:szCs w:val="24"/>
        </w:rPr>
        <w:t xml:space="preserve">of the State Bank of Pakistan endeavors to provide </w:t>
      </w:r>
      <w:r w:rsidR="00235647">
        <w:rPr>
          <w:sz w:val="24"/>
          <w:szCs w:val="24"/>
        </w:rPr>
        <w:t>accurate</w:t>
      </w:r>
      <w:r w:rsidRPr="00D73095">
        <w:rPr>
          <w:sz w:val="24"/>
          <w:szCs w:val="24"/>
        </w:rPr>
        <w:t xml:space="preserve"> and </w:t>
      </w:r>
      <w:r w:rsidR="00235647">
        <w:rPr>
          <w:sz w:val="24"/>
          <w:szCs w:val="24"/>
        </w:rPr>
        <w:t>reliable</w:t>
      </w:r>
      <w:r w:rsidRPr="00D73095">
        <w:rPr>
          <w:sz w:val="24"/>
          <w:szCs w:val="24"/>
        </w:rPr>
        <w:t xml:space="preserve"> statistics to users on regular basis. The monthly Statistical Bulletin is one such effort</w:t>
      </w:r>
      <w:r>
        <w:rPr>
          <w:sz w:val="24"/>
          <w:szCs w:val="24"/>
        </w:rPr>
        <w:t>.</w:t>
      </w:r>
    </w:p>
    <w:p w:rsidR="00FB38DF" w:rsidRPr="00D73095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Default="00FB38DF" w:rsidP="0010004A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covers a wide range of information </w:t>
      </w:r>
      <w:r>
        <w:rPr>
          <w:sz w:val="24"/>
          <w:szCs w:val="24"/>
        </w:rPr>
        <w:t xml:space="preserve">most of which is already available on the websites of source organizations; </w:t>
      </w:r>
      <w:r w:rsidR="0010004A">
        <w:rPr>
          <w:sz w:val="24"/>
          <w:szCs w:val="24"/>
        </w:rPr>
        <w:t xml:space="preserve">including </w:t>
      </w:r>
      <w:r>
        <w:rPr>
          <w:sz w:val="24"/>
          <w:szCs w:val="24"/>
        </w:rPr>
        <w:t>State Bank of Pakistan</w:t>
      </w:r>
      <w:r w:rsidR="0010004A">
        <w:rPr>
          <w:sz w:val="24"/>
          <w:szCs w:val="24"/>
        </w:rPr>
        <w:t xml:space="preserve"> </w:t>
      </w:r>
      <w:bookmarkStart w:id="0" w:name="_GoBack"/>
      <w:bookmarkEnd w:id="0"/>
      <w:r w:rsidR="005A1F66">
        <w:rPr>
          <w:sz w:val="24"/>
          <w:szCs w:val="24"/>
        </w:rPr>
        <w:t>and Pakistan</w:t>
      </w:r>
      <w:r>
        <w:rPr>
          <w:sz w:val="24"/>
          <w:szCs w:val="24"/>
        </w:rPr>
        <w:t xml:space="preserve"> B</w:t>
      </w:r>
      <w:r w:rsidR="000017C9">
        <w:rPr>
          <w:sz w:val="24"/>
          <w:szCs w:val="24"/>
        </w:rPr>
        <w:t>ureau of Statistics</w:t>
      </w:r>
      <w:r>
        <w:rPr>
          <w:sz w:val="24"/>
          <w:szCs w:val="24"/>
        </w:rPr>
        <w:t xml:space="preserve">. </w:t>
      </w: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</w:t>
      </w:r>
      <w:r w:rsidR="00DF55CB">
        <w:rPr>
          <w:sz w:val="24"/>
          <w:szCs w:val="24"/>
        </w:rPr>
        <w:t xml:space="preserve"> its</w:t>
      </w:r>
      <w:r w:rsidR="00857002">
        <w:rPr>
          <w:sz w:val="24"/>
          <w:szCs w:val="24"/>
        </w:rPr>
        <w:t xml:space="preserve"> </w:t>
      </w:r>
      <w:r>
        <w:rPr>
          <w:sz w:val="24"/>
          <w:szCs w:val="24"/>
        </w:rPr>
        <w:t>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it is being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 xml:space="preserve">prices, manufacturing, </w:t>
      </w:r>
      <w:r w:rsidR="0010004A">
        <w:rPr>
          <w:sz w:val="24"/>
          <w:szCs w:val="24"/>
        </w:rPr>
        <w:t>p</w:t>
      </w:r>
      <w:r w:rsidRPr="00D73095">
        <w:rPr>
          <w:sz w:val="24"/>
          <w:szCs w:val="24"/>
        </w:rPr>
        <w:t xml:space="preserve">ublic </w:t>
      </w:r>
      <w:r w:rsidR="0010004A">
        <w:rPr>
          <w:sz w:val="24"/>
          <w:szCs w:val="24"/>
        </w:rPr>
        <w:t>f</w:t>
      </w:r>
      <w:r w:rsidRPr="00D73095">
        <w:rPr>
          <w:sz w:val="24"/>
          <w:szCs w:val="24"/>
        </w:rPr>
        <w:t xml:space="preserve">inance and </w:t>
      </w:r>
      <w:r w:rsidR="00DF55CB">
        <w:rPr>
          <w:sz w:val="24"/>
          <w:szCs w:val="24"/>
        </w:rPr>
        <w:t>n</w:t>
      </w:r>
      <w:r>
        <w:rPr>
          <w:sz w:val="24"/>
          <w:szCs w:val="24"/>
        </w:rPr>
        <w:t xml:space="preserve">ational </w:t>
      </w:r>
      <w:r w:rsidR="00DF55CB">
        <w:rPr>
          <w:sz w:val="24"/>
          <w:szCs w:val="24"/>
        </w:rPr>
        <w:t>i</w:t>
      </w:r>
      <w:r>
        <w:rPr>
          <w:sz w:val="24"/>
          <w:szCs w:val="24"/>
        </w:rPr>
        <w:t xml:space="preserve">ncome </w:t>
      </w:r>
      <w:r w:rsidR="00DF55CB">
        <w:rPr>
          <w:sz w:val="24"/>
          <w:szCs w:val="24"/>
        </w:rPr>
        <w:t>a</w:t>
      </w:r>
      <w:r>
        <w:rPr>
          <w:sz w:val="24"/>
          <w:szCs w:val="24"/>
        </w:rPr>
        <w:t>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(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>
        <w:rPr>
          <w:sz w:val="24"/>
          <w:szCs w:val="24"/>
        </w:rPr>
        <w:t>)</w:t>
      </w:r>
      <w:r w:rsidRPr="00D73095">
        <w:rPr>
          <w:sz w:val="24"/>
          <w:szCs w:val="24"/>
        </w:rPr>
        <w:t xml:space="preserve">. </w:t>
      </w: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Pr="00D00E45" w:rsidRDefault="00C0271F" w:rsidP="00DF55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B38DF" w:rsidRPr="00D00E45">
        <w:rPr>
          <w:sz w:val="24"/>
          <w:szCs w:val="24"/>
        </w:rPr>
        <w:t xml:space="preserve"> appreciate the efforts of the team for compiling this valuable publication. Comments and suggestions for further improvement in the publication are welcome</w:t>
      </w:r>
      <w:r w:rsidR="002B7675">
        <w:rPr>
          <w:sz w:val="24"/>
          <w:szCs w:val="24"/>
        </w:rPr>
        <w:t>.</w:t>
      </w:r>
      <w:r w:rsidR="00FB38DF">
        <w:rPr>
          <w:sz w:val="24"/>
          <w:szCs w:val="24"/>
        </w:rPr>
        <w:t xml:space="preserve"> </w:t>
      </w:r>
      <w:r w:rsidR="00FB38DF" w:rsidRPr="00D00E45">
        <w:rPr>
          <w:sz w:val="24"/>
          <w:szCs w:val="24"/>
        </w:rPr>
        <w:t>(</w:t>
      </w:r>
      <w:hyperlink r:id="rId8" w:history="1">
        <w:r w:rsidR="00FB38DF" w:rsidRPr="00D00E45">
          <w:rPr>
            <w:rStyle w:val="Hyperlink"/>
            <w:sz w:val="24"/>
            <w:szCs w:val="24"/>
          </w:rPr>
          <w:t>feedback.statistics@sbp.org.pk</w:t>
        </w:r>
      </w:hyperlink>
      <w:r w:rsidR="00FB38DF" w:rsidRPr="00D00E45">
        <w:rPr>
          <w:sz w:val="24"/>
          <w:szCs w:val="24"/>
        </w:rPr>
        <w:t xml:space="preserve">) </w:t>
      </w: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Mazhar Hussain </w:t>
      </w:r>
    </w:p>
    <w:p w:rsidR="00755E04" w:rsidRPr="00FB38DF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Joint </w:t>
      </w:r>
      <w:r w:rsidRPr="00D73095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>, SDWD</w:t>
      </w:r>
    </w:p>
    <w:p w:rsidR="00724A87" w:rsidRPr="00D73095" w:rsidRDefault="00724A87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24A87" w:rsidRDefault="00724A87">
      <w:r w:rsidRPr="00D73095">
        <w:br w:type="page"/>
      </w:r>
    </w:p>
    <w:p w:rsidR="00F35D57" w:rsidRDefault="00F35D57"/>
    <w:p w:rsidR="00F35D57" w:rsidRPr="00D73095" w:rsidRDefault="00F35D57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2BB8">
              <w:rPr>
                <w:rFonts w:asciiTheme="majorBidi" w:hAnsiTheme="majorBidi" w:cstheme="majorBidi"/>
                <w:b/>
                <w:i/>
                <w:shadow/>
                <w:sz w:val="36"/>
                <w:szCs w:val="36"/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95"/>
        <w:gridCol w:w="552"/>
        <w:gridCol w:w="7663"/>
        <w:gridCol w:w="728"/>
      </w:tblGrid>
      <w:tr w:rsidR="00F82E1E" w:rsidRPr="008B5F52" w:rsidTr="00211365">
        <w:trPr>
          <w:trHeight w:hRule="exact" w:val="19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3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Deposits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B29B3" w:rsidRPr="008B5F52" w:rsidTr="00211365">
        <w:trPr>
          <w:trHeight w:hRule="exact" w:val="439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 w:rsidR="00390337">
              <w:rPr>
                <w:sz w:val="18"/>
                <w:szCs w:val="18"/>
              </w:rPr>
              <w:t>l Finance</w:t>
            </w:r>
            <w:r w:rsidR="00AB267A">
              <w:rPr>
                <w:sz w:val="18"/>
                <w:szCs w:val="18"/>
              </w:rPr>
              <w:t xml:space="preserve">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 w:rsidR="00AB267A"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19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1562BB" w:rsidRPr="008B5F52" w:rsidTr="00211365">
        <w:trPr>
          <w:trHeight w:hRule="exact" w:val="193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562BB" w:rsidRPr="008B5F52" w:rsidRDefault="001562BB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jc w:val="center"/>
              <w:rPr>
                <w:sz w:val="18"/>
                <w:szCs w:val="18"/>
              </w:rPr>
            </w:pP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63137">
              <w:rPr>
                <w:sz w:val="18"/>
                <w:szCs w:val="18"/>
              </w:rPr>
              <w:t>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71BB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3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 w:rsidR="00F67936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6793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F67936" w:rsidRPr="008B5F52" w:rsidRDefault="00F67936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936">
              <w:rPr>
                <w:sz w:val="18"/>
                <w:szCs w:val="18"/>
              </w:rPr>
              <w:t>40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67936">
              <w:rPr>
                <w:sz w:val="18"/>
                <w:szCs w:val="18"/>
              </w:rPr>
              <w:t>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B6CB0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CB6CB0" w:rsidRPr="008B5F52" w:rsidRDefault="00CB6CB0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D1E8D" w:rsidRPr="008B5F52" w:rsidTr="00211365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 w:rsidR="002D4B12"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E26556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9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65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5D5268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5D5268">
              <w:rPr>
                <w:sz w:val="18"/>
                <w:szCs w:val="18"/>
              </w:rPr>
              <w:t>-</w:t>
            </w:r>
            <w:r w:rsidR="001F63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5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 w:rsidR="002D4B12"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4662">
              <w:rPr>
                <w:sz w:val="18"/>
                <w:szCs w:val="18"/>
              </w:rPr>
              <w:t>6</w:t>
            </w:r>
            <w:r w:rsidR="005D5268">
              <w:rPr>
                <w:sz w:val="18"/>
                <w:szCs w:val="18"/>
              </w:rPr>
              <w:t>-10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5D5268">
              <w:rPr>
                <w:sz w:val="18"/>
                <w:szCs w:val="18"/>
              </w:rPr>
              <w:t>-1</w:t>
            </w:r>
            <w:r w:rsidR="001F630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20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21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National Saving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745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745AB8">
              <w:rPr>
                <w:sz w:val="18"/>
                <w:szCs w:val="18"/>
              </w:rPr>
              <w:t>80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Feedback 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Default="00CA3641" w:rsidP="00745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45AB8">
              <w:rPr>
                <w:sz w:val="18"/>
                <w:szCs w:val="18"/>
              </w:rPr>
              <w:t>1</w:t>
            </w:r>
            <w:r w:rsidRPr="008B5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745AB8">
              <w:rPr>
                <w:sz w:val="18"/>
                <w:szCs w:val="18"/>
              </w:rPr>
              <w:t>2</w:t>
            </w:r>
          </w:p>
          <w:p w:rsidR="000B5E20" w:rsidRPr="008B5F52" w:rsidRDefault="000B5E20" w:rsidP="000B5E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Aj&amp;K</w:t>
            </w:r>
            <w:proofErr w:type="spellEnd"/>
          </w:p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Azad Jammu and Kashmir</w:t>
            </w:r>
          </w:p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Finance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6D3B34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ISIC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  <w:r w:rsidRPr="006D3B34">
              <w:rPr>
                <w:sz w:val="18"/>
                <w:szCs w:val="18"/>
              </w:rPr>
              <w:t>International Standard Industrial Classification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  <w:p w:rsidR="006C14BD" w:rsidRPr="00D73095" w:rsidRDefault="006C14BD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  <w:p w:rsidR="006C14BD" w:rsidRPr="00D73095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Khyber Pakhtunkhwa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</w:t>
            </w:r>
            <w:r w:rsidR="00037949" w:rsidRPr="00D73095">
              <w:rPr>
                <w:sz w:val="18"/>
                <w:szCs w:val="18"/>
              </w:rPr>
              <w:t xml:space="preserve">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MFI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 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NPIs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Bureau of Statistics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4140B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Default="004140B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Participating Financial  Institutions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D030C5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PMRC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 Mortgage Refinance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  <w:r w:rsidR="00A0478A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05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6D3B34" w:rsidRDefault="00037949" w:rsidP="004140B9">
            <w:pPr>
              <w:rPr>
                <w:bCs/>
                <w:sz w:val="18"/>
                <w:szCs w:val="18"/>
              </w:rPr>
            </w:pPr>
            <w:r w:rsidRPr="006D3B34">
              <w:rPr>
                <w:bCs/>
                <w:sz w:val="18"/>
                <w:szCs w:val="18"/>
              </w:rPr>
              <w:t>Pak</w:t>
            </w:r>
            <w:r w:rsidR="00A7111A" w:rsidRPr="006D3B34">
              <w:rPr>
                <w:bCs/>
                <w:sz w:val="18"/>
                <w:szCs w:val="18"/>
              </w:rPr>
              <w:t>istan Stock Exchange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  <w:r w:rsidR="004140B9">
              <w:rPr>
                <w:b/>
                <w:bCs/>
                <w:sz w:val="18"/>
                <w:szCs w:val="18"/>
              </w:rPr>
              <w:t xml:space="preserve"> </w:t>
            </w:r>
            <w:r w:rsidRPr="00D73095">
              <w:rPr>
                <w:b/>
                <w:bCs/>
                <w:sz w:val="18"/>
                <w:szCs w:val="18"/>
              </w:rPr>
              <w:t>BSC</w:t>
            </w:r>
            <w:r w:rsidR="004140B9">
              <w:rPr>
                <w:b/>
                <w:bCs/>
                <w:sz w:val="18"/>
                <w:szCs w:val="18"/>
              </w:rPr>
              <w:t xml:space="preserve"> (Bank)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  <w:lang w:val="pt-BR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6D3B34" w:rsidRDefault="006D3B34">
      <w:r>
        <w:br w:type="page"/>
      </w:r>
    </w:p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6D3B34" w:rsidRPr="00D73095" w:rsidRDefault="006D3B34" w:rsidP="00AF4E37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3.280840  feet (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Pr="00D73095">
              <w:rPr>
                <w:sz w:val="16"/>
              </w:rPr>
              <w:t>yards (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square 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Pr="00D73095">
              <w:rPr>
                <w:sz w:val="16"/>
              </w:rPr>
              <w:t xml:space="preserve"> square feet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0.836127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Pr="00D73095">
              <w:rPr>
                <w:sz w:val="16"/>
              </w:rPr>
              <w:t>square yards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mile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2.589988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Pr="00D73095">
              <w:rPr>
                <w:sz w:val="16"/>
              </w:rPr>
              <w:t xml:space="preserve"> cubic feet(cu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Pr="00D73095">
              <w:rPr>
                <w:sz w:val="16"/>
              </w:rPr>
              <w:t xml:space="preserve">cubic yards (cu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73095">
              <w:rPr>
                <w:sz w:val="16"/>
                <w:szCs w:val="16"/>
              </w:rPr>
              <w:t xml:space="preserve"> long ton (2240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Pr="00D73095">
              <w:rPr>
                <w:sz w:val="16"/>
                <w:szCs w:val="16"/>
              </w:rPr>
              <w:t>pounds (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Pr="00D73095">
              <w:rPr>
                <w:sz w:val="16"/>
                <w:szCs w:val="16"/>
              </w:rPr>
              <w:t>ounce (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8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24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</w:tbl>
    <w:p w:rsidR="001C4DCC" w:rsidRDefault="001C4DCC"/>
    <w:p w:rsidR="00C75F23" w:rsidRDefault="00C75F23"/>
    <w:p w:rsidR="007E10BD" w:rsidRDefault="007E10BD"/>
    <w:p w:rsidR="001C4DCC" w:rsidRDefault="001C4DCC"/>
    <w:p w:rsidR="0034007B" w:rsidRDefault="0034007B"/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0F" w:rsidRDefault="0033290F">
      <w:r>
        <w:separator/>
      </w:r>
    </w:p>
  </w:endnote>
  <w:endnote w:type="continuationSeparator" w:id="0">
    <w:p w:rsidR="0033290F" w:rsidRDefault="0033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A4E1F" w:rsidRDefault="003A4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jc w:val="center"/>
    </w:pPr>
  </w:p>
  <w:p w:rsidR="003A4E1F" w:rsidRDefault="003A4E1F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0F" w:rsidRDefault="0033290F">
      <w:r>
        <w:separator/>
      </w:r>
    </w:p>
  </w:footnote>
  <w:footnote w:type="continuationSeparator" w:id="0">
    <w:p w:rsidR="0033290F" w:rsidRDefault="0033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3A0D"/>
    <w:rsid w:val="001374CE"/>
    <w:rsid w:val="00145390"/>
    <w:rsid w:val="00147472"/>
    <w:rsid w:val="001504D9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24E8"/>
    <w:rsid w:val="00252986"/>
    <w:rsid w:val="00253BCD"/>
    <w:rsid w:val="0025423F"/>
    <w:rsid w:val="002554A2"/>
    <w:rsid w:val="002561AA"/>
    <w:rsid w:val="00257A9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E1F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6E83"/>
    <w:rsid w:val="004673B6"/>
    <w:rsid w:val="00467722"/>
    <w:rsid w:val="00470E1D"/>
    <w:rsid w:val="00472126"/>
    <w:rsid w:val="00473B46"/>
    <w:rsid w:val="00475F3B"/>
    <w:rsid w:val="00484036"/>
    <w:rsid w:val="00485B8F"/>
    <w:rsid w:val="00486FB4"/>
    <w:rsid w:val="0048745A"/>
    <w:rsid w:val="004876BD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D05F8"/>
    <w:rsid w:val="006D0F91"/>
    <w:rsid w:val="006D21B3"/>
    <w:rsid w:val="006D2629"/>
    <w:rsid w:val="006D3B34"/>
    <w:rsid w:val="006D4215"/>
    <w:rsid w:val="006D58F7"/>
    <w:rsid w:val="006E1904"/>
    <w:rsid w:val="006E5AFF"/>
    <w:rsid w:val="006F238F"/>
    <w:rsid w:val="006F358B"/>
    <w:rsid w:val="006F36C8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721D3"/>
    <w:rsid w:val="0087279B"/>
    <w:rsid w:val="0087309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E1986"/>
    <w:rsid w:val="00AE3681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64F"/>
    <w:rsid w:val="00CF2F32"/>
    <w:rsid w:val="00CF39E6"/>
    <w:rsid w:val="00CF49DC"/>
    <w:rsid w:val="00CF56E7"/>
    <w:rsid w:val="00CF5E0F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6609E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500BE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statistics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7AA6-776F-46C3-923B-9EBDD467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Aftab Ahmad - Statistics &amp; DWH</cp:lastModifiedBy>
  <cp:revision>72</cp:revision>
  <cp:lastPrinted>2022-03-07T10:54:00Z</cp:lastPrinted>
  <dcterms:created xsi:type="dcterms:W3CDTF">2017-08-23T10:11:00Z</dcterms:created>
  <dcterms:modified xsi:type="dcterms:W3CDTF">2022-03-07T11:04:00Z</dcterms:modified>
</cp:coreProperties>
</file>