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14:paraId="74FF50A5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ED03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14:paraId="1D10D1F2" w14:textId="77777777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1C5D1DE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934D61" w:rsidRPr="00434642" w14:paraId="1F482BE0" w14:textId="77777777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EF69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45FD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F99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BDE" w14:textId="77777777" w:rsidR="00934D61" w:rsidRPr="00AC77A8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B9B4" w14:textId="77777777" w:rsidR="00934D61" w:rsidRPr="00A60D2F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F128" w14:textId="77777777" w:rsidR="00934D61" w:rsidRPr="00F019C6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14:paraId="694F38F0" w14:textId="77777777" w:rsidR="00934D61" w:rsidRPr="00F019C6" w:rsidRDefault="00934D61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934D61" w:rsidRPr="00434642" w14:paraId="28D6503D" w14:textId="77777777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C7FE4D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637" w14:textId="77777777" w:rsidR="00934D61" w:rsidRPr="006032BD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C687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F966E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3B030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EF1FC0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4A1A8D1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34FC6" w:rsidRPr="00434642" w14:paraId="3D77CDD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06BB" w14:textId="77777777" w:rsidR="00434FC6" w:rsidRPr="00934D61" w:rsidRDefault="00434FC6" w:rsidP="00434FC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43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6B7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1DE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2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91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C09742" w14:textId="77777777" w:rsidR="00434FC6" w:rsidRDefault="00434FC6" w:rsidP="00434FC6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6,903.4</w:t>
            </w:r>
          </w:p>
        </w:tc>
      </w:tr>
      <w:tr w:rsidR="00434FC6" w:rsidRPr="00434642" w14:paraId="2177450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80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90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B9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419D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AB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FDEC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23837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</w:tr>
      <w:tr w:rsidR="00434FC6" w:rsidRPr="00434642" w14:paraId="1AC0B77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B40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08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473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CDA1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7CC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4E0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E1DDD5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</w:tr>
      <w:tr w:rsidR="00434FC6" w:rsidRPr="00434642" w14:paraId="78D58513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CCF6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D0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1D4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36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B97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5B82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36E3F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</w:tr>
      <w:tr w:rsidR="00434FC6" w:rsidRPr="00434642" w14:paraId="30959BD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2935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11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744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CD9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C38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787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0C855E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</w:tr>
      <w:tr w:rsidR="00434FC6" w:rsidRPr="00434642" w14:paraId="2EBE592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AE7E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0F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771C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522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D7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1872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BB913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</w:tr>
      <w:tr w:rsidR="00434FC6" w:rsidRPr="00434642" w14:paraId="63A1D11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D7CD" w14:textId="77777777" w:rsidR="00434FC6" w:rsidRPr="00934D61" w:rsidRDefault="00434FC6" w:rsidP="00434FC6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BA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F05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8E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8D2D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42C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255762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</w:tr>
      <w:tr w:rsidR="00434FC6" w:rsidRPr="00434642" w14:paraId="12DBD0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37E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27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56F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162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D13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62EE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17B8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</w:tr>
      <w:tr w:rsidR="00434FC6" w:rsidRPr="00434642" w14:paraId="07E0C43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AA62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3DE1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B72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57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481C" w14:textId="77777777" w:rsidR="00434FC6" w:rsidRPr="00934D61" w:rsidRDefault="00434FC6" w:rsidP="00434F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173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F35A6B" w14:textId="77777777" w:rsidR="00434FC6" w:rsidRDefault="00434FC6" w:rsidP="00434F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34FC6" w:rsidRPr="00434642" w14:paraId="44C97B0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49DF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CC5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5D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4A1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B3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FC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173DB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</w:tr>
      <w:tr w:rsidR="00434FC6" w:rsidRPr="00434642" w14:paraId="0DE8EF94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8FA9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060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75CB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D6D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E2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99C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C3E525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</w:tr>
      <w:tr w:rsidR="00434FC6" w:rsidRPr="00434642" w14:paraId="4B70656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C7C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BE7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2CD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F5B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FAA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90F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77EA9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</w:tr>
      <w:tr w:rsidR="00434FC6" w:rsidRPr="00434642" w14:paraId="6F5F584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B8A7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F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0D0D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C21F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E13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4356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C0613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</w:tr>
      <w:tr w:rsidR="00434FC6" w:rsidRPr="00434642" w14:paraId="112A325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B2E1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6B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6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88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53D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ADD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0A3D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</w:tr>
      <w:tr w:rsidR="00434FC6" w:rsidRPr="00434642" w14:paraId="53BC9D8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24A5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91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1B1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28D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474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193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6CD88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</w:tr>
      <w:tr w:rsidR="00434FC6" w:rsidRPr="00434642" w14:paraId="035E3C7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D54F" w14:textId="77777777" w:rsidR="00434FC6" w:rsidRPr="00934D61" w:rsidRDefault="00434FC6" w:rsidP="00434FC6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FC3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71A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F5162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2198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9624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DCBED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</w:tr>
      <w:tr w:rsidR="00434FC6" w:rsidRPr="00434642" w14:paraId="11F2B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6AB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F6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4B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66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A7FE6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6C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90C56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</w:tr>
      <w:tr w:rsidR="00B16F3A" w:rsidRPr="00434642" w14:paraId="1AE5C9B8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C518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FFE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47CF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A6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AB76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8865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2775F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</w:tr>
      <w:tr w:rsidR="00B16F3A" w:rsidRPr="00434642" w14:paraId="4E2A540C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5FC6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1728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8267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2B6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3E044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9195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20C4CA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</w:tr>
      <w:tr w:rsidR="00B16F3A" w:rsidRPr="00434642" w14:paraId="2EB0130D" w14:textId="77777777" w:rsidTr="00B16F3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21F5" w14:textId="77777777" w:rsidR="00B16F3A" w:rsidRPr="00934D61" w:rsidRDefault="00B16F3A" w:rsidP="00B16F3A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866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D5F1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704B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BBCBE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4BA83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44063C" w14:textId="77777777" w:rsidR="00B16F3A" w:rsidRPr="00B16F3A" w:rsidRDefault="00B16F3A" w:rsidP="00B16F3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</w:tr>
      <w:tr w:rsidR="00434FC6" w:rsidRPr="00434642" w14:paraId="1379994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98B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5B4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C41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414E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2890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FCAB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E035B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</w:tr>
      <w:tr w:rsidR="00434FC6" w:rsidRPr="00434642" w14:paraId="2CA88EF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979A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B6E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(1,349.3)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9979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9BBD3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74F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1089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73FC7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</w:tr>
      <w:tr w:rsidR="00434FC6" w:rsidRPr="00434642" w14:paraId="02278EF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3C6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D8E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A4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DF83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83750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ED00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E8F7FD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</w:tr>
      <w:tr w:rsidR="00434FC6" w:rsidRPr="00434642" w14:paraId="74B56ED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F80B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951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7A3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EC3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C7B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6C0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4545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</w:tr>
      <w:tr w:rsidR="00434FC6" w:rsidRPr="00434642" w14:paraId="166C418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2B81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D2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697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2088D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D3C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F48D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EB42B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</w:tr>
      <w:tr w:rsidR="00434FC6" w:rsidRPr="00434642" w14:paraId="1FED775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7F7D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B0E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D8D9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DEDD7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20FB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008C9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6DEB6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</w:tr>
      <w:tr w:rsidR="00434FC6" w:rsidRPr="00434642" w14:paraId="13A791D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D844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8C5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6F61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9A6E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3EA8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8A4E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8DBCF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</w:tr>
      <w:tr w:rsidR="00434FC6" w:rsidRPr="00434642" w14:paraId="04175A5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C50C" w14:textId="77777777" w:rsidR="00434FC6" w:rsidRPr="00934D61" w:rsidRDefault="00434FC6" w:rsidP="00434FC6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173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086C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EB9A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6104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AA9C5" w14:textId="77777777" w:rsidR="00434FC6" w:rsidRPr="00934D61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8FEA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</w:tr>
      <w:tr w:rsidR="00934D61" w:rsidRPr="00434642" w14:paraId="407E70DD" w14:textId="77777777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F1E34C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A1B7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DD1C8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B980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A4729" w14:textId="77777777" w:rsidR="00934D61" w:rsidRPr="00434642" w:rsidRDefault="00934D61" w:rsidP="00934D61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89355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4920DB" w14:textId="77777777" w:rsidR="00934D61" w:rsidRPr="00445E39" w:rsidRDefault="00934D61" w:rsidP="00934D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934D61" w:rsidRPr="00434642" w14:paraId="0FF173DF" w14:textId="77777777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14:paraId="4DBC9923" w14:textId="77777777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574BBF29" w14:textId="77777777" w:rsidR="00934D61" w:rsidRPr="00434642" w:rsidRDefault="00934D61" w:rsidP="00934D61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934D61" w:rsidRPr="00434642" w14:paraId="3656D558" w14:textId="77777777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DBAC" w14:textId="4AB26BB0" w:rsidR="00934D61" w:rsidRPr="00434642" w:rsidRDefault="00934D61" w:rsidP="00934D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5562F06" w14:textId="77777777" w:rsidR="00934D61" w:rsidRPr="00434642" w:rsidRDefault="00934D61" w:rsidP="00934D61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14:paraId="3C43547B" w14:textId="77777777" w:rsidR="008F7A2E" w:rsidRPr="00434642" w:rsidRDefault="008F7A2E"/>
    <w:p w14:paraId="7E0CBF68" w14:textId="77777777" w:rsidR="00664616" w:rsidRPr="00434642" w:rsidRDefault="00664616"/>
    <w:p w14:paraId="4A17F8FC" w14:textId="77777777" w:rsidR="000D3710" w:rsidRDefault="000D3710"/>
    <w:p w14:paraId="14B7AD4C" w14:textId="77777777"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14:paraId="79246269" w14:textId="77777777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F69A" w14:textId="77777777"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14:paraId="4E4F5DAC" w14:textId="77777777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03E048A4" w14:textId="77777777"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E3332" w:rsidRPr="00434642" w14:paraId="6D612B21" w14:textId="77777777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55C95BC3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21E3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DEA7D6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D96D85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F4B6AAC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481CC8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14:paraId="0884E566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E3332" w:rsidRPr="000028E1" w14:paraId="6D6ACD9A" w14:textId="77777777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9037" w14:textId="77777777" w:rsidR="00EE3332" w:rsidRDefault="00EE3332" w:rsidP="00EE3332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9784E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91882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1AB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3F4F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A454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C9EA" w14:textId="77777777" w:rsidR="00EE3332" w:rsidRDefault="00EE3332" w:rsidP="00EE333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434FC6" w:rsidRPr="000028E1" w14:paraId="1ECACA39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E901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47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14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AC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3881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91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BB6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</w:tr>
      <w:tr w:rsidR="00434FC6" w:rsidRPr="000028E1" w14:paraId="36E4CD5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9D2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701E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792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8C6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574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50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D6A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</w:tr>
      <w:tr w:rsidR="00434FC6" w:rsidRPr="000028E1" w14:paraId="2071721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64213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18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FB2D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E9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1FC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3FE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4A74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</w:tr>
      <w:tr w:rsidR="00434FC6" w:rsidRPr="000028E1" w14:paraId="127656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5B90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0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68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F4A1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E2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227D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E080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</w:tr>
      <w:tr w:rsidR="00434FC6" w:rsidRPr="000028E1" w14:paraId="03D17AAC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A5A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C8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DCFE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89C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F0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D94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483E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</w:tr>
      <w:tr w:rsidR="00434FC6" w:rsidRPr="000028E1" w14:paraId="57C1AEE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CD9D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AB3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689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4BD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4EA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2F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56A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</w:tr>
      <w:tr w:rsidR="00434FC6" w:rsidRPr="000028E1" w14:paraId="4EAC214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F59B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0A54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0932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AA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7A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5E5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7B62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</w:tr>
      <w:tr w:rsidR="00434FC6" w:rsidRPr="000028E1" w14:paraId="24C2135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5E0A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7A6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8CF2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E50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4F6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D57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44A4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</w:tr>
      <w:tr w:rsidR="00434FC6" w:rsidRPr="000028E1" w14:paraId="074E4EB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6FD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057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994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57A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56A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1E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9F2A3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</w:tr>
      <w:tr w:rsidR="00434FC6" w:rsidRPr="000028E1" w14:paraId="3A4252D6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F049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113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9B1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737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FD4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B2A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1C36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434FC6" w:rsidRPr="003C191D" w14:paraId="64E1C10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09E81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8EA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B98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B1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462B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FC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A460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</w:tr>
      <w:tr w:rsidR="00434FC6" w:rsidRPr="003C191D" w14:paraId="3CF0D3C5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092E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5146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CCCC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980F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F2F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39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2987D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</w:tr>
      <w:tr w:rsidR="00434FC6" w:rsidRPr="003C191D" w14:paraId="581A523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F6AB" w14:textId="77777777" w:rsidR="00434FC6" w:rsidRPr="00236F80" w:rsidRDefault="00434FC6" w:rsidP="00434FC6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F0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A7F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D1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B64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20A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5BE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</w:tr>
      <w:tr w:rsidR="00434FC6" w:rsidRPr="003C191D" w14:paraId="3CABB64F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18CC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9FD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CF3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A37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D91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60EF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A62C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</w:tr>
      <w:tr w:rsidR="00434FC6" w:rsidRPr="00434FC6" w14:paraId="272D6FC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C3C0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B686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08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F71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4E3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7E03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3D7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</w:tr>
      <w:tr w:rsidR="00434FC6" w:rsidRPr="00434FC6" w14:paraId="6AA5945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D6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199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7EE8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78D9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73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BAC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4E2B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</w:tr>
      <w:tr w:rsidR="00434FC6" w:rsidRPr="00434FC6" w14:paraId="15C24EE8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8F42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0DA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BF9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620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E2E6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6F2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4F4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</w:tr>
      <w:tr w:rsidR="00434FC6" w:rsidRPr="00434FC6" w14:paraId="6F20B0A1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D44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71E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B50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120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893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6A67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D0DA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</w:tr>
      <w:tr w:rsidR="00434FC6" w:rsidRPr="00434FC6" w14:paraId="76379BF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4F3D8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79E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0D4A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0CC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2E18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74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E03E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</w:tr>
      <w:tr w:rsidR="00434FC6" w:rsidRPr="00434FC6" w14:paraId="3DEF5BC7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1D2A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AF9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442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7F9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6E2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2537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9B84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</w:tr>
      <w:tr w:rsidR="00434FC6" w:rsidRPr="00434FC6" w14:paraId="02E6CA9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AEEC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4E1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286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26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EA24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591B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9578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</w:tr>
      <w:tr w:rsidR="00434FC6" w:rsidRPr="00434FC6" w14:paraId="2D8FC7B0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73DA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02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943B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59A0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FD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A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F9B25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</w:tr>
      <w:tr w:rsidR="00434FC6" w:rsidRPr="00434FC6" w14:paraId="608C636B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7E54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631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258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95A0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6C6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8B4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2266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</w:tr>
      <w:tr w:rsidR="00434FC6" w:rsidRPr="00434FC6" w14:paraId="7B02552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DAD7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0ADA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30F2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5F33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E4D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1618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6D5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</w:tr>
      <w:tr w:rsidR="00434FC6" w:rsidRPr="00434FC6" w14:paraId="0D433A3E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B6DB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ADD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4F5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1C43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8F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2D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22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</w:tr>
      <w:tr w:rsidR="00434FC6" w:rsidRPr="00434FC6" w14:paraId="18489532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02F6" w14:textId="77777777" w:rsidR="00434FC6" w:rsidRPr="00236F80" w:rsidRDefault="00434FC6" w:rsidP="00434FC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782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3E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50852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FCA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50B0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D127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</w:tr>
      <w:tr w:rsidR="00434FC6" w:rsidRPr="003C191D" w14:paraId="4679D99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5257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AFC4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ADC1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B7F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651E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F236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D1F1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</w:tr>
      <w:tr w:rsidR="00434FC6" w:rsidRPr="000028E1" w14:paraId="67EA846D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B49F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32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B45C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2DB3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330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7FC5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980AF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</w:tr>
      <w:tr w:rsidR="00434FC6" w:rsidRPr="000028E1" w14:paraId="3CF99F0A" w14:textId="77777777" w:rsidTr="00434FC6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350C" w14:textId="77777777" w:rsidR="00434FC6" w:rsidRPr="00236F80" w:rsidRDefault="00434FC6" w:rsidP="00434FC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AD2F9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C441F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0C71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17D7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F8AFD" w14:textId="77777777" w:rsidR="00434FC6" w:rsidRPr="00866F02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FDB9" w14:textId="77777777" w:rsidR="00434FC6" w:rsidRPr="00434FC6" w:rsidRDefault="00434FC6" w:rsidP="00434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</w:tr>
      <w:tr w:rsidR="00EE3332" w:rsidRPr="00434642" w14:paraId="635E757A" w14:textId="77777777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570DC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B8F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2A4F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EA39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2582A" w14:textId="77777777" w:rsidR="00EE3332" w:rsidRPr="00434642" w:rsidRDefault="00EE3332" w:rsidP="00EE3332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F35C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01CA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EE3332" w:rsidRPr="00434642" w14:paraId="7E38FE76" w14:textId="77777777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B405" w14:textId="77777777" w:rsidR="00EE3332" w:rsidRPr="00434642" w:rsidRDefault="00F70E89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</w:t>
            </w:r>
            <w:r w:rsidR="004D29A7">
              <w:rPr>
                <w:rFonts w:ascii="Times New Roman" w:eastAsia="Times New Roman" w:hAnsi="Times New Roman"/>
                <w:sz w:val="14"/>
                <w:szCs w:val="14"/>
              </w:rPr>
              <w:t xml:space="preserve">by MoF 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37FF078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B86F105" w14:textId="77777777" w:rsidR="00F55F51" w:rsidRDefault="00F55F51"/>
    <w:p w14:paraId="32D94C45" w14:textId="77777777" w:rsidR="00F51532" w:rsidRDefault="00F51532"/>
    <w:p w14:paraId="554FCBDB" w14:textId="77777777"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14:paraId="1D01EC90" w14:textId="77777777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73C3" w14:textId="77777777"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14:paraId="562308CF" w14:textId="77777777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6DDD195D" w14:textId="77777777"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EE3332" w:rsidRPr="00434642" w14:paraId="7C80384F" w14:textId="77777777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1915C924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D218AE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09CAAA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B0B48C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0B4210" w14:textId="77777777" w:rsidR="00EE3332" w:rsidRPr="00A60D2F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0F24C89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14:paraId="2A6EECD4" w14:textId="77777777" w:rsidR="00EE3332" w:rsidRPr="00F019C6" w:rsidRDefault="00EE3332" w:rsidP="000A46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</w:t>
            </w:r>
            <w:r w:rsidR="000E34E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6380" w:rsidRPr="00434642" w14:paraId="3E5A9F8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D30D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E24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8C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F2D4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8BA1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A7C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13B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</w:tr>
      <w:tr w:rsidR="008F6380" w:rsidRPr="00434642" w14:paraId="738B58C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F5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0DA1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BA3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6AF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6F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00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A20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</w:tr>
      <w:tr w:rsidR="008F6380" w:rsidRPr="00434642" w14:paraId="2DCF4E6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D42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E51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824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EB76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A41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075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4E6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</w:tr>
      <w:tr w:rsidR="008F6380" w:rsidRPr="00434642" w14:paraId="3E3101A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82A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02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B3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BF4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2E8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0F20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B4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</w:tr>
      <w:tr w:rsidR="008F6380" w:rsidRPr="00434642" w14:paraId="7B9A4CB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D0B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B1A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38D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D87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1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829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83E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</w:tr>
      <w:tr w:rsidR="008F6380" w:rsidRPr="00434642" w14:paraId="7F7E6F2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2F3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C6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B90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4444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C9A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3F1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633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</w:tr>
      <w:tr w:rsidR="008F6380" w:rsidRPr="00434642" w14:paraId="73CBF6B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F9A6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2927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7A7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ECAA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1FF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414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47A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</w:tr>
      <w:tr w:rsidR="008F6380" w:rsidRPr="00434642" w14:paraId="7727055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43F5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15D9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0BC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E6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291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C4B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D82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</w:tr>
      <w:tr w:rsidR="008F6380" w:rsidRPr="00434642" w14:paraId="726B0A1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05DD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B8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7F0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434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C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9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8A2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</w:tr>
      <w:tr w:rsidR="008F6380" w:rsidRPr="00434642" w14:paraId="0559852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981B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FA95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F78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CD6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CE0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E9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FF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</w:tr>
      <w:tr w:rsidR="008F6380" w:rsidRPr="00F5085C" w14:paraId="4981141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602" w14:textId="77777777" w:rsidR="008F6380" w:rsidRPr="00434642" w:rsidRDefault="008F6380" w:rsidP="008F63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607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903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4F0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65F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F753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08E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</w:tr>
      <w:tr w:rsidR="008F6380" w:rsidRPr="00F5085C" w14:paraId="313071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BAB10" w14:textId="77777777" w:rsidR="008F6380" w:rsidRPr="00003035" w:rsidRDefault="008F6380" w:rsidP="008F6380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E6B51" w14:textId="77777777" w:rsidR="008F6380" w:rsidRPr="00F90C6A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D653A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C87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108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D7F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B32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389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</w:tr>
      <w:tr w:rsidR="008F6380" w:rsidRPr="00F5085C" w14:paraId="3FFE668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30C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6D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8EAF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E5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4A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356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1AA4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</w:tr>
      <w:tr w:rsidR="008F6380" w:rsidRPr="00F5085C" w14:paraId="5E3C41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D868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CA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A2F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108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5A5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B8F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8B10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7BC2925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0FB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FFA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17705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FF9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189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90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7271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80CF2C8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D5C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620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2C9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B9C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AC2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624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9CDE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105C7A5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C7A9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728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F14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DD04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A55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ABA3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77A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38C82D3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82C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98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1F5D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22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7C3E9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9B7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0B5B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538B079A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C2505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22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9F6E1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D73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D9C7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87D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7B797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05795CE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8094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B3E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CC52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349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482D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915C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433EF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4A661AF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ADD0" w14:textId="77777777" w:rsidR="008F6380" w:rsidRPr="00434642" w:rsidRDefault="008F6380" w:rsidP="008F6380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B844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6C8EA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AC66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0946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1AF8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76FB" w14:textId="77777777" w:rsidR="008F6380" w:rsidRPr="00A67BBD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8F6380" w:rsidRPr="00F5085C" w14:paraId="65512F4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62FE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A41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86F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4FF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55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98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C255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</w:tr>
      <w:tr w:rsidR="008F6380" w:rsidRPr="00F5085C" w14:paraId="7C180653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AB3B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DA9E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78D5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B69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BAE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AB72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25F8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</w:tr>
      <w:tr w:rsidR="008F6380" w:rsidRPr="00F5085C" w14:paraId="56C96BC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8C26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5A2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8D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B4A1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C56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C0D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6737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</w:tr>
      <w:tr w:rsidR="008F6380" w:rsidRPr="00F5085C" w14:paraId="7154111E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DA28" w14:textId="77777777" w:rsidR="008F6380" w:rsidRPr="00434642" w:rsidRDefault="008F6380" w:rsidP="008F63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DA7D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E2D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4845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75E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6A7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968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</w:tr>
      <w:tr w:rsidR="008F6380" w:rsidRPr="00F5085C" w14:paraId="65426FB1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B2C5" w14:textId="77777777" w:rsidR="008F6380" w:rsidRPr="00434642" w:rsidRDefault="008F6380" w:rsidP="008F63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079B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AF8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CA2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25C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4A3C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C48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</w:tr>
      <w:tr w:rsidR="008F6380" w:rsidRPr="00F5085C" w14:paraId="0E10961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D4C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E3A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9810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8865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6C7D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D763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360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</w:tr>
      <w:tr w:rsidR="008F6380" w:rsidRPr="00F5085C" w14:paraId="50DD30F6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9088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7B8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1CB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87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614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AAA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3FF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</w:tr>
      <w:tr w:rsidR="008F6380" w:rsidRPr="00F5085C" w14:paraId="6C6F88FC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30B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D80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FE9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6316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7B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5E2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400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</w:tr>
      <w:tr w:rsidR="008F6380" w:rsidRPr="00434642" w14:paraId="50F1CF24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2515" w14:textId="77777777" w:rsidR="008F6380" w:rsidRPr="00003035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66214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D96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083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C6D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958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F03A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</w:tr>
      <w:tr w:rsidR="008F6380" w:rsidRPr="00434642" w14:paraId="2FC1466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6B65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014C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380E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CB8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1AB7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42B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CAC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</w:tr>
      <w:tr w:rsidR="008F6380" w:rsidRPr="00434642" w14:paraId="036336CD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98CF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FF0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D5B0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A8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3DE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EDC9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8FF3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</w:tr>
      <w:tr w:rsidR="008F6380" w:rsidRPr="00434642" w14:paraId="321077A5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FFE9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248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5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4A2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77A4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89982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5DC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</w:tr>
      <w:tr w:rsidR="008F6380" w:rsidRPr="00434642" w14:paraId="66ABBF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C557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709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71AF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0BF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977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55F3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2651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</w:tr>
      <w:tr w:rsidR="008F6380" w:rsidRPr="00434642" w14:paraId="578875D2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75AD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686F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4241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88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E0AA6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B49B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A8E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</w:tr>
      <w:tr w:rsidR="008F6380" w:rsidRPr="00434642" w14:paraId="3E33AD80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DE72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722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D2447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71D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DFC5C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71D6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CDCB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</w:tr>
      <w:tr w:rsidR="008F6380" w:rsidRPr="00434642" w14:paraId="7086C2F7" w14:textId="77777777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EFA6" w14:textId="77777777" w:rsidR="008F6380" w:rsidRPr="00434642" w:rsidRDefault="008F6380" w:rsidP="008F63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9F93" w14:textId="77777777" w:rsidR="008F6380" w:rsidRPr="00D93DEB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D93DEB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FB64D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17108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9F735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61A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22BE" w14:textId="77777777" w:rsidR="008F6380" w:rsidRPr="008F6380" w:rsidRDefault="008F6380" w:rsidP="008F63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E3332" w:rsidRPr="00434642" w14:paraId="0F532829" w14:textId="77777777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65CD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7536" w14:textId="77777777" w:rsidR="00EE3332" w:rsidRPr="00557BF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58FAD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D1D1" w14:textId="77777777" w:rsidR="00EE3332" w:rsidRPr="008F4E7E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FCF7" w14:textId="77777777" w:rsidR="00EE3332" w:rsidRPr="00F019C6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B78DB" w14:textId="77777777" w:rsidR="00EE3332" w:rsidRPr="00DE5C5C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48F1" w14:textId="77777777" w:rsidR="00EE3332" w:rsidRPr="00F90C6A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EE3332" w:rsidRPr="00434642" w14:paraId="508B16E9" w14:textId="77777777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43861DF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F6B9A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FA047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49984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1FA3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A360" w14:textId="77777777" w:rsidR="00EE3332" w:rsidRPr="00724C80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A10D" w14:textId="77777777" w:rsidR="00EE3332" w:rsidRPr="008A51F1" w:rsidRDefault="00EE3332" w:rsidP="00EE33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EE3332" w:rsidRPr="00434642" w14:paraId="668A6258" w14:textId="77777777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C26A" w14:textId="77777777" w:rsidR="00EE3332" w:rsidRPr="00434642" w:rsidRDefault="00EE3332" w:rsidP="00EE333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90100D9" w14:textId="77777777" w:rsidR="00EE3332" w:rsidRPr="00434642" w:rsidRDefault="00EE3332" w:rsidP="00EE3332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14:paraId="65EBAED2" w14:textId="77777777"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14:paraId="68A7CB54" w14:textId="77777777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9ADD" w14:textId="77777777"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14:paraId="3C58FEF0" w14:textId="77777777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3474" w14:textId="77777777"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14:paraId="50638E2A" w14:textId="77777777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3D390AE3" w14:textId="77777777"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14:paraId="0A05BC95" w14:textId="77777777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51CA16" w14:textId="77777777"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C265E3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A2A2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2B13A5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14:paraId="309D5EE9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14:paraId="204ECC71" w14:textId="77777777"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14:paraId="7BC6C03B" w14:textId="77777777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205614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930EB7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14:paraId="0CA846F8" w14:textId="77777777"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B74C52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F7B06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37CF69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77B" w14:textId="77777777"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0E92896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14:paraId="198888E7" w14:textId="77777777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98B0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E82FB0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7A5518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1F519D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AA9FC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7F9F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E701E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902FDA" w14:textId="77777777"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14:paraId="04C9910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BD11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030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2F2D2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1C83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863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91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0FAA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DA6E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14:paraId="40C4EA10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DF64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3D90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9E7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9382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8EC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5B3B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ED8B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250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2DEBC98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38F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A045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68A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A457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993C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7E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7CBCF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C00E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146E10" w:rsidRPr="00434642" w14:paraId="77CC53AB" w14:textId="77777777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CF1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5DDA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B4C6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43C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5D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8E550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20ED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60F7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44313080" w14:textId="77777777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C89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762B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0858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DEB4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64DA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C14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0C8F0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97A99" w14:textId="77777777"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146E10" w:rsidRPr="00434642" w14:paraId="75061D80" w14:textId="77777777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E6E1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A4F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92A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A186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C4D2C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8A5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DBFDD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67653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ED50A82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9F0E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090C3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56E9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3330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8CBB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CC90A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35B5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5FFC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14:paraId="3A35B232" w14:textId="77777777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ED67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04988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BA54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ECC7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953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774D0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924FB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C8DB8" w14:textId="77777777"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14:paraId="31D78685" w14:textId="77777777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06A6" w14:textId="77777777"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EA05" w14:textId="77777777"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81E1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1,726.0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7A32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8164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C021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93EC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3,008.2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487B8" w14:textId="77777777"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4,734.2</w:t>
            </w:r>
          </w:p>
        </w:tc>
      </w:tr>
      <w:tr w:rsidR="00146E10" w:rsidRPr="00434642" w14:paraId="33C767CB" w14:textId="77777777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6CB7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77E8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CBC0E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750D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4DD0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F8991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D527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1BAC9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14:paraId="058F1B2E" w14:textId="77777777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A81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6AC8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03300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779D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6C28A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EF64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9F35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D597F" w14:textId="77777777"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14:paraId="3BB75850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27678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D3BB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6342" w14:textId="77777777"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A8E6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7C2A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0D6D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1B50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EAAB2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B768AE" w:rsidRPr="00434642" w14:paraId="60B09611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D340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FE18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88E7" w14:textId="77777777"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3E9DE" w14:textId="77777777"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F5B0" w14:textId="77777777"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4D82" w14:textId="77777777" w:rsidR="00B768AE" w:rsidRPr="00FF7722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755B6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E6A7" w14:textId="77777777" w:rsidR="00B768AE" w:rsidRPr="00FF7722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B768AE" w:rsidRPr="00434642" w14:paraId="0F2705C2" w14:textId="77777777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FEB0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C9115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C93D" w14:textId="77777777" w:rsidR="00B768AE" w:rsidRPr="007F732B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317AD" w14:textId="77777777"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0450E" w14:textId="77777777"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5F1A5" w14:textId="77777777"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0C54" w14:textId="77777777"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9ADA2" w14:textId="77777777" w:rsidR="00B768AE" w:rsidRPr="007F732B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F732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464.7</w:t>
            </w:r>
          </w:p>
        </w:tc>
      </w:tr>
      <w:tr w:rsidR="00B768AE" w:rsidRPr="00434642" w14:paraId="31500097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9826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DDE3F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D4B4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D19B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2DCE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31378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EE86B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143B" w14:textId="77777777" w:rsidR="00B768AE" w:rsidRPr="0014227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68AE" w:rsidRPr="00434642" w14:paraId="2D9EF071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5C92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4452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10496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BFA4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9C58D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C9D4C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35D1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82A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</w:tr>
      <w:tr w:rsidR="00B768AE" w:rsidRPr="00434642" w14:paraId="0E01D4F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AE6D5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53AC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49C3E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B72F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27CEB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EAB5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0975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A8FF6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296.2</w:t>
            </w:r>
          </w:p>
        </w:tc>
      </w:tr>
      <w:tr w:rsidR="00B768AE" w:rsidRPr="00434642" w14:paraId="120A75C0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F228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AD93A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40BD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751D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5CD4D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CECD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7616C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122A1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417.5</w:t>
            </w:r>
          </w:p>
        </w:tc>
      </w:tr>
      <w:tr w:rsidR="00B768AE" w:rsidRPr="00434642" w14:paraId="3166808F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3F282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B4210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23BAC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29DA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471E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2936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4B1E4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5749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14:paraId="40F31D0A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EBD4C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0F42A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3C9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162A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F474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BE842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A1386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FCEF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336.1</w:t>
            </w:r>
          </w:p>
        </w:tc>
      </w:tr>
      <w:tr w:rsidR="00B768AE" w:rsidRPr="00434642" w14:paraId="187FCB1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D5A9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83BF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F793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9D4A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0663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6CA07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11BA7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967C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345.4</w:t>
            </w:r>
          </w:p>
        </w:tc>
      </w:tr>
      <w:tr w:rsidR="00B768AE" w:rsidRPr="00434642" w14:paraId="462D0D90" w14:textId="77777777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2C76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9956A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5E8BC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E5D59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FEC21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B529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B371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F62E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518.5</w:t>
            </w:r>
          </w:p>
        </w:tc>
      </w:tr>
      <w:tr w:rsidR="00B768AE" w:rsidRPr="00434642" w14:paraId="46C8DED9" w14:textId="77777777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8C2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5673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49CE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D1702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A41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4346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AF18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FD50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14:paraId="6827610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9FD2E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29917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7D6DA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5EAE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3239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75AC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D0D78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A8119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B768AE" w:rsidRPr="00434642" w14:paraId="4D8C040D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1B47D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5F7AD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80A3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D06C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28597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E134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3860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E5BFE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B768AE" w:rsidRPr="00434642" w14:paraId="08003724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44C54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F1AE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47EC5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2E3F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B0931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82A1" w14:textId="77777777" w:rsidR="00B768AE" w:rsidRPr="00A22CF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2EA1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D604" w14:textId="77777777" w:rsidR="00B768AE" w:rsidRPr="00A22CF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B768AE" w:rsidRPr="00434642" w14:paraId="69F1FB1E" w14:textId="77777777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11D6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E33C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39E1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58B6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0E25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49D" w14:textId="77777777" w:rsidR="00B768AE" w:rsidRPr="00F90C6A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0D90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10F9" w14:textId="77777777" w:rsidR="00B768AE" w:rsidRPr="00F90C6A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14:paraId="5FDB88A9" w14:textId="77777777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BA5DD" w14:textId="77777777" w:rsidR="00B768AE" w:rsidRPr="009D1660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BB58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DF150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92CE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D5B5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57AC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E2FF0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C47B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B768AE" w:rsidRPr="00434642" w14:paraId="74563FD3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9D7B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223D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284F5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37C27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B324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B5726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3C4D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5143D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B768AE" w:rsidRPr="00434642" w14:paraId="449611D0" w14:textId="77777777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6F6D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E601F" w14:textId="77777777" w:rsidR="00B768AE" w:rsidRPr="00C90C6B" w:rsidRDefault="00B768AE" w:rsidP="00B768AE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4F98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34E3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5CAEC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8D22" w14:textId="77777777" w:rsidR="00B768AE" w:rsidRPr="00B768AE" w:rsidRDefault="00B768AE" w:rsidP="00B768A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1438B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8FE72" w14:textId="77777777" w:rsidR="00B768AE" w:rsidRPr="00B768AE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B768AE" w:rsidRPr="00434642" w14:paraId="4D86006A" w14:textId="77777777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62D75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AB3A0" w14:textId="77777777" w:rsidR="00B768AE" w:rsidRPr="00434642" w:rsidRDefault="00B768AE" w:rsidP="00B768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9DDF6" w14:textId="77777777"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D5023B" w14:textId="77777777"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35F70" w14:textId="77777777"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10288" w14:textId="77777777" w:rsidR="00B768AE" w:rsidRPr="00557BFA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B1A1D" w14:textId="77777777"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58402" w14:textId="77777777" w:rsidR="00B768AE" w:rsidRPr="00DE5C5C" w:rsidRDefault="00B768AE" w:rsidP="00B768A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68AE" w:rsidRPr="00434642" w14:paraId="5106B1AA" w14:textId="77777777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CACB7C" w14:textId="77777777" w:rsidR="00B768AE" w:rsidRDefault="00B768AE" w:rsidP="00B768A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14:paraId="06ED19E2" w14:textId="77777777" w:rsidR="00B768AE" w:rsidRPr="00434642" w:rsidRDefault="007F2D23" w:rsidP="00B768A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B768AE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14:paraId="08DABA4D" w14:textId="77777777" w:rsidR="00FA482D" w:rsidRPr="00434642" w:rsidRDefault="00FA482D" w:rsidP="00D642D9"/>
    <w:sectPr w:rsidR="00FA482D" w:rsidRPr="00434642" w:rsidSect="00F43D10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676A" w14:textId="77777777" w:rsidR="007F2D23" w:rsidRDefault="007F2D23">
      <w:r>
        <w:separator/>
      </w:r>
    </w:p>
  </w:endnote>
  <w:endnote w:type="continuationSeparator" w:id="0">
    <w:p w14:paraId="60FAC509" w14:textId="77777777" w:rsidR="007F2D23" w:rsidRDefault="007F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2240" w14:textId="77777777" w:rsidR="00146E10" w:rsidRDefault="00146E1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DD607" w14:textId="77777777" w:rsidR="00146E10" w:rsidRDefault="00146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60F8" w14:textId="77777777" w:rsidR="00146E10" w:rsidRDefault="00146E10">
    <w:pPr>
      <w:pStyle w:val="Footer"/>
      <w:jc w:val="center"/>
      <w:rPr>
        <w:rFonts w:ascii="Times New Roman" w:hAnsi="Times New Roman"/>
        <w:sz w:val="20"/>
        <w:szCs w:val="20"/>
      </w:rPr>
    </w:pPr>
  </w:p>
  <w:p w14:paraId="16F6E8BB" w14:textId="77777777" w:rsidR="00146E10" w:rsidRPr="00724C80" w:rsidRDefault="00146E1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A67BBD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14:paraId="194B1139" w14:textId="77777777" w:rsidR="00146E10" w:rsidRDefault="00146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7FD" w14:textId="77777777" w:rsidR="007F2D23" w:rsidRDefault="007F2D23">
      <w:r>
        <w:separator/>
      </w:r>
    </w:p>
  </w:footnote>
  <w:footnote w:type="continuationSeparator" w:id="0">
    <w:p w14:paraId="1891D7B3" w14:textId="77777777" w:rsidR="007F2D23" w:rsidRDefault="007F2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E65" w14:textId="77777777" w:rsidR="00146E10" w:rsidRDefault="00146E1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5230"/>
    <w:rsid w:val="00BA5A3A"/>
    <w:rsid w:val="00BB43F8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21D6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33748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82FD-C33F-42D8-BD5E-2C66F7BA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aftab ahmad</cp:lastModifiedBy>
  <cp:revision>134</cp:revision>
  <cp:lastPrinted>2021-11-05T06:45:00Z</cp:lastPrinted>
  <dcterms:created xsi:type="dcterms:W3CDTF">2017-08-23T10:11:00Z</dcterms:created>
  <dcterms:modified xsi:type="dcterms:W3CDTF">2022-02-06T15:36:00Z</dcterms:modified>
</cp:coreProperties>
</file>