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854"/>
        <w:gridCol w:w="948"/>
      </w:tblGrid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1A3B20" w:rsidRPr="00423117" w:rsidTr="00035B69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423117" w:rsidRDefault="001A3B20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636017" w:rsidRPr="00423117" w:rsidTr="00035B69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5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</w:tr>
      <w:tr w:rsidR="00636017" w:rsidRPr="00423117" w:rsidTr="00035B69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36017" w:rsidRPr="00423117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762,612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330,684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1,272,960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943,821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1,942,600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1,139,875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1,147,156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13,705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6,392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34,142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71,208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41,021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41,439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374,39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307,463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783,461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2,405,566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1,272,960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943,821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6,23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5,115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26,314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83,564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45,748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34,142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1,907,166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1,930,387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4,461,987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4,622,347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4,159,381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4,026,296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4,229,631</w:t>
            </w:r>
          </w:p>
        </w:tc>
      </w:tr>
      <w:tr w:rsidR="00636017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0D7330" w:rsidRDefault="00636017" w:rsidP="000D733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64FF0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035B69" w:rsidRDefault="00636017" w:rsidP="0063601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6017" w:rsidRPr="001B7DA0" w:rsidRDefault="00636017" w:rsidP="0063601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636017" w:rsidRPr="00636017" w:rsidRDefault="00636017" w:rsidP="0063601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84,65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3,296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61,779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110,026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3,40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4,870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646,736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476,242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310,532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186,599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37,16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24,345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28,537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20,594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14,054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4,442,02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3,798,584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1,415,513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1,219,274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853,058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653,239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485,691</w:t>
            </w:r>
          </w:p>
        </w:tc>
      </w:tr>
      <w:tr w:rsidR="00636017" w:rsidRPr="00664FF0" w:rsidTr="00487E7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0D7330" w:rsidRDefault="00636017" w:rsidP="000D733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664FF0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6017" w:rsidRPr="00035B69" w:rsidRDefault="00636017" w:rsidP="0063601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6017" w:rsidRPr="001B7DA0" w:rsidRDefault="00636017" w:rsidP="0063601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6017" w:rsidRPr="00636017" w:rsidRDefault="00636017" w:rsidP="0063601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215,924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72,258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371,091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49,009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34,229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58,019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7,685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28,747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10,919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1,119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2,08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790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0D7330" w:rsidRPr="00664FF0" w:rsidTr="000D733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Pr="006C1D3D" w:rsidRDefault="000D7330" w:rsidP="000D733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710C55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115,389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D733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D7330">
              <w:rPr>
                <w:rFonts w:asciiTheme="majorBidi" w:hAnsiTheme="majorBidi" w:cstheme="majorBidi"/>
                <w:sz w:val="16"/>
                <w:szCs w:val="16"/>
              </w:rPr>
              <w:t>104,470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3C187B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1,428,556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664FF0" w:rsidRDefault="000D7330" w:rsidP="000D733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1,644,481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7330" w:rsidRPr="00035B69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1,715,619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1B7DA0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2,086,710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D7330" w:rsidRPr="00636017" w:rsidRDefault="000D7330" w:rsidP="000D733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2,135,719</w:t>
            </w:r>
          </w:p>
        </w:tc>
      </w:tr>
      <w:tr w:rsidR="00636017" w:rsidRPr="00423117" w:rsidTr="00035B69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605286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6017" w:rsidRPr="00605286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6017" w:rsidRPr="00423117" w:rsidRDefault="00636017" w:rsidP="006360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6017" w:rsidRPr="001B7DA0" w:rsidRDefault="00636017" w:rsidP="0063601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36017" w:rsidRPr="00423117" w:rsidTr="00035B69">
        <w:trPr>
          <w:trHeight w:val="32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636017" w:rsidRPr="006C1D3D" w:rsidRDefault="00636017" w:rsidP="00636017">
            <w:pPr>
              <w:rPr>
                <w:color w:val="000000"/>
                <w:sz w:val="14"/>
                <w:szCs w:val="14"/>
              </w:rPr>
            </w:pPr>
          </w:p>
        </w:tc>
      </w:tr>
      <w:tr w:rsidR="00636017" w:rsidRPr="00423117" w:rsidTr="00035B69">
        <w:trPr>
          <w:trHeight w:val="25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36017" w:rsidRPr="006C1D3D" w:rsidRDefault="00636017" w:rsidP="00636017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5327C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824.2</w:t>
            </w:r>
          </w:p>
        </w:tc>
      </w:tr>
      <w:tr w:rsidR="0002077A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73AA6" w:rsidRDefault="0002077A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73AA6" w:rsidRDefault="0002077A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5327C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B5327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B5327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B5327C">
            <w:pPr>
              <w:jc w:val="right"/>
              <w:rPr>
                <w:sz w:val="24"/>
                <w:szCs w:val="24"/>
              </w:rPr>
            </w:pPr>
          </w:p>
        </w:tc>
      </w:tr>
      <w:tr w:rsidR="00B5327C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1372D1" w:rsidRDefault="00B5327C" w:rsidP="00B5327C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649.3</w:t>
            </w:r>
          </w:p>
        </w:tc>
      </w:tr>
      <w:tr w:rsidR="00B5327C" w:rsidRPr="00E73AA6" w:rsidTr="00B5327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1372D1" w:rsidRDefault="00B5327C" w:rsidP="00B5327C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1372D1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21.64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3,452.3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3,376.05</w:t>
            </w:r>
          </w:p>
        </w:tc>
      </w:tr>
      <w:tr w:rsidR="0002077A" w:rsidRPr="00E73AA6" w:rsidTr="000207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5,894.75</w:t>
            </w:r>
          </w:p>
        </w:tc>
      </w:tr>
      <w:tr w:rsidR="00067E0D" w:rsidRPr="00E73AA6" w:rsidTr="00067E0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73AA6" w:rsidRDefault="00067E0D" w:rsidP="00067E0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2,313.40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067E0D" w:rsidRPr="00E73AA6" w:rsidTr="00067E0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41DC9" w:rsidRDefault="00067E0D" w:rsidP="00067E0D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4,369.57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3,477.96</w:t>
            </w:r>
          </w:p>
        </w:tc>
      </w:tr>
      <w:tr w:rsidR="00067E0D" w:rsidRPr="00E73AA6" w:rsidTr="00067E0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41DC9" w:rsidRDefault="00067E0D" w:rsidP="00067E0D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7E0D" w:rsidRPr="00E41DC9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115.93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02077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BE2261" w:rsidRPr="00E73AA6" w:rsidTr="00BE226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BE2261" w:rsidRPr="00E73AA6" w:rsidTr="00BE226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356,340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930,350</w:t>
            </w:r>
          </w:p>
        </w:tc>
      </w:tr>
      <w:tr w:rsidR="00BE2261" w:rsidRPr="00E73AA6" w:rsidTr="00BE226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11,878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31,012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BE2261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2261" w:rsidRDefault="002A6753" w:rsidP="00BE226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BE2261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2261" w:rsidRDefault="002A6753" w:rsidP="00BE226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BE2261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935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02077A">
        <w:trPr>
          <w:trHeight w:val="240"/>
          <w:jc w:val="center"/>
        </w:trPr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77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02077A">
        <w:trPr>
          <w:trHeight w:val="480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02077A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2077A" w:rsidRPr="00254811" w:rsidTr="0002077A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165,213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91,703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7.2347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273,706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7.4305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111,204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7.6000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912,398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759,898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7.6388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7.5711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236,065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46,065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7.9798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7.9488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97,703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723,905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603,262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7.8499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7.7042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209,055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88,055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8.0634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120,087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364,556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173,056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8.2498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8.1748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207,538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223,506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8.3795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182,930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3,430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232,000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338,153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55,804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112,905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148,002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442,579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357,579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10.3912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203,741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11.0587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125,503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55,503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11.3511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1,457,866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842,326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640,648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11.3789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208,124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95,774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11.4356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1,079,307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746,461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10.5902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620,120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288,513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122,013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11.4796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8F4A71" w:rsidRDefault="0002077A" w:rsidP="0002077A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340F4" w:rsidRDefault="004E1D23" w:rsidP="004E1D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340F4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340F4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8610D3" w:rsidRDefault="004E1D23" w:rsidP="004E1D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340F4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182917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182917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182917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</w:tr>
      <w:tr w:rsidR="004E1D23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E1D23" w:rsidRPr="0067184C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4E1D23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E1D23" w:rsidRPr="0067184C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</w:p>
        </w:tc>
      </w:tr>
      <w:tr w:rsidR="004E1D23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E1D23" w:rsidRPr="00E6418E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15.8869</w:t>
            </w:r>
          </w:p>
        </w:tc>
      </w:tr>
      <w:tr w:rsidR="004E1D23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E1D23" w:rsidRPr="00E6418E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15.8994</w:t>
            </w:r>
          </w:p>
        </w:tc>
      </w:tr>
      <w:tr w:rsidR="004E1D23" w:rsidRPr="00254811" w:rsidTr="00082579">
        <w:trPr>
          <w:trHeight w:val="162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E1D23" w:rsidRPr="0067184C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E1D23" w:rsidRPr="00E6418E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E1D23" w:rsidRPr="00E6418E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ind w:left="-10" w:right="-13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224F5">
              <w:rPr>
                <w:sz w:val="16"/>
                <w:szCs w:val="16"/>
              </w:rPr>
              <w:t>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ind w:right="-12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E1D23" w:rsidRPr="0067184C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E1D23" w:rsidRPr="00254811" w:rsidTr="00082579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15.6874</w:t>
            </w:r>
          </w:p>
        </w:tc>
      </w:tr>
      <w:tr w:rsidR="004E1D23" w:rsidRPr="00254811" w:rsidTr="00082579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ind w:left="-11" w:right="-9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</w:t>
            </w: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02077A" w:rsidRDefault="004E1D23" w:rsidP="004E1D2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15.6655</w:t>
            </w:r>
          </w:p>
        </w:tc>
      </w:tr>
      <w:tr w:rsidR="004E1D23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4E1D23" w:rsidRPr="0067184C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1D23" w:rsidRPr="00C224F5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0709B" w:rsidRPr="00254811" w:rsidTr="00B0709B">
        <w:trPr>
          <w:trHeight w:val="18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4E1D23" w:rsidRDefault="00B0709B" w:rsidP="00B0709B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15.7267</w:t>
            </w:r>
          </w:p>
        </w:tc>
      </w:tr>
      <w:tr w:rsidR="00B0709B" w:rsidRPr="00254811" w:rsidTr="00B0709B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4E1D23" w:rsidRDefault="00B0709B" w:rsidP="00B0709B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AE6183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709B" w:rsidRPr="00B0709B" w:rsidRDefault="00B0709B" w:rsidP="00B070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15.6990</w:t>
            </w:r>
          </w:p>
        </w:tc>
      </w:tr>
      <w:tr w:rsidR="004E1D23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E1D23" w:rsidRPr="00E6418E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E6418E" w:rsidRDefault="004E1D23" w:rsidP="004E1D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E1D23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Default="004E1D23" w:rsidP="004E1D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E1D23" w:rsidRPr="00254811" w:rsidRDefault="004E1D23" w:rsidP="004E1D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E1D23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E1D23" w:rsidRDefault="004E1D23" w:rsidP="004E1D23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4E1D23" w:rsidRPr="009A1422" w:rsidRDefault="004E1D23" w:rsidP="004E1D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2A2DD3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29-Apr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122,060.00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87.9632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13.3000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13.2197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241,851.50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70,854.80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80.3875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12.6918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352,603.30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288,391.30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73.8863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13.0576</w:t>
            </w:r>
          </w:p>
        </w:tc>
      </w:tr>
      <w:tr w:rsidR="002A2DD3" w:rsidRPr="00E73AA6" w:rsidTr="00082579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29-May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168,576.40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23,843.00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87.1174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197,297.60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70,776.10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79.8391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246,321.80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082579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CE256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1358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Default="002A2DD3" w:rsidP="002A2DD3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07A8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4-Aug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168,368.00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94,828.10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348,146.00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205,420.60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185,774.00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15-Sep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107,794.30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19,144.30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90.9077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13.9200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13.8728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333,189.20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181,063.40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80.1593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13.3607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108,683.00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A63FB5" w:rsidRDefault="002A2DD3" w:rsidP="002A2D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12.9197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13-Oct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152,360.00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96,329.90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91.2736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13.8360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13.7633</w:t>
            </w:r>
          </w:p>
        </w:tc>
      </w:tr>
      <w:tr w:rsidR="002A2DD3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402,329.50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131,872.60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90.7100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13.0568</w:t>
            </w:r>
          </w:p>
        </w:tc>
      </w:tr>
      <w:tr w:rsidR="002A2DD3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01CCC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 xml:space="preserve">  107,694.00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2A2DD3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32D8A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C0427B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2A2DD3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2A2DD3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6E6BEC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A2DD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8F4A71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13.3175%</w:t>
            </w:r>
          </w:p>
        </w:tc>
      </w:tr>
      <w:tr w:rsidR="002A2DD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78,444.50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A2DD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A2DD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A2DD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081BE5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A2DD3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2A2DD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Pr="001268EF" w:rsidRDefault="002A2DD3" w:rsidP="002A2D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1268EF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2E175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3D3702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A2DD3" w:rsidRPr="004B264E" w:rsidRDefault="002A2DD3" w:rsidP="002A2DD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DD3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DD3" w:rsidRDefault="002A2DD3" w:rsidP="002A2D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2A2DD3" w:rsidRDefault="002A2DD3" w:rsidP="002A2DD3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2A2DD3" w:rsidRPr="00DC2641" w:rsidRDefault="002A2DD3" w:rsidP="002A2DD3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C01AF0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13-Jul-22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BA2E9F" w:rsidRDefault="00AC7BD3" w:rsidP="00AC7BD3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218,090.00</w:t>
            </w: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124,340.00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99.1563</w:t>
            </w:r>
          </w:p>
        </w:tc>
      </w:tr>
      <w:tr w:rsidR="00AC7BD3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50,250.00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97.8193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27-Jul-22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148,125.00</w:t>
            </w: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52,784.50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99.1718</w:t>
            </w: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color w:val="000000"/>
                <w:sz w:val="14"/>
                <w:szCs w:val="14"/>
              </w:rPr>
              <w:t>73,000.00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color w:val="000000"/>
                <w:sz w:val="14"/>
                <w:szCs w:val="14"/>
              </w:rPr>
              <w:t>39,786.70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color w:val="000000"/>
                <w:sz w:val="14"/>
                <w:szCs w:val="14"/>
              </w:rPr>
              <w:t>97.8357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C01AF0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BA2E9F" w:rsidRDefault="00AC7BD3" w:rsidP="00AC7BD3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125,950.00</w:t>
            </w: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98,200.00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99.1885</w:t>
            </w: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98,750.00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74,520.00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97.6460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C62D35" w:rsidRDefault="00AC7BD3" w:rsidP="00AC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91,475.00</w:t>
            </w: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44,226.70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99.2090</w:t>
            </w: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346,500.00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238,502.50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97.6720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C01AF0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BA2E9F" w:rsidRDefault="00AC7BD3" w:rsidP="00AC7BD3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115,009.30</w:t>
            </w: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24,759.30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98.9102</w:t>
            </w: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458,650.00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301,039.10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97.4500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95.9404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C62D35" w:rsidRDefault="00AC7BD3" w:rsidP="00AC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44,525.00</w:t>
            </w: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47,148.10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98.9189</w:t>
            </w: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F95CA0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117,795.00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66,220.00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97.4649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53,350.00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41,600.00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95.9807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C01AF0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8F4A71" w:rsidRDefault="00AC7BD3" w:rsidP="00AC7BD3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6,924.50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2,294.20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98.9313</w:t>
            </w: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113,400.00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42,796.60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97.5956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ind w:left="-24" w:right="-11" w:firstLine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414,568.00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263,266.00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96.1277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93.0004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AC7BD3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77,000.00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14,885.00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97.6173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512,687.80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455,395.70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96.1909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44,807.60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27,389.40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 xml:space="preserve">       93.2076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Pr="00AC7BD3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7BD3">
              <w:rPr>
                <w:b/>
                <w:bCs/>
                <w:color w:val="000000"/>
                <w:sz w:val="16"/>
                <w:szCs w:val="16"/>
              </w:rPr>
              <w:t>2-Nov-22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164039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EB0D65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4,273.40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EB0D65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EB0D65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</w:tr>
      <w:tr w:rsidR="00AC7BD3" w:rsidRPr="00E73AA6" w:rsidTr="0008257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C7BD3">
              <w:rPr>
                <w:rFonts w:asciiTheme="majorBidi" w:hAnsiTheme="majorBidi" w:cstheme="majorBidi"/>
                <w:sz w:val="14"/>
                <w:szCs w:val="14"/>
              </w:rPr>
              <w:t>8,513.00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421,302.00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203,723.90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96.3515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52,586.00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50,030.90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93.4669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EB0D65" w:rsidRDefault="00EB0D65" w:rsidP="00EB0D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5300.00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EB0D65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EB0D65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</w:tr>
      <w:tr w:rsidR="00AC7BD3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A6323F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C7BD3" w:rsidRPr="008F4A71" w:rsidRDefault="00AC7BD3" w:rsidP="00AC7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261,409.90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230,372.50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95.4203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EB0D65" w:rsidRDefault="00AC7BD3" w:rsidP="00EB0D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6,420.00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3,545.00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AC7BD3" w:rsidRDefault="00AC7BD3" w:rsidP="00AC7BD3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93.8497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401CCC" w:rsidRDefault="00AC7BD3" w:rsidP="00AC7BD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7BD3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C7BD3" w:rsidRDefault="00AC7BD3" w:rsidP="00AC7B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Default="00AC7BD3" w:rsidP="00AC7B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BE487A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7BD3" w:rsidRPr="00DA51AF" w:rsidRDefault="00AC7BD3" w:rsidP="00AC7BD3">
            <w:pPr>
              <w:jc w:val="right"/>
              <w:rPr>
                <w:sz w:val="16"/>
                <w:szCs w:val="18"/>
              </w:rPr>
            </w:pPr>
          </w:p>
        </w:tc>
      </w:tr>
      <w:tr w:rsidR="00AC7BD3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AC7BD3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AC7BD3" w:rsidRDefault="00AC7BD3" w:rsidP="00AC7B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AC7BD3" w:rsidRDefault="00AC7BD3" w:rsidP="00AC7B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AC7BD3" w:rsidRDefault="00AC7BD3" w:rsidP="00AC7B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AC7BD3" w:rsidRDefault="00AC7BD3" w:rsidP="00AC7BD3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AC7BD3" w:rsidRDefault="00AC7BD3" w:rsidP="00AC7B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AC7BD3" w:rsidRDefault="00AC7BD3" w:rsidP="00AC7B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AC7BD3" w:rsidRDefault="00AC7BD3" w:rsidP="00AC7BD3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406529" w:rsidRDefault="009369DA" w:rsidP="009369DA">
            <w:pPr>
              <w:rPr>
                <w:b/>
                <w:bCs/>
                <w:sz w:val="16"/>
                <w:szCs w:val="16"/>
              </w:rPr>
            </w:pPr>
            <w:r w:rsidRPr="00406529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490DA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C492C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A77708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882B95" w:rsidRDefault="009369DA" w:rsidP="009369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EE1703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882B95" w:rsidRDefault="009369DA" w:rsidP="009369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F087C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0C3AF0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215DD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7215DD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Default="009369DA" w:rsidP="009369DA">
            <w:pPr>
              <w:rPr>
                <w:rFonts w:ascii="Garamond" w:hAnsi="Garamond" w:cs="Calibri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215DD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215DD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C0427B" w:rsidRDefault="009369DA" w:rsidP="009369D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9369DA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ED0974" w:rsidRDefault="009369DA" w:rsidP="009369DA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69DA" w:rsidRPr="00164039" w:rsidRDefault="009369DA" w:rsidP="009369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69DA" w:rsidRPr="00E73AA6" w:rsidTr="0008257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16.10</w:t>
            </w:r>
          </w:p>
        </w:tc>
      </w:tr>
      <w:tr w:rsidR="009369DA" w:rsidRPr="00E73AA6" w:rsidTr="0008257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369DA" w:rsidRPr="00ED0974" w:rsidRDefault="009369DA" w:rsidP="009369D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9369DA" w:rsidRPr="007F087C" w:rsidRDefault="009369DA" w:rsidP="009369D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9369DA" w:rsidRPr="00BE32BD" w:rsidRDefault="009369DA" w:rsidP="009369D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16.13</w:t>
            </w:r>
          </w:p>
        </w:tc>
      </w:tr>
      <w:tr w:rsidR="007A4DF9" w:rsidRPr="00E73AA6" w:rsidTr="003214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7A4DF9" w:rsidRPr="00E73AA6" w:rsidTr="0008257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A4DF9" w:rsidRPr="007F087C" w:rsidRDefault="007A4DF9" w:rsidP="007A4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A4DF9" w:rsidRPr="007F087C" w:rsidRDefault="007A4DF9" w:rsidP="007A4DF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16.29</w:t>
            </w:r>
          </w:p>
        </w:tc>
      </w:tr>
      <w:tr w:rsidR="007A4DF9" w:rsidRPr="00E73AA6" w:rsidTr="0008257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A4DF9" w:rsidRPr="007F087C" w:rsidRDefault="007A4DF9" w:rsidP="007A4DF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A4DF9" w:rsidRPr="007F087C" w:rsidRDefault="007A4DF9" w:rsidP="007A4DF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7A4DF9" w:rsidRPr="009369DA" w:rsidRDefault="007A4DF9" w:rsidP="007A4DF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69DA">
              <w:rPr>
                <w:rFonts w:asciiTheme="majorBidi" w:hAnsiTheme="majorBidi" w:cstheme="majorBidi"/>
                <w:sz w:val="14"/>
                <w:szCs w:val="14"/>
              </w:rPr>
              <w:t>17.21</w:t>
            </w:r>
          </w:p>
        </w:tc>
      </w:tr>
      <w:tr w:rsidR="007A4DF9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A4DF9" w:rsidRPr="00ED0974" w:rsidRDefault="007A4DF9" w:rsidP="007A4DF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A4DF9" w:rsidRPr="00ED0974" w:rsidRDefault="007A4DF9" w:rsidP="007A4DF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7A4DF9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7A4DF9" w:rsidRPr="00E73AA6" w:rsidRDefault="007A4DF9" w:rsidP="007A4DF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4DF9" w:rsidRPr="00E73AA6" w:rsidRDefault="007A4DF9" w:rsidP="007A4DF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9" w:rsidRPr="00E73AA6" w:rsidRDefault="007A4DF9" w:rsidP="007A4DF9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7A4DF9" w:rsidRPr="00E73AA6" w:rsidRDefault="007A4DF9" w:rsidP="007A4DF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7A4DF9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7A4DF9" w:rsidRDefault="007A4DF9" w:rsidP="007A4D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7A4DF9" w:rsidRPr="00E73AA6" w:rsidRDefault="007A4DF9" w:rsidP="007A4DF9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2B0DA9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2B0DA9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2B0DA9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2B0DA9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594BA4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B0DA9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B0DA9" w:rsidRPr="00865343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6E7288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D7D49" w:rsidRPr="00E73AA6" w:rsidTr="00CD7D4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D7D49" w:rsidRPr="00E73AA6" w:rsidRDefault="00CD7D49" w:rsidP="00CD7D4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D7D49" w:rsidRPr="00865343" w:rsidRDefault="00CD7D49" w:rsidP="00CD7D4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D7D49" w:rsidRPr="00CD7D49" w:rsidRDefault="00CD7D49" w:rsidP="00CD7D4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D7D49" w:rsidRPr="00CD7D49" w:rsidRDefault="00CD7D49" w:rsidP="00CD7D4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D7D49" w:rsidRPr="00CD7D49" w:rsidRDefault="00CD7D49" w:rsidP="00CD7D4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D7D49" w:rsidRPr="00CD7D49" w:rsidRDefault="00CD7D49" w:rsidP="00CD7D4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D7D49" w:rsidRPr="00CD7D49" w:rsidRDefault="00CD7D49" w:rsidP="00CD7D4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CD7D49" w:rsidRPr="00CD7D49" w:rsidRDefault="00CD7D49" w:rsidP="00CD7D4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B0DA9" w:rsidRPr="00E73AA6" w:rsidTr="002B0DA9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</w:tr>
      <w:tr w:rsidR="002B0DA9" w:rsidRPr="00E73AA6" w:rsidTr="002B0DA9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2B0DA9" w:rsidRPr="00E73AA6" w:rsidRDefault="002B0DA9" w:rsidP="002B0DA9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2B0DA9" w:rsidRPr="00E73AA6" w:rsidTr="002B0DA9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2B0DA9" w:rsidRPr="00E73AA6" w:rsidRDefault="002B0DA9" w:rsidP="002B0DA9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732558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732558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732558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732558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732558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732558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1-Nov-22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220.6477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220.6677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220.6524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219.4562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219.5857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219.9631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1.4943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1.4961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1.4995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254.7157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254.7867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254.9453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221.4337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221.4977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221.5503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218.7765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218.9943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219.3709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1.5039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1.5056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254.5381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254.6819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254.8905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221.9464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222.0615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222.0959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217.0636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217.2828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217.6702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1.5003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1.5022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251.6983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251.8781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252.0810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221.9206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222.0948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222.1211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216.8275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217.1029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217.4785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1.5013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1.5037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248.7952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249.0365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249.2190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221.6568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221.9566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222.2170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220.1939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220.5968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221.2076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1.5030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1.5062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250.7271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251.1115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251.5607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221.6500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222.0365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222.3388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221.7609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222.2529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222.9414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1.5120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1.5158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1.5221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254.4875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254.9778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255.4946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221.4218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221.8443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222.1907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221.6986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222.2279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222.9317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1.5153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1.5194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1.5257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252.4873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253.0144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253.5644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221.6437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221.9809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222.2531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226.8967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227.3498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227.9903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1.5684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1.5721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1.5781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260.0324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260.4726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260.9431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221.6877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221.9116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222.1522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229.3137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229.6553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230.2737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1.5900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1.5932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261.8131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262.1222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262.5586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221.9122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222.2964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222.6309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230.8552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231.3812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232.1300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1.5928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1.5969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1.6038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262.4333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262.9395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263.4945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222.4105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222.8724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223.1601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231.4181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232.0108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232.7087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1.5958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1.6003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1.6068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264.3460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264.9400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265.4416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222.6684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223.2226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223.5435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231.1632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231.8489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232.5721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1.5964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1.6016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1.6082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265.4096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266.1159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266.6511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223.1715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223.6641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223.9377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231.1164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231.7367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232.4070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1.5961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1.6024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265.7638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266.3958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266.8729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223.6638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224.0320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224.2251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229.5909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230.0779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230.6648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1.5888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1.5926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264.4936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264.9743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265.3542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223.4157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223.7488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223.8707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229.3139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229.7648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230.3077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1.5754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1.5790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1.5845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264.6583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265.0994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265.4186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223.8083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224.1738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224.2040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231.1044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231.5908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232.0378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1.5834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1.5872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1.5921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266.0633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266.5453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266.7584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223.9166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224.2650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224.3020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233.4443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233.9180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234.3440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1.6140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1.6178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270.6816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271.1506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271.3545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223.9421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224.3139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224.3035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233.3028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233.7997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234.1757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1.6159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1.6199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271.2946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271.7912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271.9385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223.9543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224.3803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224.4364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232.7221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233.2748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233.7214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1.6255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1.6305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270.4249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270.9875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271.2163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223.9543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224.4463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224.6282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232.3750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232.9966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233.7860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1.6197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1.6246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1.6323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269.5514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270.1916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270.7318</w:t>
            </w:r>
          </w:p>
        </w:tc>
      </w:tr>
      <w:tr w:rsidR="00A45E54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30-Nov-22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223.9495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224.4624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224.7221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231.8885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232.5288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233.3538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1.6168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1.6217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1.6297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267.9108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268.5724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269.1699</w:t>
            </w:r>
          </w:p>
        </w:tc>
      </w:tr>
      <w:tr w:rsidR="009F08FA" w:rsidRPr="00EB5A69" w:rsidTr="009F08FA">
        <w:trPr>
          <w:trHeight w:val="288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732558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732558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915033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915033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915033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915033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915033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91503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1-Nov-22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221.7119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221.8981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222.4891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142.2736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142.3179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142.4152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58.7219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58.7054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58.6709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712.7324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713.1080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713.9584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221.6776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221.9795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222.5374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142.0940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142.1803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142.3042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58.9233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58.9231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58.9041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714.6487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715.1983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716.4067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220.2505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220.5308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221.1120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140.2479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140.3531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140.4783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59.0597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59.0738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59.0508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715.1027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715.8078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717.0786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219.5277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219.8652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220.4392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140.7864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140.9287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141.0463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59.0513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59.0780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59.0544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714.8596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715.7789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716.9857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222.6700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223.1406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223.9595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142.2261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142.4500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142.7164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58.9827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59.0412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59.0814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715.1849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716.4513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718.5240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223.7985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224.3585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225.2734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143.1859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143.4663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143.7661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58.9887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59.0719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59.1240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716.5966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718.0086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719.9821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224.8851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225.4760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226.3759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142.0421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142.3439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142.6611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58.8888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58.9941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59.0768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716.0662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717.7119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719.4771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230.1358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230.6522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231.4806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147.2823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147.5376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147.8136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58.9635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59.0461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59.0973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720.4647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721.7997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723.3281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234.6398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235.0470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235.8659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148.6859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148.8668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149.1227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58.9705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59.0175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59.0555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720.1392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721.1127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722.5283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236.1522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236.7578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237.7163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149.9682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150.2629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150.5911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59.0380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59.1198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59.1907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720.9622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722.5744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724.2972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236.0920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236.7551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237.6597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150.7832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151.1275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151.4284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59.1753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59.2746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59.3251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722.7456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724.5172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726.1844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235.3291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236.0877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237.0098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149.4662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149.8685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150.1834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59.2440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59.3709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59.4270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723.5132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725.6203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727.3491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234.6210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235.3121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236.1832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149.5919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149.9527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150.2364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59.3778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59.4867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59.5333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724.9599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726.7958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728.4421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233.9090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234.4677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235.2561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148.4233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148.6989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148.9303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59.5104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59.5846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59.6113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725.9695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727.4661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728.8920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233.4787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234.0018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234.7679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147.8789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148.1306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148.3355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59.4388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59.4989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59.5053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724.9761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726.3648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727.5648</w:t>
            </w:r>
          </w:p>
        </w:tc>
      </w:tr>
      <w:tr w:rsidR="00A45E54" w:rsidRPr="00290C2D" w:rsidTr="005249C8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235.0928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235.6463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236.3092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148.9444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149.2187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149.3630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59.5488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59.6191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59.6034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726.6507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728.1457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729.0934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238.0319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238.5745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239.2001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151.3117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151.5780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151.7105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59.5840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59.6497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59.6342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728.6107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730.0294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730.9997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237.0259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237.5905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238.1643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151.5080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151.7907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151.8918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59.6066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59.6786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59.6464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728.5275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730.0206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730.7301</w:t>
            </w:r>
          </w:p>
        </w:tc>
      </w:tr>
      <w:tr w:rsidR="00A45E54" w:rsidRPr="00290C2D" w:rsidTr="005249C8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236.8885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237.5119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238.1652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149.8590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150.1751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150.3284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59.6083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59.6947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59.6794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728.5441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730.2132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731.1552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236.2637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236.9559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238.0753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150.3629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150.7251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151.0279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59.5782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59.6773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59.7241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728.0708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729.9476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731.3366</w:t>
            </w:r>
          </w:p>
        </w:tc>
      </w:tr>
      <w:tr w:rsidR="00A45E54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45E54" w:rsidRPr="00A45E54" w:rsidRDefault="00A45E54" w:rsidP="00A45E54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30-Nov-22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235.2164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235.9269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237.0594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150.4269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150.8026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151.1562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59.5808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59.6903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59.7633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727.5812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729.5320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45E54" w:rsidRPr="00A45E54" w:rsidRDefault="00A45E54" w:rsidP="00A45E54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45E54">
              <w:rPr>
                <w:rFonts w:asciiTheme="majorBidi" w:hAnsiTheme="majorBidi" w:cstheme="majorBidi"/>
                <w:sz w:val="14"/>
                <w:szCs w:val="14"/>
              </w:rPr>
              <w:t>731.3647</w:t>
            </w:r>
          </w:p>
        </w:tc>
      </w:tr>
      <w:tr w:rsidR="005249C8" w:rsidRPr="00EB5A69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F08FA" w:rsidRPr="00B455F2" w:rsidTr="00915033">
        <w:trPr>
          <w:trHeight w:val="144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9F08FA" w:rsidRPr="00B455F2" w:rsidTr="00915033">
        <w:trPr>
          <w:trHeight w:val="144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082579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082579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082579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E92A76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Billion Rupees</w:t>
            </w:r>
          </w:p>
        </w:tc>
      </w:tr>
      <w:tr w:rsidR="00082579" w:rsidRPr="00E73AA6" w:rsidTr="00082579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082579" w:rsidRPr="00E73AA6" w:rsidRDefault="00082579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579" w:rsidRPr="00A1152B" w:rsidRDefault="00082579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11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579" w:rsidRPr="00A1152B" w:rsidRDefault="00082579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082579" w:rsidRPr="00E73AA6" w:rsidTr="00D74821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2579" w:rsidRPr="00A1152B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082579" w:rsidRPr="00E73AA6" w:rsidTr="00082579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</w:tr>
      <w:tr w:rsidR="00082579" w:rsidRPr="00E73AA6" w:rsidTr="00082579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579" w:rsidRPr="00530AF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</w:tr>
      <w:tr w:rsidR="00082579" w:rsidRPr="00921053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2,262.3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6.7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513.6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543.7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723.4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814.3</w:t>
            </w:r>
          </w:p>
        </w:tc>
      </w:tr>
      <w:tr w:rsidR="00082579" w:rsidRPr="00CE3441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980.0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sz w:val="14"/>
                <w:szCs w:val="14"/>
              </w:rPr>
              <w:t>897.7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2,262.3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116.4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404.7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704.6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1,036.7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F33CBF" w:rsidTr="00082579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082579" w:rsidRPr="00E73AA6" w:rsidRDefault="00082579" w:rsidP="00082579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F33CBF" w:rsidTr="00082579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00855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00855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00855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7,049.9 </w:t>
            </w:r>
          </w:p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b/>
                <w:bCs/>
                <w:sz w:val="14"/>
                <w:szCs w:val="14"/>
              </w:rPr>
            </w:pPr>
            <w:r w:rsidRPr="00082579">
              <w:rPr>
                <w:b/>
                <w:bCs/>
                <w:sz w:val="14"/>
                <w:szCs w:val="14"/>
              </w:rPr>
              <w:t>5,935.5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137.6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86.0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1,543.1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1,780.6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1,356.9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3,171.3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3,088.8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3,048.1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2,042.9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1,444.4</w:t>
            </w:r>
          </w:p>
        </w:tc>
      </w:tr>
      <w:tr w:rsidR="00082579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921053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7,049.9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5,935.5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205.9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296.1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1,365.5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1,026.4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3,059.4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3,020.5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2,838.0</w:t>
            </w:r>
          </w:p>
        </w:tc>
      </w:tr>
      <w:tr w:rsidR="00082579" w:rsidRPr="00F33CBF" w:rsidTr="0024759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82579" w:rsidRPr="00E73AA6" w:rsidRDefault="00082579" w:rsidP="00082579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82579" w:rsidRPr="00E73AA6" w:rsidRDefault="00082579" w:rsidP="00082579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Default="00082579" w:rsidP="00082579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A81551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BC2177" w:rsidRDefault="00082579" w:rsidP="0008257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2,458.0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2579" w:rsidRPr="0024759C" w:rsidRDefault="00082579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1,774.9</w:t>
            </w:r>
          </w:p>
        </w:tc>
      </w:tr>
      <w:tr w:rsidR="0024759C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759C" w:rsidRPr="00E73AA6" w:rsidRDefault="0024759C" w:rsidP="0024759C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759C" w:rsidRPr="00E73AA6" w:rsidRDefault="0024759C" w:rsidP="0024759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327DB3" w:rsidRDefault="0024759C" w:rsidP="0024759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759C" w:rsidRPr="00F33CBF" w:rsidTr="00082579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759C" w:rsidRPr="00E73AA6" w:rsidRDefault="0024759C" w:rsidP="0024759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4759C" w:rsidRPr="00327DB3" w:rsidRDefault="0024759C" w:rsidP="0024759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327DB3" w:rsidRDefault="0024759C" w:rsidP="0024759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759C" w:rsidRPr="00A81551" w:rsidRDefault="0024759C" w:rsidP="0024759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82579" w:rsidRPr="00E73AA6" w:rsidTr="00082579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82579" w:rsidRPr="00E73AA6" w:rsidRDefault="00082579" w:rsidP="0008257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2579" w:rsidRPr="00E73AA6" w:rsidRDefault="00082579" w:rsidP="00082579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082579" w:rsidRPr="00E73AA6" w:rsidTr="00082579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082579" w:rsidRPr="00E73AA6" w:rsidRDefault="00082579" w:rsidP="0008257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082579" w:rsidRPr="00E73AA6" w:rsidTr="00082579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79" w:rsidRPr="00E73AA6" w:rsidRDefault="00082579" w:rsidP="00082579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</w:t>
            </w:r>
            <w:proofErr w:type="gramStart"/>
            <w:r>
              <w:rPr>
                <w:sz w:val="14"/>
                <w:szCs w:val="14"/>
              </w:rPr>
              <w:t>,table</w:t>
            </w:r>
            <w:r w:rsidRPr="00487AA7">
              <w:rPr>
                <w:sz w:val="14"/>
                <w:szCs w:val="14"/>
              </w:rPr>
              <w:t>containsonlysecondarymarketdata.SBPdeals</w:t>
            </w:r>
            <w:proofErr w:type="gramEnd"/>
            <w:r w:rsidRPr="00487AA7">
              <w:rPr>
                <w:sz w:val="14"/>
                <w:szCs w:val="14"/>
              </w:rPr>
              <w:t>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98669E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5F" w:rsidRDefault="00673A5F">
      <w:r>
        <w:separator/>
      </w:r>
    </w:p>
  </w:endnote>
  <w:endnote w:type="continuationSeparator" w:id="0">
    <w:p w:rsidR="00673A5F" w:rsidRDefault="006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79" w:rsidRDefault="000825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579" w:rsidRDefault="000825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79" w:rsidRDefault="0008257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4821">
      <w:rPr>
        <w:noProof/>
      </w:rPr>
      <w:t>130</w:t>
    </w:r>
    <w:r>
      <w:rPr>
        <w:noProof/>
      </w:rPr>
      <w:fldChar w:fldCharType="end"/>
    </w:r>
  </w:p>
  <w:p w:rsidR="00082579" w:rsidRDefault="000825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5F" w:rsidRDefault="00673A5F">
      <w:r>
        <w:separator/>
      </w:r>
    </w:p>
  </w:footnote>
  <w:footnote w:type="continuationSeparator" w:id="0">
    <w:p w:rsidR="00673A5F" w:rsidRDefault="0067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40B"/>
    <w:rsid w:val="00244D2F"/>
    <w:rsid w:val="00246131"/>
    <w:rsid w:val="00246BB0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4FDB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C567-019F-4919-8DB4-54E1C5DC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29214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35</cp:revision>
  <cp:lastPrinted>2022-09-30T10:36:00Z</cp:lastPrinted>
  <dcterms:created xsi:type="dcterms:W3CDTF">2022-11-24T09:59:00Z</dcterms:created>
  <dcterms:modified xsi:type="dcterms:W3CDTF">2023-01-02T05:39:00Z</dcterms:modified>
</cp:coreProperties>
</file>