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728"/>
        <w:gridCol w:w="948"/>
      </w:tblGrid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EF4651" w:rsidRPr="00423117" w:rsidTr="00523F3F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0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4651" w:rsidRPr="006C1D3D" w:rsidRDefault="00EF4651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EF4651" w:rsidRPr="00423117" w:rsidTr="00B81DAA">
        <w:trPr>
          <w:trHeight w:val="278"/>
          <w:jc w:val="center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</w:tr>
      <w:tr w:rsidR="00EF4651" w:rsidRPr="00423117" w:rsidTr="00EF4651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4651" w:rsidRPr="00423117" w:rsidTr="00EB718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1,100,280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555,575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799,</w:t>
            </w:r>
            <w:bookmarkStart w:id="0" w:name="_GoBack"/>
            <w:bookmarkEnd w:id="0"/>
            <w:r w:rsidRPr="00211372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1,051,446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227,304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1,272,960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26,059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12,589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20,700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33,012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7,545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45,748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445,810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403,961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1,551,191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1,406,581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249,274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668,062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8,517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37,595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32,692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5,957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22,074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3,055,433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3,207,046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2,454,973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2,099,838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2,077,867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6B77B6" w:rsidP="006B77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4,461,987</w:t>
            </w:r>
          </w:p>
        </w:tc>
      </w:tr>
      <w:tr w:rsidR="00EF4651" w:rsidRPr="0018128A" w:rsidTr="0018128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476,242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441,298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55,832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67,821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28,537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30,555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4,092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5,305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979,525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696,121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308,236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87,948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279,269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36,674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25,847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11,535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3,538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15,237 </w:t>
            </w:r>
          </w:p>
        </w:tc>
      </w:tr>
      <w:tr w:rsidR="00940544" w:rsidRPr="0018128A" w:rsidTr="006B77B6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2,271,646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1,833,544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2,001,549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2,354,899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2,410,732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3C187B" w:rsidRDefault="006B77B6" w:rsidP="006B77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1,415,513</w:t>
            </w:r>
          </w:p>
        </w:tc>
      </w:tr>
      <w:tr w:rsidR="00EF4651" w:rsidRPr="0018128A" w:rsidTr="0018128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F4651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120,604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107,472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285,483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359,821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48,946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104,403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13,223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11,650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34,890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49,967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7,200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16,505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25,143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22,393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1,711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</w:tr>
      <w:tr w:rsidR="00940544" w:rsidRPr="0018128A" w:rsidTr="0094054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Pr="006C1D3D" w:rsidRDefault="00940544" w:rsidP="00940544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422,516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710C55">
              <w:rPr>
                <w:color w:val="000000"/>
                <w:sz w:val="16"/>
                <w:szCs w:val="16"/>
              </w:rPr>
              <w:t>524,411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211372">
              <w:rPr>
                <w:color w:val="000000"/>
                <w:sz w:val="16"/>
                <w:szCs w:val="16"/>
              </w:rPr>
              <w:t>808,965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EB7188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1,143,643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1,170,196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544" w:rsidRPr="00710C55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B77B6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</w:t>
            </w:r>
          </w:p>
          <w:p w:rsidR="006B77B6" w:rsidRDefault="006B77B6" w:rsidP="006B77B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1,428,556</w:t>
            </w:r>
          </w:p>
          <w:p w:rsidR="00940544" w:rsidRPr="003C187B" w:rsidRDefault="00940544" w:rsidP="0094054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4651" w:rsidRPr="00423117" w:rsidTr="00EB718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605286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F4651" w:rsidRPr="00605286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F4651" w:rsidRPr="00423117" w:rsidRDefault="00EF4651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4651" w:rsidRPr="00423117" w:rsidTr="00EB7188">
        <w:trPr>
          <w:trHeight w:val="32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EF4651" w:rsidRPr="006C1D3D" w:rsidRDefault="00EF4651" w:rsidP="00EF4651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EF4651" w:rsidRPr="00423117" w:rsidTr="00EB7188">
        <w:trPr>
          <w:trHeight w:val="25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4651" w:rsidRPr="006C1D3D" w:rsidRDefault="00EF4651" w:rsidP="00EF4651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8B142D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1372D1" w:rsidRDefault="004871BE" w:rsidP="004871B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1372D1" w:rsidRDefault="004871BE" w:rsidP="004871B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B81AF3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B81AF3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871BE" w:rsidRPr="00E41DC9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02677" w:rsidRPr="00E73AA6" w:rsidTr="008006E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677" w:rsidRPr="00E73AA6" w:rsidRDefault="00202677" w:rsidP="0020267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3,838,450</w:t>
            </w:r>
          </w:p>
        </w:tc>
      </w:tr>
      <w:tr w:rsidR="00202677" w:rsidRPr="00E73AA6" w:rsidTr="008006E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677" w:rsidRPr="00E73AA6" w:rsidRDefault="00202677" w:rsidP="0020267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14,025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02677" w:rsidRDefault="00202677" w:rsidP="002026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127,948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728"/>
        <w:gridCol w:w="803"/>
        <w:gridCol w:w="809"/>
        <w:gridCol w:w="809"/>
        <w:gridCol w:w="801"/>
        <w:gridCol w:w="691"/>
        <w:gridCol w:w="809"/>
        <w:gridCol w:w="809"/>
        <w:gridCol w:w="801"/>
        <w:gridCol w:w="692"/>
        <w:gridCol w:w="809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28648A" w:rsidRPr="00254811" w:rsidTr="0001231B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149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30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1231B" w:rsidRPr="00254811" w:rsidTr="0001231B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1231B" w:rsidRPr="00254811" w:rsidTr="0001231B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1231B" w:rsidRPr="00254811" w:rsidTr="0001231B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3430AB" w:rsidRDefault="005811E6" w:rsidP="005811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3430AB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7066CE" w:rsidRDefault="005811E6" w:rsidP="005811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723,905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603,262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7.8499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7.7042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209,055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88,055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8.1901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8.0634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120,087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364,556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173,056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8.2498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8.1748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207,538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223,506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376,771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281,271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8.3795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182,930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3,430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232,000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338,153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55,804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112,905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148,002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442,579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357,579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10.3912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11.0587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125,503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55,503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11.3511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1,457,866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842,326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10.6589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11.3789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208,124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95,774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11.4356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1,079,307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746,461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10.5902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10.3873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11.4501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11.3228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288,513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122,013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11.4796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602256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A90917" w:rsidRDefault="005811E6" w:rsidP="005811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1,217,045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585,549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10.4498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10.3730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663,817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123,947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11.3699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11.3413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129,112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20,541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8F4A71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11.4800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710,881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540,791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10.2999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10.2030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1,020,482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170,559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10.6900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10.6527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623,048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113,286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10.9068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01231B" w:rsidRPr="00254811" w:rsidTr="0001231B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35946" w:rsidRDefault="005811E6" w:rsidP="005811E6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8610D3" w:rsidRDefault="005811E6" w:rsidP="005811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CB7D7F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28648A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Pr="000340F4" w:rsidRDefault="005811E6" w:rsidP="005811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01231B" w:rsidRPr="00254811" w:rsidTr="0001231B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8F7F55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01231B" w:rsidRPr="00254811" w:rsidTr="0001231B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116F9" w:rsidRPr="00182917" w:rsidRDefault="003116F9" w:rsidP="003116F9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01231B" w:rsidRPr="00254811" w:rsidTr="0001231B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11E6" w:rsidRDefault="005811E6" w:rsidP="005811E6">
            <w:pPr>
              <w:jc w:val="right"/>
              <w:rPr>
                <w:sz w:val="16"/>
                <w:szCs w:val="16"/>
              </w:rPr>
            </w:pPr>
          </w:p>
        </w:tc>
      </w:tr>
      <w:tr w:rsidR="0001231B" w:rsidRPr="00254811" w:rsidTr="0001231B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1231B" w:rsidRPr="0067184C" w:rsidRDefault="0001231B" w:rsidP="0001231B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A41BAF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A41BAF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01231B" w:rsidRPr="00254811" w:rsidTr="0001231B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1231B" w:rsidRPr="0067184C" w:rsidRDefault="0001231B" w:rsidP="0001231B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A41BAF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A41BAF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1231B" w:rsidRPr="0001231B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01231B" w:rsidRPr="00254811" w:rsidTr="0001231B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Default="0067184C" w:rsidP="005811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7184C" w:rsidRPr="00254811" w:rsidRDefault="0067184C" w:rsidP="005811E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811E6" w:rsidRPr="00254811" w:rsidTr="0067184C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1E6" w:rsidRDefault="005811E6" w:rsidP="005811E6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5811E6" w:rsidRPr="009A1422" w:rsidRDefault="005811E6" w:rsidP="005811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4B07A8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2229FB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30-Dec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A87DEA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123,810.60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39,739.70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90.0466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11.4618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Default="004B07A8" w:rsidP="004B07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215,272.20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109,238.90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87.7024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11.5740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11.4616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Default="004B07A8" w:rsidP="004B07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163,902.10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20,168.10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79.4799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D3702">
              <w:rPr>
                <w:color w:val="000000"/>
                <w:sz w:val="16"/>
                <w:szCs w:val="16"/>
              </w:rPr>
              <w:t>11.7640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264E">
              <w:rPr>
                <w:color w:val="000000"/>
                <w:sz w:val="16"/>
                <w:szCs w:val="16"/>
              </w:rPr>
              <w:t>11.7436</w:t>
            </w:r>
          </w:p>
        </w:tc>
      </w:tr>
      <w:tr w:rsidR="004B07A8" w:rsidRPr="00E73AA6" w:rsidTr="00680354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E175E"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A87DEA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7126AE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28-Jan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273,565.00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119,001.60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91.8190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10.7494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254,643.40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44,917.50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89.9457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10.8550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10.7994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235,269.00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13,684.50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83.4094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10.9300</w:t>
            </w:r>
          </w:p>
        </w:tc>
      </w:tr>
      <w:tr w:rsidR="004B07A8" w:rsidRPr="00E73AA6" w:rsidTr="00680354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55B4D" w:rsidRDefault="004B07A8" w:rsidP="004B07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7126AE" w:rsidRDefault="004B07A8" w:rsidP="004B07A8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2,045.20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Default="004B07A8" w:rsidP="004B07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1,008.60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F67788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00189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17-Feb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C36EB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947FA8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150,262.00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C36EB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6,221.10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92.1544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10.6998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10.6749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152,741.00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C36EB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47,680.00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90.3616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F677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10.7256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132,810.20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53,019.00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84.0126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10.8450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1,015.00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955.00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8F4A71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00189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947FA8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159,700.00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56,898.20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90.1398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259,588.90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82,631.10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87.8514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162,658.30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60,992.40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79.8687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29-Apr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122,060.00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87.9632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13.3000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13.2197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241,851.50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70,854.80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80.3875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12.6918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352,603.30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288,391.30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73.8863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13.0576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3D370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264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F95CA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4B07A8" w:rsidRPr="00E73AA6" w:rsidTr="00F95CA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4B07A8" w:rsidRPr="00E73AA6" w:rsidTr="00F95CA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F95CA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F95CA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3D370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264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161FE5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CE256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01358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Default="004B07A8" w:rsidP="004B07A8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3D370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07A8" w:rsidRPr="004B264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6E6BEC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8F4A71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01231B" w:rsidRPr="00E73AA6" w:rsidTr="00C433F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31B" w:rsidRPr="001268EF" w:rsidRDefault="0001231B" w:rsidP="000123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231B" w:rsidRPr="001268EF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01231B" w:rsidRPr="00E73AA6" w:rsidTr="00C433F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231B" w:rsidRPr="001268EF" w:rsidRDefault="0001231B" w:rsidP="000123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1231B" w:rsidRPr="001268EF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1231B" w:rsidRPr="004B07A8" w:rsidRDefault="0001231B" w:rsidP="0001231B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07A8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B07A8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7A8" w:rsidRPr="001268EF" w:rsidRDefault="004B07A8" w:rsidP="004B0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1268EF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2E175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3D3702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B07A8" w:rsidRPr="004B264E" w:rsidRDefault="004B07A8" w:rsidP="004B07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7A8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7A8" w:rsidRDefault="004B07A8" w:rsidP="004B07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4B07A8" w:rsidRDefault="004B07A8" w:rsidP="004B07A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4B07A8" w:rsidRPr="00DC2641" w:rsidRDefault="004B07A8" w:rsidP="004B07A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3F2003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3F2003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A6323F" w:rsidRPr="00E73AA6" w:rsidTr="003F2003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622851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73141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73141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73141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B92D23">
              <w:rPr>
                <w:sz w:val="16"/>
                <w:szCs w:val="18"/>
              </w:rPr>
              <w:t>18,750.00</w:t>
            </w: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5F5C8D">
              <w:rPr>
                <w:sz w:val="16"/>
                <w:szCs w:val="18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5F5C8D">
              <w:rPr>
                <w:sz w:val="16"/>
                <w:szCs w:val="18"/>
              </w:rPr>
              <w:t>99.2083</w:t>
            </w:r>
          </w:p>
        </w:tc>
      </w:tr>
      <w:tr w:rsidR="00A6323F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622851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6E3359">
              <w:rPr>
                <w:sz w:val="16"/>
                <w:szCs w:val="18"/>
              </w:rPr>
              <w:t>147,250.00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6E3359">
              <w:rPr>
                <w:sz w:val="16"/>
                <w:szCs w:val="18"/>
              </w:rPr>
              <w:t>80,540.50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1620E1">
              <w:rPr>
                <w:sz w:val="16"/>
                <w:szCs w:val="18"/>
              </w:rPr>
              <w:t>98.0323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B0012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F95CA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EA5464">
              <w:rPr>
                <w:sz w:val="16"/>
                <w:szCs w:val="18"/>
              </w:rPr>
              <w:t>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622851" w:rsidRDefault="00A6323F" w:rsidP="00A632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9,250.00</w:t>
            </w:r>
          </w:p>
        </w:tc>
        <w:tc>
          <w:tcPr>
            <w:tcW w:w="810" w:type="dxa"/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3,050.00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99.1518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97,150.00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30,723.50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97.5391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B0012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 xml:space="preserve">6,250.00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34,250.00</w:t>
            </w:r>
          </w:p>
        </w:tc>
        <w:tc>
          <w:tcPr>
            <w:tcW w:w="810" w:type="dxa"/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22,125.00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99.0935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66,450.00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18,491.00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97.3203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19,750.00</w:t>
            </w:r>
          </w:p>
        </w:tc>
        <w:tc>
          <w:tcPr>
            <w:tcW w:w="810" w:type="dxa"/>
            <w:vAlign w:val="bottom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99.0272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66,450.00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18,491.00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97.3203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2,250.00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66,750.00</w:t>
            </w:r>
          </w:p>
        </w:tc>
        <w:tc>
          <w:tcPr>
            <w:tcW w:w="810" w:type="dxa"/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99.0660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33,750.00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2,013.00 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97.2546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13,250.00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A2E9F" w:rsidRDefault="00A6323F" w:rsidP="00A6323F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99,600.00 </w:t>
            </w:r>
          </w:p>
        </w:tc>
        <w:tc>
          <w:tcPr>
            <w:tcW w:w="810" w:type="dxa"/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75,350.00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99.0889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33,040.00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26,085.00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9,210.00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99.1151</w:t>
            </w: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80,750.00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18,250.00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C2706C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97.3186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1C20B7" w:rsidRDefault="00A6323F" w:rsidP="00A6323F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82B95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335,250.00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97.4672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676EF" w:rsidRDefault="00A6323F" w:rsidP="00A6323F">
            <w:pPr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60,220.00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:rsidR="00A6323F" w:rsidRPr="003676EF" w:rsidRDefault="00A6323F" w:rsidP="00A6323F">
            <w:pPr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47,227.70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3676EF" w:rsidRDefault="00A6323F" w:rsidP="00A6323F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99.1466</w:t>
            </w:r>
          </w:p>
        </w:tc>
      </w:tr>
      <w:tr w:rsidR="00A6323F" w:rsidRPr="00E73AA6" w:rsidTr="00161FE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8F4A71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E487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3F2003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Default="00A6323F" w:rsidP="00A632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6323F" w:rsidRPr="007E788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F95CA0" w:rsidRDefault="00A6323F" w:rsidP="00A632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31,881.80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A6323F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6323F" w:rsidRPr="00C01AF0" w:rsidRDefault="00A6323F" w:rsidP="00A632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13-Jul-22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B127AA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6323F" w:rsidRPr="008F4A71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A6323F" w:rsidRPr="00451709" w:rsidRDefault="00A6323F" w:rsidP="00A6323F">
            <w:pPr>
              <w:jc w:val="right"/>
              <w:rPr>
                <w:sz w:val="16"/>
                <w:szCs w:val="18"/>
              </w:rPr>
            </w:pPr>
          </w:p>
        </w:tc>
      </w:tr>
      <w:tr w:rsidR="00D16F41" w:rsidRPr="00E73AA6" w:rsidTr="00161FE5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16F41" w:rsidRPr="008F4A71" w:rsidRDefault="00D16F41" w:rsidP="00D16F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BA2E9F" w:rsidRDefault="00D16F41" w:rsidP="00D16F41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882B95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218,090.00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124,340.00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99.1563</w:t>
            </w:r>
          </w:p>
        </w:tc>
      </w:tr>
      <w:tr w:rsidR="00673C36" w:rsidRPr="00E73AA6" w:rsidTr="00161FE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3C36" w:rsidRPr="008F4A71" w:rsidRDefault="00673C36" w:rsidP="0067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F95CA0" w:rsidRDefault="00673C36" w:rsidP="00673C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BE487A" w:rsidRDefault="00673C36" w:rsidP="00673C36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3F2003" w:rsidRDefault="00673C36" w:rsidP="00673C36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50,250.00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3F2003" w:rsidRDefault="00673C36" w:rsidP="00673C36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97.8193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</w:tr>
      <w:tr w:rsidR="00C433FE" w:rsidRPr="00E73AA6" w:rsidTr="00161FE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433FE" w:rsidRDefault="00C433FE" w:rsidP="00C433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Default="00C433FE" w:rsidP="00C433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433FE" w:rsidRPr="00673C36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433FE" w:rsidRPr="00673C36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C433FE" w:rsidRPr="00673C36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</w:tr>
      <w:tr w:rsidR="00C433FE" w:rsidRPr="00E73AA6" w:rsidTr="00913CA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433FE" w:rsidRDefault="00C433FE" w:rsidP="00C433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Default="00C433FE" w:rsidP="00C433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433FE" w:rsidRPr="00BE487A" w:rsidRDefault="00C433FE" w:rsidP="00C433FE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</w:tr>
      <w:tr w:rsidR="00673C36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3C36" w:rsidRPr="007E7880" w:rsidRDefault="00673C36" w:rsidP="0067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F95CA0" w:rsidRDefault="00673C36" w:rsidP="00673C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3C36" w:rsidRPr="00BE487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</w:tr>
      <w:tr w:rsidR="00673C36" w:rsidRPr="00E73AA6" w:rsidTr="00A6323F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3C36" w:rsidRPr="00A6323F" w:rsidRDefault="00673C36" w:rsidP="0067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27-Jul-22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673C36" w:rsidRPr="008F4A71" w:rsidRDefault="00673C36" w:rsidP="00673C36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673C36" w:rsidRPr="00B127A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673C36" w:rsidRPr="008F4A71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</w:tr>
      <w:tr w:rsidR="00D16F41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D16F41" w:rsidRPr="008F4A71" w:rsidRDefault="00D16F41" w:rsidP="00D16F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F95CA0" w:rsidRDefault="00D16F41" w:rsidP="00D16F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882B95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BE487A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451709" w:rsidRDefault="00D16F41" w:rsidP="00D16F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D16F41" w:rsidRPr="00451709" w:rsidRDefault="00D16F41" w:rsidP="00D16F41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148,125.00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52,784.50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D16F41" w:rsidRPr="00D16F41" w:rsidRDefault="00D16F41" w:rsidP="00D16F41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99.1718</w:t>
            </w:r>
          </w:p>
        </w:tc>
      </w:tr>
      <w:tr w:rsidR="00673C36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73C36" w:rsidRPr="008F4A71" w:rsidRDefault="00673C36" w:rsidP="0067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F95CA0" w:rsidRDefault="00673C36" w:rsidP="00673C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673C36" w:rsidRDefault="00673C36" w:rsidP="00673C36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73,000.00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673C36" w:rsidRDefault="00673C36" w:rsidP="00673C36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39,786.70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73C36" w:rsidRPr="00673C36" w:rsidRDefault="00673C36" w:rsidP="00673C36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97.8357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451709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</w:tr>
      <w:tr w:rsidR="00C433FE" w:rsidRPr="00E73AA6" w:rsidTr="00161F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433FE" w:rsidRDefault="00C433FE" w:rsidP="00C433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Default="00C433FE" w:rsidP="00C433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DA51AF" w:rsidRDefault="00C433FE" w:rsidP="00C433FE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</w:tr>
      <w:tr w:rsidR="00C433FE" w:rsidRPr="00E73AA6" w:rsidTr="00913CA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433FE" w:rsidRDefault="00C433FE" w:rsidP="00C433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Default="00C433FE" w:rsidP="00C433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433FE" w:rsidRPr="00DA51AF" w:rsidRDefault="00C433FE" w:rsidP="00C433FE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433FE" w:rsidRPr="00451709" w:rsidRDefault="00C433FE" w:rsidP="00C433FE">
            <w:pPr>
              <w:jc w:val="right"/>
              <w:rPr>
                <w:sz w:val="16"/>
                <w:szCs w:val="18"/>
              </w:rPr>
            </w:pPr>
          </w:p>
        </w:tc>
      </w:tr>
      <w:tr w:rsidR="00673C36" w:rsidRPr="00E73AA6" w:rsidTr="00566EE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73C36" w:rsidRDefault="00673C36" w:rsidP="00673C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Default="00673C36" w:rsidP="00673C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BE487A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73C36" w:rsidRPr="00DA51AF" w:rsidRDefault="00673C36" w:rsidP="00673C36">
            <w:pPr>
              <w:jc w:val="right"/>
              <w:rPr>
                <w:sz w:val="16"/>
                <w:szCs w:val="18"/>
              </w:rPr>
            </w:pPr>
          </w:p>
        </w:tc>
      </w:tr>
      <w:tr w:rsidR="00673C36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673C36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673C36" w:rsidRDefault="00673C36" w:rsidP="00673C3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673C36" w:rsidRDefault="00673C36" w:rsidP="00673C36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406529" w:rsidRDefault="00406529" w:rsidP="00D94803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490DA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C492C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A77708" w:rsidRDefault="00D94803" w:rsidP="00D9480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882B95" w:rsidRDefault="00D94803" w:rsidP="00D948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882B95" w:rsidRDefault="00D94803" w:rsidP="00D948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EE17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D94803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D94803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D94803" w:rsidRPr="007F087C" w:rsidRDefault="00D94803" w:rsidP="00D94803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94803" w:rsidRPr="000C3AF0" w:rsidRDefault="00D94803" w:rsidP="00D94803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406529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06529" w:rsidRPr="00ED0974" w:rsidRDefault="00406529" w:rsidP="00D948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06529" w:rsidRPr="00ED0974" w:rsidRDefault="00406529" w:rsidP="00D948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06529" w:rsidRPr="00ED0974" w:rsidRDefault="00406529" w:rsidP="00D9480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406529" w:rsidRDefault="00406529" w:rsidP="00D94803">
            <w:pPr>
              <w:rPr>
                <w:rFonts w:ascii="Garamond" w:hAnsi="Garamond" w:cs="Calibri"/>
              </w:rPr>
            </w:pPr>
          </w:p>
        </w:tc>
      </w:tr>
      <w:tr w:rsidR="007215DD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215DD" w:rsidRPr="00ED0974" w:rsidRDefault="007215DD" w:rsidP="007215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215DD" w:rsidRPr="00ED0974" w:rsidRDefault="007215DD" w:rsidP="007215D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215DD" w:rsidRPr="007215DD" w:rsidRDefault="007215DD" w:rsidP="00721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7215DD" w:rsidRPr="007215DD" w:rsidRDefault="007215DD" w:rsidP="007215D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2D0951" w:rsidRPr="00E73AA6" w:rsidTr="007215DD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ED0974" w:rsidRDefault="002D0951" w:rsidP="002D095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ED0974" w:rsidRDefault="002D0951" w:rsidP="002D095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ED0974" w:rsidRDefault="002D0951" w:rsidP="002D095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D0951" w:rsidRPr="007215DD" w:rsidRDefault="002D0951" w:rsidP="002D095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406529" w:rsidRPr="00E73AA6" w:rsidTr="007215DD">
        <w:trPr>
          <w:trHeight w:hRule="exact" w:val="180"/>
        </w:trPr>
        <w:tc>
          <w:tcPr>
            <w:tcW w:w="4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06529" w:rsidRPr="00ED0974" w:rsidRDefault="00406529" w:rsidP="0040652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06529" w:rsidRPr="00ED0974" w:rsidRDefault="00406529" w:rsidP="0040652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06529" w:rsidRPr="00ED0974" w:rsidRDefault="00406529" w:rsidP="0040652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06529" w:rsidRPr="00ED0974" w:rsidRDefault="00406529" w:rsidP="0040652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406529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406529" w:rsidRPr="00E73AA6" w:rsidRDefault="00406529" w:rsidP="0040652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529" w:rsidRPr="00E73AA6" w:rsidRDefault="00406529" w:rsidP="0040652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529" w:rsidRPr="00E73AA6" w:rsidRDefault="00406529" w:rsidP="00406529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406529" w:rsidRPr="00E73AA6" w:rsidRDefault="00406529" w:rsidP="0040652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406529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406529" w:rsidRDefault="00406529" w:rsidP="004065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406529" w:rsidRPr="00E73AA6" w:rsidRDefault="00406529" w:rsidP="00406529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:rsidTr="002E402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113F9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Default="00913CA6" w:rsidP="00913CA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1D5779" w:rsidRDefault="00913CA6" w:rsidP="00913CA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2A73C3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3E2EB7" w:rsidRDefault="00913CA6" w:rsidP="00913CA6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B292F" w:rsidRDefault="00913CA6" w:rsidP="00913CA6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865343" w:rsidRDefault="00913CA6" w:rsidP="00913CA6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66587C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913CA6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13CA6" w:rsidRPr="00090CF9" w:rsidRDefault="00913CA6" w:rsidP="00913CA6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E49C0" w:rsidRPr="00E73AA6" w:rsidTr="00F81C62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7E49C0" w:rsidRPr="00E73AA6" w:rsidRDefault="007E49C0" w:rsidP="00F81C62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49C0" w:rsidRDefault="007E49C0" w:rsidP="00F81C62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Pr="00F81C62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Pr="00F81C62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Pr="00F81C62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Pr="00F81C62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Pr="00F81C62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7E49C0" w:rsidRDefault="007E49C0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1C62" w:rsidRPr="00E73AA6" w:rsidTr="00F81C62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F81C62" w:rsidRPr="00E73AA6" w:rsidRDefault="00F81C62" w:rsidP="00F81C62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81C62" w:rsidRPr="00865343" w:rsidRDefault="00F81C62" w:rsidP="00F81C62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81C62" w:rsidRPr="00EF2A8C" w:rsidRDefault="00F81C62" w:rsidP="00F81C62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13CA6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CA6" w:rsidRPr="00E73AA6" w:rsidRDefault="00913CA6" w:rsidP="00913CA6">
            <w:pPr>
              <w:jc w:val="right"/>
              <w:rPr>
                <w:sz w:val="16"/>
                <w:szCs w:val="16"/>
              </w:rPr>
            </w:pPr>
          </w:p>
        </w:tc>
      </w:tr>
      <w:tr w:rsidR="00913CA6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913CA6" w:rsidRPr="00E73AA6" w:rsidRDefault="00913CA6" w:rsidP="00913CA6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913CA6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913CA6" w:rsidRPr="00E73AA6" w:rsidRDefault="00913CA6" w:rsidP="00913CA6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915033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161FE5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915033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915033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915033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4-Jul-22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204.5624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204.8204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205.5809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213.3177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213.6791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214.8481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1.5119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1.5143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1.5224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247.7865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248.1168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249.1634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5-Jul-22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206.9388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207.2415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208.1066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214.8128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215.2198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216.4833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1.5205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1.5233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249.8786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250.2619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251.4303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6-Jul-22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207.9942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208.3794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209.1256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213.3604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213.8468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214.9604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1.5377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1.5411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1.5489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248.9690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249.4496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250.4622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7-Jul-22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207.9093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208.3704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209.0857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212.0675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212.6278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213.7108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1.5266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1.5306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248.9714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249.5422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250.5238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13-Jul-22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210.1048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210.5674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211.3375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210.8822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211.4354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212.5741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1.5325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1.5365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1.5446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249.8041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250.3741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251.4252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14-Jul-22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209.8042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210.2123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211.1175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210.6014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211.0998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212.3943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1.5100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1.5134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249.0690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249.5731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250.8052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15-Jul-22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210.9546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211.3492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212.1087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211.5769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212.0620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213.2095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1.5188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1.5222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1.5306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249.6437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250.1292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251.1790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18-Jul-22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215.1958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215.3994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216.0061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218.2301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218.5281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219.5756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1.5597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1.5617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1.5691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257.2451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257.5078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258.3971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19-Jul-22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221.9910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222.0064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222.0807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227.2744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227.3830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227.8850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1.6120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1.6126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1.6161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266.6445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266.6838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266.9414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224.9151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224.9370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224.9946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230.1219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230.2410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230.7121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1.6279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1.6287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1.6319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269.7632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269.8163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270.0493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226.8109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226.8308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226.8870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231.0069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231.1367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231.6117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1.6367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1.6376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1.6409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270.5174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270.5878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270.8112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228.3652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228.3724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228.4052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231.9733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232.0873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232.5172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1.6617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1.6626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1.6657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273.2846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273.3462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273.5389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229.8753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229.8670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229.8504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234.8406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234.9432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235.3621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1.6861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1.6869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1.6900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276.2871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276.3388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276.4901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232.9265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232.9746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232.9698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238.0625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238.2294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238.6488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1.7042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1.7055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1.7086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280.5832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280.7099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280.8721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236.0199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236.1423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236.1258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239.3006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239.5421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239.9659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1.7228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1.7246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1.7278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284.1916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284.4048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284.5545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239.9427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240.1110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240.2218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244.7896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245.0795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245.6013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1.7699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1.7721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1.7760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292.4062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292.6621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292.9462</w:t>
            </w:r>
          </w:p>
        </w:tc>
      </w:tr>
      <w:tr w:rsidR="002D7CBD" w:rsidRPr="00EB5A69" w:rsidTr="008E5D89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F47B7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29-Jul-22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239.3744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239.5563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239.5344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244.8082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245.1110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245.4954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1.8023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1.8046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1.8076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292.2881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292.5593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292.6856</w:t>
            </w:r>
          </w:p>
        </w:tc>
      </w:tr>
      <w:tr w:rsidR="002D7CBD" w:rsidRPr="00EB5A69" w:rsidTr="00915033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915033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915033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915033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5408CF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915033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91503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91503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5408CF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4-Jul-22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213.1636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213.5147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214.6635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140.1764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140.3551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140.9101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54.5056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54.5729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54.7792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666.6327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667.4642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669.8661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5-Jul-22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215.2697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215.6667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216.9147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140.9564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141.1656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141.7907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55.1410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55.2202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55.4507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674.0253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675.0261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677.7834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6-Jul-22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214.8256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215.3042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216.4091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141.6024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141.8684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142.4122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55.4060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55.5071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55.7059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676.9779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678.2361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680.6065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7-Jul-22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214.0306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214.5852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215.6648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141.8253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142.1442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142.6731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55.3834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55.5047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55.6953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676.1952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677.6854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679.9139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13-Jul-22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214.6117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215.1637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216.3158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142.5351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142.8555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143.4286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55.9787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56.1004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56.3075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682.1811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683.6711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686.0827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14-Jul-22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213.2807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213.7746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215.0920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142.1109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142.3927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143.0614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55.8882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55.9954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56.2403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680.7630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682.0881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684.9895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15-Jul-22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215.1281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215.6105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216.7811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141.9197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142.1915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142.7573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56.1946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56.2982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56.5163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684.7180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685.9997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688.4285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18-Jul-22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220.8156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221.1057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222.1657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147.0864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147.2341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147.7095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57.3015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57.3557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57.5418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699.2106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699.8736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701.8313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19-Jul-22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228.8803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228.9791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229.4858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152.9962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153.0142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153.1264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59.1188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59.1229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59.1529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721.9930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722.0452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722.2916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20-Jul-22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232.0746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232.1857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232.6670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155.3264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155.3521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155.4506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59.8895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59.8953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59.9219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730.7427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730.8932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731.4581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21-Jul-22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232.9372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233.0799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233.5445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155.7510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155.7901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155.8734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60.3542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60.3594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60.4025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737.1895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737.3351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737.7075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22-Jul-22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236.2073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236.3278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236.7855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158.0744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158.1031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158.1752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60.7758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60.7777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60.8124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742.4825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742.5707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742.8416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25-Jul-22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238.5961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238.7072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239.1610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159.4875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159.5094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159.5486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61.1745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61.1723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61.1923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748.4390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748.4574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748.3693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26-Jul-22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241.3871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241.5653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242.0230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162.2216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162.2843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162.3296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61.9897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62.0026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62.0244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758.2740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758.4653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758.4659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27-Jul-22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245.0882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245.3461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245.8146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163.5500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163.6638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163.7157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62.8381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62.8707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62.8897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767.8197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768.2414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768.1414</w:t>
            </w:r>
          </w:p>
        </w:tc>
      </w:tr>
      <w:tr w:rsidR="002D7CBD" w:rsidRPr="00EB5A69" w:rsidTr="002D7CBD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28-Jul-22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250.0185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250.3246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250.8924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167.9239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168.0636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168.2046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63.8825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63.9273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63.9773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781.2929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781.8974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782.3476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D89">
              <w:rPr>
                <w:rFonts w:asciiTheme="majorBidi" w:hAnsiTheme="majorBidi" w:cstheme="majorBidi"/>
                <w:sz w:val="14"/>
                <w:szCs w:val="14"/>
              </w:rPr>
              <w:t>29-Jul-22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251.3381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251.6592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252.1380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168.0648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168.2113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168.2688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63.7312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63.7796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8CF">
              <w:rPr>
                <w:rFonts w:asciiTheme="majorBidi" w:hAnsiTheme="majorBidi" w:cstheme="majorBidi"/>
                <w:sz w:val="14"/>
                <w:szCs w:val="14"/>
              </w:rPr>
              <w:t>63.7942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780.7899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781.4246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D7CBD">
              <w:rPr>
                <w:rFonts w:asciiTheme="majorBidi" w:hAnsiTheme="majorBidi" w:cstheme="majorBidi"/>
                <w:sz w:val="14"/>
                <w:szCs w:val="14"/>
              </w:rPr>
              <w:t>781.4709</w:t>
            </w:r>
          </w:p>
        </w:tc>
      </w:tr>
      <w:tr w:rsidR="002D7CBD" w:rsidRPr="00EB5A69" w:rsidTr="002D7CB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8157C8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2D7CB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EB5A69" w:rsidTr="00915033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B455F2" w:rsidTr="00915033">
        <w:trPr>
          <w:trHeight w:val="144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2D7CBD" w:rsidRPr="00B455F2" w:rsidTr="00915033">
        <w:trPr>
          <w:trHeight w:val="144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</w:t>
            </w:r>
            <w:r w:rsidR="00E270B8"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Rupees)</w:t>
            </w:r>
          </w:p>
        </w:tc>
      </w:tr>
      <w:tr w:rsidR="00B4318C" w:rsidRPr="00E73AA6" w:rsidTr="00523F3F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4318C" w:rsidRPr="00E73AA6" w:rsidRDefault="00B4318C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B4318C" w:rsidRPr="00E73AA6" w:rsidRDefault="00B4318C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37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8C" w:rsidRPr="00A1152B" w:rsidRDefault="00B4318C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5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8C" w:rsidRPr="00A1152B" w:rsidRDefault="00B4318C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B4318C" w:rsidRPr="00E73AA6" w:rsidTr="002B6D23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4318C" w:rsidRPr="00E73AA6" w:rsidRDefault="00B4318C" w:rsidP="00B431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4318C" w:rsidRPr="00A1152B" w:rsidRDefault="00B4318C" w:rsidP="00B431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B4318C" w:rsidRPr="00E73AA6" w:rsidTr="00751E0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8C" w:rsidRPr="00E73AA6" w:rsidRDefault="00B4318C" w:rsidP="00B4318C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8C" w:rsidRPr="00E73AA6" w:rsidRDefault="00B4318C" w:rsidP="00B4318C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</w:tr>
      <w:tr w:rsidR="00B4318C" w:rsidRPr="00E73AA6" w:rsidTr="00751E0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4318C" w:rsidRPr="00E73AA6" w:rsidRDefault="00B4318C" w:rsidP="00B4318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18C" w:rsidRPr="00E73AA6" w:rsidRDefault="00B4318C" w:rsidP="00B4318C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18C" w:rsidRPr="00530AF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</w:tr>
      <w:tr w:rsidR="00F33CBF" w:rsidRPr="00CE3441" w:rsidTr="00F33CB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BF" w:rsidRPr="00E73AA6" w:rsidRDefault="00F33CBF" w:rsidP="00F33CB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 xml:space="preserve">     2,377.3 </w:t>
            </w:r>
          </w:p>
        </w:tc>
      </w:tr>
      <w:tr w:rsidR="00F33CBF" w:rsidRPr="00CE3441" w:rsidTr="00F33CB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  26.7 </w:t>
            </w:r>
          </w:p>
        </w:tc>
      </w:tr>
      <w:tr w:rsidR="00F33CBF" w:rsidRPr="00CE3441" w:rsidTr="00F33CB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424.3 </w:t>
            </w:r>
          </w:p>
        </w:tc>
      </w:tr>
      <w:tr w:rsidR="00F33CBF" w:rsidRPr="00CE3441" w:rsidTr="00F33CB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1,241.1 </w:t>
            </w:r>
          </w:p>
        </w:tc>
      </w:tr>
      <w:tr w:rsidR="00F33CBF" w:rsidRPr="00CE3441" w:rsidTr="00F33CB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685.2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191AF7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 xml:space="preserve">                -  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     2,377.3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78.6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374.8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1,189.1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37383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734.7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F33CBF" w:rsidRDefault="00F33CBF" w:rsidP="00F33CBF">
            <w:pPr>
              <w:jc w:val="right"/>
            </w:pPr>
            <w:r w:rsidRPr="00A9069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     -   </w:t>
            </w:r>
          </w:p>
        </w:tc>
      </w:tr>
      <w:tr w:rsidR="00F33CBF" w:rsidRPr="00F33CBF" w:rsidTr="00F33CBF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F33CBF" w:rsidRPr="00E73AA6" w:rsidRDefault="00F33CBF" w:rsidP="00F33CBF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F33CBF" w:rsidRDefault="00F33CBF" w:rsidP="00F33CBF">
            <w:pPr>
              <w:jc w:val="right"/>
            </w:pPr>
            <w:r w:rsidRPr="00A9069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     -   </w:t>
            </w:r>
          </w:p>
        </w:tc>
      </w:tr>
      <w:tr w:rsidR="00B4318C" w:rsidRPr="00F33CBF" w:rsidTr="00F33CBF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4318C" w:rsidRPr="00E73AA6" w:rsidRDefault="00B4318C" w:rsidP="00B4318C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000855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318C" w:rsidRPr="00F33CBF" w:rsidRDefault="00B4318C" w:rsidP="00B4318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BF" w:rsidRPr="00E73AA6" w:rsidRDefault="00F33CBF" w:rsidP="00F33CBF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55.0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40.2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</w:tr>
      <w:tr w:rsidR="00803BEB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3BEB" w:rsidRPr="00E73AA6" w:rsidRDefault="00803BEB" w:rsidP="00803BEB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3BEB" w:rsidRPr="00E73AA6" w:rsidRDefault="00803BEB" w:rsidP="00803BEB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Default="00803BEB" w:rsidP="00803B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BEB" w:rsidRPr="00F33CBF" w:rsidRDefault="00803BEB" w:rsidP="00803BEB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>4,988.5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123.6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590.9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2,237.0</w:t>
            </w:r>
          </w:p>
        </w:tc>
      </w:tr>
      <w:tr w:rsidR="00F33CBF" w:rsidRPr="00F33CBF" w:rsidTr="00F33CB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33CBF" w:rsidRPr="00E73AA6" w:rsidRDefault="00F33CBF" w:rsidP="00F33CBF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3CBF" w:rsidRPr="00E73AA6" w:rsidRDefault="00F33CBF" w:rsidP="00F33CBF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4C0528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C56680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BF" w:rsidRPr="00F33CBF" w:rsidRDefault="00F33CBF" w:rsidP="00F33CBF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2,037.1</w:t>
            </w:r>
          </w:p>
        </w:tc>
      </w:tr>
      <w:tr w:rsidR="00327DB3" w:rsidRPr="00F33CBF" w:rsidTr="00523F3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27DB3" w:rsidRPr="00E73AA6" w:rsidRDefault="00327DB3" w:rsidP="00327DB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27DB3" w:rsidRPr="00E73AA6" w:rsidRDefault="00327DB3" w:rsidP="00327DB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27DB3" w:rsidRPr="00F33CBF" w:rsidTr="00523F3F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27DB3" w:rsidRPr="00E73AA6" w:rsidRDefault="00327DB3" w:rsidP="00327DB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b/>
                <w:bCs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7DB3" w:rsidRPr="00327DB3" w:rsidRDefault="00327DB3" w:rsidP="00327DB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B4318C" w:rsidRPr="00E73AA6" w:rsidTr="00751E0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318C" w:rsidRPr="00E73AA6" w:rsidRDefault="00B4318C" w:rsidP="00B4318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4318C" w:rsidRPr="00E73AA6" w:rsidRDefault="00B4318C" w:rsidP="00B4318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18C" w:rsidRPr="00E73AA6" w:rsidRDefault="00B4318C" w:rsidP="00B4318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B4318C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18C" w:rsidRPr="00E73AA6" w:rsidRDefault="00B4318C" w:rsidP="00B4318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B4318C" w:rsidRPr="00E73AA6" w:rsidRDefault="00B4318C" w:rsidP="00B4318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B4318C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18C" w:rsidRPr="00E73AA6" w:rsidRDefault="00B4318C" w:rsidP="00B4318C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</w:t>
            </w:r>
            <w:proofErr w:type="gramStart"/>
            <w:r>
              <w:rPr>
                <w:sz w:val="14"/>
                <w:szCs w:val="14"/>
              </w:rPr>
              <w:t>,table</w:t>
            </w:r>
            <w:r w:rsidRPr="00487AA7">
              <w:rPr>
                <w:sz w:val="14"/>
                <w:szCs w:val="14"/>
              </w:rPr>
              <w:t>containsonlysecondarymarketdata.SBPdeals</w:t>
            </w:r>
            <w:proofErr w:type="gramEnd"/>
            <w:r w:rsidRPr="00487AA7">
              <w:rPr>
                <w:sz w:val="14"/>
                <w:szCs w:val="14"/>
              </w:rPr>
              <w:t>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8222A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27" w:rsidRDefault="00E62927">
      <w:r>
        <w:separator/>
      </w:r>
    </w:p>
  </w:endnote>
  <w:endnote w:type="continuationSeparator" w:id="0">
    <w:p w:rsidR="00E62927" w:rsidRDefault="00E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E" w:rsidRDefault="00C43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3FE" w:rsidRDefault="00C433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E" w:rsidRDefault="00C433F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22A7">
      <w:rPr>
        <w:noProof/>
      </w:rPr>
      <w:t>132</w:t>
    </w:r>
    <w:r>
      <w:rPr>
        <w:noProof/>
      </w:rPr>
      <w:fldChar w:fldCharType="end"/>
    </w:r>
  </w:p>
  <w:p w:rsidR="00C433FE" w:rsidRDefault="00C433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27" w:rsidRDefault="00E62927">
      <w:r>
        <w:separator/>
      </w:r>
    </w:p>
  </w:footnote>
  <w:footnote w:type="continuationSeparator" w:id="0">
    <w:p w:rsidR="00E62927" w:rsidRDefault="00E6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C36"/>
    <w:rsid w:val="00674585"/>
    <w:rsid w:val="00675B2B"/>
    <w:rsid w:val="00675C65"/>
    <w:rsid w:val="0067686D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7F6"/>
    <w:rsid w:val="00E648EE"/>
    <w:rsid w:val="00E64B98"/>
    <w:rsid w:val="00E64FEF"/>
    <w:rsid w:val="00E65216"/>
    <w:rsid w:val="00E65604"/>
    <w:rsid w:val="00E67DBA"/>
    <w:rsid w:val="00E70070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87E-C9B6-407C-A51B-CEEC6B53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28946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11</cp:revision>
  <cp:lastPrinted>2022-03-01T04:56:00Z</cp:lastPrinted>
  <dcterms:created xsi:type="dcterms:W3CDTF">2022-08-29T06:38:00Z</dcterms:created>
  <dcterms:modified xsi:type="dcterms:W3CDTF">2022-08-30T06:52:00Z</dcterms:modified>
</cp:coreProperties>
</file>