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751611" w:rsidRPr="006D5F74"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751611" w:rsidRPr="006D5F74" w:rsidRDefault="00751611" w:rsidP="00751611">
            <w:pPr>
              <w:jc w:val="center"/>
              <w:rPr>
                <w:sz w:val="16"/>
                <w:szCs w:val="16"/>
              </w:rPr>
            </w:pPr>
          </w:p>
        </w:tc>
        <w:tc>
          <w:tcPr>
            <w:tcW w:w="900" w:type="dxa"/>
            <w:tcBorders>
              <w:left w:val="nil"/>
              <w:bottom w:val="single" w:sz="4" w:space="0" w:color="auto"/>
            </w:tcBorders>
            <w:shd w:val="clear" w:color="auto" w:fill="auto"/>
            <w:noWrap/>
            <w:vAlign w:val="center"/>
            <w:hideMark/>
          </w:tcPr>
          <w:p w:rsidR="00751611" w:rsidRPr="006D5F74" w:rsidRDefault="00751611" w:rsidP="00751611">
            <w:pPr>
              <w:jc w:val="right"/>
              <w:rPr>
                <w:b/>
                <w:bCs/>
                <w:sz w:val="16"/>
                <w:szCs w:val="16"/>
              </w:rPr>
            </w:pPr>
            <w:r>
              <w:rPr>
                <w:b/>
                <w:bCs/>
                <w:sz w:val="16"/>
                <w:szCs w:val="16"/>
              </w:rPr>
              <w:t>Jun-18</w:t>
            </w:r>
          </w:p>
        </w:tc>
        <w:tc>
          <w:tcPr>
            <w:tcW w:w="900" w:type="dxa"/>
            <w:tcBorders>
              <w:top w:val="single" w:sz="4" w:space="0" w:color="auto"/>
              <w:left w:val="nil"/>
              <w:bottom w:val="single" w:sz="4" w:space="0" w:color="auto"/>
            </w:tcBorders>
            <w:shd w:val="clear" w:color="auto" w:fill="auto"/>
            <w:vAlign w:val="center"/>
          </w:tcPr>
          <w:p w:rsidR="00751611" w:rsidRPr="006D5F74" w:rsidRDefault="00751611" w:rsidP="00751611">
            <w:pPr>
              <w:jc w:val="right"/>
              <w:rPr>
                <w:b/>
                <w:bCs/>
                <w:sz w:val="16"/>
                <w:szCs w:val="16"/>
              </w:rPr>
            </w:pPr>
            <w:r>
              <w:rPr>
                <w:b/>
                <w:bCs/>
                <w:sz w:val="16"/>
                <w:szCs w:val="16"/>
              </w:rPr>
              <w:t>Sep-18</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noWrap/>
            <w:vAlign w:val="center"/>
          </w:tcPr>
          <w:p w:rsidR="00751611" w:rsidRPr="006D5F74" w:rsidRDefault="00751611" w:rsidP="00751611">
            <w:pPr>
              <w:jc w:val="right"/>
              <w:rPr>
                <w:b/>
                <w:bCs/>
                <w:sz w:val="16"/>
                <w:szCs w:val="16"/>
              </w:rPr>
            </w:pPr>
            <w:r>
              <w:rPr>
                <w:b/>
                <w:bCs/>
                <w:sz w:val="16"/>
                <w:szCs w:val="16"/>
              </w:rPr>
              <w:t xml:space="preserve">Dec-18 </w:t>
            </w:r>
            <w:r>
              <w:rPr>
                <w:b/>
                <w:bCs/>
                <w:sz w:val="16"/>
                <w:szCs w:val="16"/>
                <w:vertAlign w:val="superscript"/>
              </w:rPr>
              <w:t>R</w:t>
            </w:r>
          </w:p>
        </w:tc>
        <w:tc>
          <w:tcPr>
            <w:tcW w:w="865" w:type="dxa"/>
            <w:tcBorders>
              <w:top w:val="single" w:sz="4" w:space="0" w:color="auto"/>
              <w:left w:val="nil"/>
              <w:bottom w:val="single" w:sz="4" w:space="0" w:color="auto"/>
            </w:tcBorders>
            <w:shd w:val="clear" w:color="auto" w:fill="auto"/>
            <w:vAlign w:val="center"/>
          </w:tcPr>
          <w:p w:rsidR="00751611" w:rsidRPr="006D5F74" w:rsidRDefault="00751611" w:rsidP="00751611">
            <w:pPr>
              <w:jc w:val="right"/>
              <w:rPr>
                <w:b/>
                <w:bCs/>
                <w:sz w:val="16"/>
                <w:szCs w:val="16"/>
              </w:rPr>
            </w:pPr>
            <w:r>
              <w:rPr>
                <w:b/>
                <w:bCs/>
                <w:sz w:val="16"/>
                <w:szCs w:val="16"/>
              </w:rPr>
              <w:t xml:space="preserve">Mar-19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751611" w:rsidRPr="006D5F74" w:rsidRDefault="00751611" w:rsidP="00751611">
            <w:pPr>
              <w:jc w:val="right"/>
              <w:rPr>
                <w:b/>
                <w:bCs/>
                <w:sz w:val="16"/>
                <w:szCs w:val="16"/>
              </w:rPr>
            </w:pPr>
            <w:r>
              <w:rPr>
                <w:b/>
                <w:bCs/>
                <w:sz w:val="16"/>
                <w:szCs w:val="16"/>
              </w:rPr>
              <w:t xml:space="preserve">Jun-19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751611" w:rsidRPr="006D5F74" w:rsidRDefault="00751611" w:rsidP="00751611">
            <w:pPr>
              <w:jc w:val="right"/>
              <w:rPr>
                <w:b/>
                <w:bCs/>
                <w:sz w:val="16"/>
                <w:szCs w:val="16"/>
              </w:rPr>
            </w:pPr>
            <w:r>
              <w:rPr>
                <w:b/>
                <w:bCs/>
                <w:sz w:val="16"/>
                <w:szCs w:val="16"/>
              </w:rPr>
              <w:t>Sep-19</w:t>
            </w:r>
            <w:r>
              <w:rPr>
                <w:b/>
                <w:bCs/>
                <w:sz w:val="16"/>
                <w:szCs w:val="16"/>
                <w:vertAlign w:val="superscript"/>
              </w:rPr>
              <w:t xml:space="preserve"> P</w:t>
            </w:r>
          </w:p>
        </w:tc>
      </w:tr>
      <w:tr w:rsidR="00751611" w:rsidRPr="006D5F74" w:rsidTr="00CC720E">
        <w:trPr>
          <w:trHeight w:val="300"/>
        </w:trPr>
        <w:tc>
          <w:tcPr>
            <w:tcW w:w="4247" w:type="dxa"/>
            <w:tcBorders>
              <w:top w:val="single" w:sz="4" w:space="0" w:color="auto"/>
              <w:left w:val="nil"/>
              <w:bottom w:val="nil"/>
              <w:right w:val="nil"/>
            </w:tcBorders>
            <w:shd w:val="clear" w:color="auto" w:fill="auto"/>
            <w:noWrap/>
            <w:vAlign w:val="center"/>
            <w:hideMark/>
          </w:tcPr>
          <w:p w:rsidR="00751611" w:rsidRPr="006D5F74" w:rsidRDefault="00751611" w:rsidP="00751611">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16,416.3</w:t>
            </w:r>
          </w:p>
        </w:tc>
        <w:tc>
          <w:tcPr>
            <w:tcW w:w="900" w:type="dxa"/>
            <w:tcBorders>
              <w:top w:val="single" w:sz="4" w:space="0" w:color="auto"/>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16,919.8</w:t>
            </w:r>
          </w:p>
        </w:tc>
        <w:tc>
          <w:tcPr>
            <w:tcW w:w="900" w:type="dxa"/>
            <w:tcBorders>
              <w:top w:val="single" w:sz="4" w:space="0" w:color="auto"/>
              <w:left w:val="nil"/>
              <w:bottom w:val="nil"/>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17,535.7</w:t>
            </w:r>
          </w:p>
        </w:tc>
        <w:tc>
          <w:tcPr>
            <w:tcW w:w="865" w:type="dxa"/>
            <w:tcBorders>
              <w:top w:val="single" w:sz="4" w:space="0" w:color="auto"/>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18,170.6</w:t>
            </w:r>
          </w:p>
        </w:tc>
        <w:tc>
          <w:tcPr>
            <w:tcW w:w="900" w:type="dxa"/>
            <w:tcBorders>
              <w:top w:val="single" w:sz="4" w:space="0" w:color="auto"/>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20,731.8</w:t>
            </w:r>
          </w:p>
        </w:tc>
        <w:tc>
          <w:tcPr>
            <w:tcW w:w="900" w:type="dxa"/>
            <w:tcBorders>
              <w:top w:val="single" w:sz="4" w:space="0" w:color="auto"/>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22,649.9</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7,795.8</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8,122.9</w:t>
            </w:r>
          </w:p>
        </w:tc>
        <w:tc>
          <w:tcPr>
            <w:tcW w:w="900" w:type="dxa"/>
            <w:tcBorders>
              <w:top w:val="nil"/>
              <w:left w:val="nil"/>
              <w:bottom w:val="nil"/>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9,101.1</w:t>
            </w:r>
          </w:p>
        </w:tc>
        <w:tc>
          <w:tcPr>
            <w:tcW w:w="865"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9,625.7</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11,055.1</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10,598.0</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740.8</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740.7</w:t>
            </w:r>
          </w:p>
        </w:tc>
        <w:tc>
          <w:tcPr>
            <w:tcW w:w="900" w:type="dxa"/>
            <w:tcBorders>
              <w:top w:val="nil"/>
              <w:left w:val="nil"/>
              <w:bottom w:val="nil"/>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819.0</w:t>
            </w:r>
          </w:p>
        </w:tc>
        <w:tc>
          <w:tcPr>
            <w:tcW w:w="865"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811.2</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921.0</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992.7</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622.3</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620.7</w:t>
            </w:r>
          </w:p>
        </w:tc>
        <w:tc>
          <w:tcPr>
            <w:tcW w:w="900" w:type="dxa"/>
            <w:tcBorders>
              <w:top w:val="nil"/>
              <w:left w:val="nil"/>
              <w:bottom w:val="nil"/>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970.0</w:t>
            </w:r>
          </w:p>
        </w:tc>
        <w:tc>
          <w:tcPr>
            <w:tcW w:w="865"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1,414.3</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1,710.1</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1,619.1</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1,654.5</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1,713.5</w:t>
            </w:r>
          </w:p>
        </w:tc>
        <w:tc>
          <w:tcPr>
            <w:tcW w:w="900" w:type="dxa"/>
            <w:tcBorders>
              <w:top w:val="nil"/>
              <w:left w:val="nil"/>
              <w:bottom w:val="nil"/>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2,061.4</w:t>
            </w:r>
          </w:p>
        </w:tc>
        <w:tc>
          <w:tcPr>
            <w:tcW w:w="865"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2,114.3</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2,465.5</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2,378.0</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324.6</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335.3</w:t>
            </w:r>
          </w:p>
        </w:tc>
        <w:tc>
          <w:tcPr>
            <w:tcW w:w="900" w:type="dxa"/>
            <w:tcBorders>
              <w:top w:val="nil"/>
              <w:left w:val="nil"/>
              <w:bottom w:val="nil"/>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363.7</w:t>
            </w:r>
          </w:p>
        </w:tc>
        <w:tc>
          <w:tcPr>
            <w:tcW w:w="865"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482.0</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654.4</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600.9</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1,068.2</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1,128.9</w:t>
            </w:r>
          </w:p>
        </w:tc>
        <w:tc>
          <w:tcPr>
            <w:tcW w:w="900" w:type="dxa"/>
            <w:tcBorders>
              <w:top w:val="nil"/>
              <w:left w:val="nil"/>
              <w:bottom w:val="nil"/>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1,213.3</w:t>
            </w:r>
          </w:p>
        </w:tc>
        <w:tc>
          <w:tcPr>
            <w:tcW w:w="865"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1,378.4</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1,394.2</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1,392.2</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819.7</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808.9</w:t>
            </w:r>
          </w:p>
        </w:tc>
        <w:tc>
          <w:tcPr>
            <w:tcW w:w="900" w:type="dxa"/>
            <w:tcBorders>
              <w:top w:val="nil"/>
              <w:left w:val="nil"/>
              <w:bottom w:val="nil"/>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734.3</w:t>
            </w:r>
          </w:p>
        </w:tc>
        <w:tc>
          <w:tcPr>
            <w:tcW w:w="865"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653.6</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756.4</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740.8</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437.2</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407.5</w:t>
            </w:r>
          </w:p>
        </w:tc>
        <w:tc>
          <w:tcPr>
            <w:tcW w:w="900" w:type="dxa"/>
            <w:tcBorders>
              <w:top w:val="nil"/>
              <w:left w:val="nil"/>
              <w:bottom w:val="nil"/>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430.8</w:t>
            </w:r>
          </w:p>
        </w:tc>
        <w:tc>
          <w:tcPr>
            <w:tcW w:w="865"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444.2</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534.5</w:t>
            </w:r>
          </w:p>
        </w:tc>
        <w:tc>
          <w:tcPr>
            <w:tcW w:w="900" w:type="dxa"/>
            <w:tcBorders>
              <w:top w:val="nil"/>
              <w:left w:val="nil"/>
              <w:bottom w:val="nil"/>
              <w:right w:val="nil"/>
            </w:tcBorders>
            <w:shd w:val="clear" w:color="auto" w:fill="auto"/>
            <w:vAlign w:val="center"/>
          </w:tcPr>
          <w:p w:rsidR="00751611" w:rsidRDefault="00751611" w:rsidP="00751611">
            <w:pPr>
              <w:jc w:val="right"/>
              <w:rPr>
                <w:color w:val="000000"/>
                <w:sz w:val="16"/>
                <w:szCs w:val="16"/>
              </w:rPr>
            </w:pPr>
            <w:r>
              <w:rPr>
                <w:color w:val="000000"/>
                <w:sz w:val="16"/>
                <w:szCs w:val="16"/>
              </w:rPr>
              <w:t>517.9</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b/>
                <w:bCs/>
                <w:color w:val="000000"/>
                <w:sz w:val="16"/>
                <w:szCs w:val="16"/>
              </w:rPr>
            </w:pPr>
            <w:r>
              <w:rPr>
                <w:b/>
                <w:bCs/>
                <w:color w:val="000000"/>
                <w:sz w:val="16"/>
                <w:szCs w:val="16"/>
              </w:rPr>
              <w:t>29,879.4</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30,798.2</w:t>
            </w:r>
          </w:p>
        </w:tc>
        <w:tc>
          <w:tcPr>
            <w:tcW w:w="900" w:type="dxa"/>
            <w:tcBorders>
              <w:top w:val="nil"/>
              <w:left w:val="nil"/>
              <w:bottom w:val="nil"/>
              <w:right w:val="nil"/>
            </w:tcBorders>
            <w:shd w:val="clear" w:color="auto" w:fill="auto"/>
            <w:noWrap/>
            <w:vAlign w:val="center"/>
          </w:tcPr>
          <w:p w:rsidR="00751611" w:rsidRDefault="00751611" w:rsidP="00751611">
            <w:pPr>
              <w:jc w:val="right"/>
              <w:rPr>
                <w:b/>
                <w:bCs/>
                <w:color w:val="000000"/>
                <w:sz w:val="16"/>
                <w:szCs w:val="16"/>
              </w:rPr>
            </w:pPr>
            <w:r>
              <w:rPr>
                <w:b/>
                <w:bCs/>
                <w:color w:val="000000"/>
                <w:sz w:val="16"/>
                <w:szCs w:val="16"/>
              </w:rPr>
              <w:t>33,229.4</w:t>
            </w:r>
          </w:p>
        </w:tc>
        <w:tc>
          <w:tcPr>
            <w:tcW w:w="865"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35,094.3</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40,223.0</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41,489.5</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D16230" w:rsidRDefault="00751611" w:rsidP="00751611">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b/>
                <w:bCs/>
                <w:color w:val="000000"/>
                <w:sz w:val="16"/>
                <w:szCs w:val="16"/>
              </w:rPr>
            </w:pPr>
            <w:r>
              <w:rPr>
                <w:b/>
                <w:bCs/>
                <w:color w:val="000000"/>
                <w:sz w:val="16"/>
                <w:szCs w:val="16"/>
              </w:rPr>
              <w:t>24,952.9</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25,783.4</w:t>
            </w:r>
          </w:p>
        </w:tc>
        <w:tc>
          <w:tcPr>
            <w:tcW w:w="900" w:type="dxa"/>
            <w:tcBorders>
              <w:top w:val="nil"/>
              <w:left w:val="nil"/>
              <w:bottom w:val="nil"/>
              <w:right w:val="nil"/>
            </w:tcBorders>
            <w:shd w:val="clear" w:color="auto" w:fill="auto"/>
            <w:noWrap/>
            <w:vAlign w:val="center"/>
          </w:tcPr>
          <w:p w:rsidR="00751611" w:rsidRDefault="00751611" w:rsidP="00751611">
            <w:pPr>
              <w:jc w:val="right"/>
              <w:rPr>
                <w:b/>
                <w:bCs/>
                <w:color w:val="000000"/>
                <w:sz w:val="16"/>
                <w:szCs w:val="16"/>
              </w:rPr>
            </w:pPr>
            <w:r>
              <w:rPr>
                <w:b/>
                <w:bCs/>
                <w:color w:val="000000"/>
                <w:sz w:val="16"/>
                <w:szCs w:val="16"/>
              </w:rPr>
              <w:t>27,455.9</w:t>
            </w:r>
          </w:p>
        </w:tc>
        <w:tc>
          <w:tcPr>
            <w:tcW w:w="865"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28,607.5</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32,707.9</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34,240.6</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D16230" w:rsidRDefault="00751611" w:rsidP="00751611">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b/>
                <w:bCs/>
                <w:color w:val="000000"/>
                <w:sz w:val="16"/>
                <w:szCs w:val="16"/>
              </w:rPr>
            </w:pPr>
            <w:r>
              <w:rPr>
                <w:b/>
                <w:bCs/>
                <w:color w:val="000000"/>
                <w:sz w:val="16"/>
                <w:szCs w:val="16"/>
              </w:rPr>
              <w:t>23,024.0</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23,692.0</w:t>
            </w:r>
          </w:p>
        </w:tc>
        <w:tc>
          <w:tcPr>
            <w:tcW w:w="900" w:type="dxa"/>
            <w:tcBorders>
              <w:top w:val="nil"/>
              <w:left w:val="nil"/>
              <w:bottom w:val="nil"/>
              <w:right w:val="nil"/>
            </w:tcBorders>
            <w:shd w:val="clear" w:color="auto" w:fill="auto"/>
            <w:noWrap/>
            <w:vAlign w:val="center"/>
          </w:tcPr>
          <w:p w:rsidR="00751611" w:rsidRDefault="00751611" w:rsidP="00751611">
            <w:pPr>
              <w:jc w:val="right"/>
              <w:rPr>
                <w:b/>
                <w:bCs/>
                <w:color w:val="000000"/>
                <w:sz w:val="16"/>
                <w:szCs w:val="16"/>
              </w:rPr>
            </w:pPr>
            <w:r>
              <w:rPr>
                <w:b/>
                <w:bCs/>
                <w:color w:val="000000"/>
                <w:sz w:val="16"/>
                <w:szCs w:val="16"/>
              </w:rPr>
              <w:t>25,238.2</w:t>
            </w:r>
          </w:p>
        </w:tc>
        <w:tc>
          <w:tcPr>
            <w:tcW w:w="865"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26,368.1</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29,520.7</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29,300.0</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Default="00751611" w:rsidP="00751611">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b/>
                <w:bCs/>
                <w:color w:val="000000"/>
                <w:sz w:val="16"/>
                <w:szCs w:val="16"/>
              </w:rPr>
            </w:pPr>
            <w:r>
              <w:rPr>
                <w:b/>
                <w:bCs/>
                <w:color w:val="000000"/>
                <w:sz w:val="16"/>
                <w:szCs w:val="16"/>
              </w:rPr>
              <w:t>11,575.2</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11,940.6</w:t>
            </w:r>
          </w:p>
        </w:tc>
        <w:tc>
          <w:tcPr>
            <w:tcW w:w="900" w:type="dxa"/>
            <w:tcBorders>
              <w:top w:val="nil"/>
              <w:left w:val="nil"/>
              <w:bottom w:val="nil"/>
              <w:right w:val="nil"/>
            </w:tcBorders>
            <w:shd w:val="clear" w:color="auto" w:fill="auto"/>
            <w:noWrap/>
            <w:vAlign w:val="center"/>
          </w:tcPr>
          <w:p w:rsidR="00751611" w:rsidRDefault="00751611" w:rsidP="00751611">
            <w:pPr>
              <w:jc w:val="right"/>
              <w:rPr>
                <w:b/>
                <w:bCs/>
                <w:color w:val="000000"/>
                <w:sz w:val="16"/>
                <w:szCs w:val="16"/>
              </w:rPr>
            </w:pPr>
            <w:r>
              <w:rPr>
                <w:b/>
                <w:bCs/>
                <w:color w:val="000000"/>
                <w:sz w:val="16"/>
                <w:szCs w:val="16"/>
              </w:rPr>
              <w:t>13,746.1</w:t>
            </w:r>
          </w:p>
        </w:tc>
        <w:tc>
          <w:tcPr>
            <w:tcW w:w="865"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14,891.7</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17,340.6</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16,706.6</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Default="00751611" w:rsidP="00751611">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b/>
                <w:bCs/>
                <w:color w:val="000000"/>
                <w:sz w:val="16"/>
                <w:szCs w:val="16"/>
              </w:rPr>
            </w:pPr>
            <w:r>
              <w:rPr>
                <w:b/>
                <w:bCs/>
                <w:color w:val="000000"/>
                <w:sz w:val="16"/>
                <w:szCs w:val="16"/>
              </w:rPr>
              <w:t>2,212.5</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2,273.1</w:t>
            </w:r>
          </w:p>
        </w:tc>
        <w:tc>
          <w:tcPr>
            <w:tcW w:w="900" w:type="dxa"/>
            <w:tcBorders>
              <w:top w:val="nil"/>
              <w:left w:val="nil"/>
              <w:bottom w:val="nil"/>
              <w:right w:val="nil"/>
            </w:tcBorders>
            <w:shd w:val="clear" w:color="auto" w:fill="auto"/>
            <w:noWrap/>
            <w:vAlign w:val="center"/>
          </w:tcPr>
          <w:p w:rsidR="00751611" w:rsidRDefault="00751611" w:rsidP="00751611">
            <w:pPr>
              <w:jc w:val="right"/>
              <w:rPr>
                <w:b/>
                <w:bCs/>
                <w:color w:val="000000"/>
                <w:sz w:val="16"/>
                <w:szCs w:val="16"/>
              </w:rPr>
            </w:pPr>
            <w:r>
              <w:rPr>
                <w:b/>
                <w:bCs/>
                <w:color w:val="000000"/>
                <w:sz w:val="16"/>
                <w:szCs w:val="16"/>
              </w:rPr>
              <w:t>2,311.4</w:t>
            </w:r>
          </w:p>
        </w:tc>
        <w:tc>
          <w:tcPr>
            <w:tcW w:w="865"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2,514.0</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2,805.0</w:t>
            </w:r>
          </w:p>
        </w:tc>
        <w:tc>
          <w:tcPr>
            <w:tcW w:w="900" w:type="dxa"/>
            <w:tcBorders>
              <w:top w:val="nil"/>
              <w:left w:val="nil"/>
              <w:bottom w:val="nil"/>
              <w:right w:val="nil"/>
            </w:tcBorders>
            <w:shd w:val="clear" w:color="auto" w:fill="auto"/>
            <w:vAlign w:val="center"/>
          </w:tcPr>
          <w:p w:rsidR="00751611" w:rsidRDefault="00751611" w:rsidP="00751611">
            <w:pPr>
              <w:jc w:val="right"/>
              <w:rPr>
                <w:b/>
                <w:bCs/>
                <w:color w:val="000000"/>
                <w:sz w:val="16"/>
                <w:szCs w:val="16"/>
              </w:rPr>
            </w:pPr>
            <w:r>
              <w:rPr>
                <w:b/>
                <w:bCs/>
                <w:color w:val="000000"/>
                <w:sz w:val="16"/>
                <w:szCs w:val="16"/>
              </w:rPr>
              <w:t>2,733.9</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987.9</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975.0</w:t>
            </w:r>
          </w:p>
        </w:tc>
        <w:tc>
          <w:tcPr>
            <w:tcW w:w="900" w:type="dxa"/>
            <w:tcBorders>
              <w:top w:val="nil"/>
              <w:left w:val="nil"/>
              <w:bottom w:val="nil"/>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919.6</w:t>
            </w:r>
          </w:p>
        </w:tc>
        <w:tc>
          <w:tcPr>
            <w:tcW w:w="865"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959.6</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1,213.0</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1,167.7</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6D5F74" w:rsidRDefault="00751611" w:rsidP="00751611">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1,224.6</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1,298.1</w:t>
            </w:r>
          </w:p>
        </w:tc>
        <w:tc>
          <w:tcPr>
            <w:tcW w:w="900" w:type="dxa"/>
            <w:tcBorders>
              <w:top w:val="nil"/>
              <w:left w:val="nil"/>
              <w:bottom w:val="nil"/>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1,391.8</w:t>
            </w:r>
          </w:p>
        </w:tc>
        <w:tc>
          <w:tcPr>
            <w:tcW w:w="865"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1,554.4</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1,592.0</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1,566.2</w:t>
            </w:r>
          </w:p>
        </w:tc>
      </w:tr>
      <w:tr w:rsidR="00751611" w:rsidRPr="006D5F74" w:rsidTr="00CC720E">
        <w:trPr>
          <w:trHeight w:val="177"/>
        </w:trPr>
        <w:tc>
          <w:tcPr>
            <w:tcW w:w="4247" w:type="dxa"/>
            <w:tcBorders>
              <w:top w:val="nil"/>
              <w:left w:val="nil"/>
              <w:bottom w:val="nil"/>
              <w:right w:val="nil"/>
            </w:tcBorders>
            <w:shd w:val="clear" w:color="auto" w:fill="auto"/>
            <w:noWrap/>
            <w:vAlign w:val="bottom"/>
            <w:hideMark/>
          </w:tcPr>
          <w:p w:rsidR="00751611" w:rsidRPr="00B02D50" w:rsidRDefault="00751611" w:rsidP="00751611">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p>
        </w:tc>
        <w:tc>
          <w:tcPr>
            <w:tcW w:w="900"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noWrap/>
            <w:vAlign w:val="center"/>
          </w:tcPr>
          <w:p w:rsidR="00751611" w:rsidRDefault="00751611" w:rsidP="00751611">
            <w:pPr>
              <w:jc w:val="right"/>
            </w:pPr>
          </w:p>
        </w:tc>
        <w:tc>
          <w:tcPr>
            <w:tcW w:w="865"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vAlign w:val="center"/>
          </w:tcPr>
          <w:p w:rsidR="00751611" w:rsidRDefault="00751611" w:rsidP="00751611">
            <w:pPr>
              <w:jc w:val="right"/>
            </w:pPr>
          </w:p>
        </w:tc>
      </w:tr>
      <w:tr w:rsidR="00751611" w:rsidRPr="006D5F74" w:rsidTr="00CC720E">
        <w:trPr>
          <w:trHeight w:val="177"/>
        </w:trPr>
        <w:tc>
          <w:tcPr>
            <w:tcW w:w="4247" w:type="dxa"/>
            <w:tcBorders>
              <w:top w:val="nil"/>
              <w:left w:val="nil"/>
              <w:bottom w:val="nil"/>
              <w:right w:val="nil"/>
            </w:tcBorders>
            <w:shd w:val="clear" w:color="auto" w:fill="auto"/>
            <w:noWrap/>
            <w:vAlign w:val="center"/>
            <w:hideMark/>
          </w:tcPr>
          <w:p w:rsidR="00751611" w:rsidRDefault="00751611" w:rsidP="00751611">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751611" w:rsidRDefault="00751611" w:rsidP="00751611">
            <w:pPr>
              <w:jc w:val="right"/>
            </w:pPr>
          </w:p>
        </w:tc>
        <w:tc>
          <w:tcPr>
            <w:tcW w:w="900"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noWrap/>
            <w:vAlign w:val="center"/>
          </w:tcPr>
          <w:p w:rsidR="00751611" w:rsidRDefault="00751611" w:rsidP="00751611">
            <w:pPr>
              <w:jc w:val="right"/>
            </w:pPr>
          </w:p>
        </w:tc>
        <w:tc>
          <w:tcPr>
            <w:tcW w:w="865"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vAlign w:val="center"/>
          </w:tcPr>
          <w:p w:rsidR="00751611" w:rsidRDefault="00751611" w:rsidP="00751611">
            <w:pPr>
              <w:jc w:val="right"/>
            </w:pP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Default="00751611" w:rsidP="00751611">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86.3</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79.9</w:t>
            </w:r>
          </w:p>
        </w:tc>
        <w:tc>
          <w:tcPr>
            <w:tcW w:w="900" w:type="dxa"/>
            <w:tcBorders>
              <w:top w:val="nil"/>
              <w:left w:val="nil"/>
              <w:bottom w:val="nil"/>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86.2</w:t>
            </w:r>
          </w:p>
        </w:tc>
        <w:tc>
          <w:tcPr>
            <w:tcW w:w="865"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91.0</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104.3</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95.2</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D16230" w:rsidRDefault="00751611" w:rsidP="00751611">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72.1</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66.9</w:t>
            </w:r>
          </w:p>
        </w:tc>
        <w:tc>
          <w:tcPr>
            <w:tcW w:w="900" w:type="dxa"/>
            <w:tcBorders>
              <w:top w:val="nil"/>
              <w:left w:val="nil"/>
              <w:bottom w:val="nil"/>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71.2</w:t>
            </w:r>
          </w:p>
        </w:tc>
        <w:tc>
          <w:tcPr>
            <w:tcW w:w="865"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74.2</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84.8</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78.6</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D16230" w:rsidRDefault="00751611" w:rsidP="00751611">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66.5</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61.4</w:t>
            </w:r>
          </w:p>
        </w:tc>
        <w:tc>
          <w:tcPr>
            <w:tcW w:w="900" w:type="dxa"/>
            <w:tcBorders>
              <w:top w:val="nil"/>
              <w:left w:val="nil"/>
              <w:bottom w:val="nil"/>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65.5</w:t>
            </w:r>
          </w:p>
        </w:tc>
        <w:tc>
          <w:tcPr>
            <w:tcW w:w="865"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68.4</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76.6</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67.2</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D16230" w:rsidRDefault="00751611" w:rsidP="00751611">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33.4</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31.0</w:t>
            </w:r>
          </w:p>
        </w:tc>
        <w:tc>
          <w:tcPr>
            <w:tcW w:w="900" w:type="dxa"/>
            <w:tcBorders>
              <w:top w:val="nil"/>
              <w:left w:val="nil"/>
              <w:bottom w:val="nil"/>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35.6</w:t>
            </w:r>
          </w:p>
        </w:tc>
        <w:tc>
          <w:tcPr>
            <w:tcW w:w="865"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38.6</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45.0</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38.3</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Pr="00D16230" w:rsidRDefault="00751611" w:rsidP="00751611">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6.4</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5.9</w:t>
            </w:r>
          </w:p>
        </w:tc>
        <w:tc>
          <w:tcPr>
            <w:tcW w:w="900" w:type="dxa"/>
            <w:tcBorders>
              <w:top w:val="nil"/>
              <w:left w:val="nil"/>
              <w:bottom w:val="nil"/>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6.0</w:t>
            </w:r>
          </w:p>
        </w:tc>
        <w:tc>
          <w:tcPr>
            <w:tcW w:w="865"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6.5</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7.3</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6.3</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Default="00751611" w:rsidP="00751611">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2.4</w:t>
            </w:r>
          </w:p>
        </w:tc>
        <w:tc>
          <w:tcPr>
            <w:tcW w:w="865"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2.7</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Default="00751611" w:rsidP="00751611">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3.5</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3.4</w:t>
            </w:r>
          </w:p>
        </w:tc>
        <w:tc>
          <w:tcPr>
            <w:tcW w:w="900" w:type="dxa"/>
            <w:tcBorders>
              <w:top w:val="nil"/>
              <w:left w:val="nil"/>
              <w:bottom w:val="nil"/>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3.6</w:t>
            </w:r>
          </w:p>
        </w:tc>
        <w:tc>
          <w:tcPr>
            <w:tcW w:w="865"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4.0</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4.1</w:t>
            </w:r>
          </w:p>
        </w:tc>
        <w:tc>
          <w:tcPr>
            <w:tcW w:w="900" w:type="dxa"/>
            <w:tcBorders>
              <w:top w:val="nil"/>
              <w:left w:val="nil"/>
              <w:bottom w:val="nil"/>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3.6</w:t>
            </w:r>
          </w:p>
        </w:tc>
      </w:tr>
      <w:tr w:rsidR="00751611" w:rsidRPr="006D5F74" w:rsidTr="00CC720E">
        <w:trPr>
          <w:trHeight w:val="300"/>
        </w:trPr>
        <w:tc>
          <w:tcPr>
            <w:tcW w:w="4247" w:type="dxa"/>
            <w:tcBorders>
              <w:top w:val="nil"/>
              <w:left w:val="nil"/>
              <w:bottom w:val="nil"/>
              <w:right w:val="nil"/>
            </w:tcBorders>
            <w:shd w:val="clear" w:color="auto" w:fill="auto"/>
            <w:noWrap/>
            <w:vAlign w:val="center"/>
            <w:hideMark/>
          </w:tcPr>
          <w:p w:rsidR="00751611" w:rsidRDefault="00751611" w:rsidP="00751611">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p>
        </w:tc>
        <w:tc>
          <w:tcPr>
            <w:tcW w:w="900"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noWrap/>
            <w:vAlign w:val="center"/>
          </w:tcPr>
          <w:p w:rsidR="00751611" w:rsidRDefault="00751611" w:rsidP="00751611">
            <w:pPr>
              <w:jc w:val="right"/>
            </w:pPr>
          </w:p>
        </w:tc>
        <w:tc>
          <w:tcPr>
            <w:tcW w:w="865"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vAlign w:val="center"/>
          </w:tcPr>
          <w:p w:rsidR="00751611" w:rsidRDefault="00751611" w:rsidP="00751611">
            <w:pPr>
              <w:jc w:val="right"/>
            </w:pPr>
          </w:p>
        </w:tc>
      </w:tr>
      <w:tr w:rsidR="00751611"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751611" w:rsidRDefault="00751611" w:rsidP="00751611">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751611" w:rsidRDefault="00751611" w:rsidP="00751611">
            <w:pPr>
              <w:jc w:val="right"/>
              <w:rPr>
                <w:i/>
                <w:iCs/>
                <w:color w:val="000000"/>
                <w:sz w:val="16"/>
                <w:szCs w:val="16"/>
              </w:rPr>
            </w:pPr>
            <w:r>
              <w:rPr>
                <w:i/>
                <w:iCs/>
                <w:color w:val="000000"/>
                <w:sz w:val="16"/>
                <w:szCs w:val="16"/>
              </w:rPr>
              <w:t>47.4</w:t>
            </w:r>
          </w:p>
        </w:tc>
        <w:tc>
          <w:tcPr>
            <w:tcW w:w="900" w:type="dxa"/>
            <w:tcBorders>
              <w:top w:val="nil"/>
              <w:left w:val="nil"/>
              <w:bottom w:val="single" w:sz="8" w:space="0" w:color="auto"/>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43.9</w:t>
            </w:r>
          </w:p>
        </w:tc>
        <w:tc>
          <w:tcPr>
            <w:tcW w:w="900" w:type="dxa"/>
            <w:tcBorders>
              <w:top w:val="nil"/>
              <w:left w:val="nil"/>
              <w:bottom w:val="single" w:sz="8" w:space="0" w:color="auto"/>
              <w:right w:val="nil"/>
            </w:tcBorders>
            <w:shd w:val="clear" w:color="auto" w:fill="auto"/>
            <w:noWrap/>
            <w:vAlign w:val="center"/>
          </w:tcPr>
          <w:p w:rsidR="00751611" w:rsidRDefault="00751611" w:rsidP="00751611">
            <w:pPr>
              <w:jc w:val="right"/>
              <w:rPr>
                <w:i/>
                <w:iCs/>
                <w:color w:val="000000"/>
                <w:sz w:val="16"/>
                <w:szCs w:val="16"/>
              </w:rPr>
            </w:pPr>
            <w:r>
              <w:rPr>
                <w:i/>
                <w:iCs/>
                <w:color w:val="000000"/>
                <w:sz w:val="16"/>
                <w:szCs w:val="16"/>
              </w:rPr>
              <w:t>45.5</w:t>
            </w:r>
          </w:p>
        </w:tc>
        <w:tc>
          <w:tcPr>
            <w:tcW w:w="865" w:type="dxa"/>
            <w:tcBorders>
              <w:top w:val="nil"/>
              <w:left w:val="nil"/>
              <w:bottom w:val="single" w:sz="8" w:space="0" w:color="auto"/>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47.1</w:t>
            </w:r>
          </w:p>
        </w:tc>
        <w:tc>
          <w:tcPr>
            <w:tcW w:w="900" w:type="dxa"/>
            <w:tcBorders>
              <w:top w:val="nil"/>
              <w:left w:val="nil"/>
              <w:bottom w:val="single" w:sz="8" w:space="0" w:color="auto"/>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53.8</w:t>
            </w:r>
          </w:p>
        </w:tc>
        <w:tc>
          <w:tcPr>
            <w:tcW w:w="900" w:type="dxa"/>
            <w:tcBorders>
              <w:top w:val="nil"/>
              <w:left w:val="nil"/>
              <w:bottom w:val="single" w:sz="8" w:space="0" w:color="auto"/>
              <w:right w:val="nil"/>
            </w:tcBorders>
            <w:shd w:val="clear" w:color="auto" w:fill="auto"/>
            <w:vAlign w:val="center"/>
          </w:tcPr>
          <w:p w:rsidR="00751611" w:rsidRDefault="00751611" w:rsidP="00751611">
            <w:pPr>
              <w:jc w:val="right"/>
              <w:rPr>
                <w:i/>
                <w:iCs/>
                <w:color w:val="000000"/>
                <w:sz w:val="16"/>
                <w:szCs w:val="16"/>
              </w:rPr>
            </w:pPr>
            <w:r>
              <w:rPr>
                <w:i/>
                <w:iCs/>
                <w:color w:val="000000"/>
                <w:sz w:val="16"/>
                <w:szCs w:val="16"/>
              </w:rPr>
              <w:t>52.0</w:t>
            </w:r>
          </w:p>
        </w:tc>
      </w:tr>
      <w:tr w:rsidR="00751611" w:rsidRPr="006D5F74" w:rsidTr="00CC720E">
        <w:trPr>
          <w:trHeight w:val="112"/>
        </w:trPr>
        <w:tc>
          <w:tcPr>
            <w:tcW w:w="4247" w:type="dxa"/>
            <w:tcBorders>
              <w:top w:val="nil"/>
              <w:left w:val="nil"/>
              <w:bottom w:val="nil"/>
              <w:right w:val="nil"/>
            </w:tcBorders>
            <w:shd w:val="clear" w:color="auto" w:fill="auto"/>
            <w:noWrap/>
            <w:vAlign w:val="bottom"/>
            <w:hideMark/>
          </w:tcPr>
          <w:p w:rsidR="00751611" w:rsidRPr="006D5F74" w:rsidRDefault="00751611" w:rsidP="00751611">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751611" w:rsidRDefault="00751611" w:rsidP="00751611">
            <w:pPr>
              <w:jc w:val="right"/>
              <w:rPr>
                <w:i/>
                <w:iCs/>
                <w:color w:val="000000"/>
                <w:sz w:val="16"/>
                <w:szCs w:val="16"/>
              </w:rPr>
            </w:pPr>
          </w:p>
        </w:tc>
        <w:tc>
          <w:tcPr>
            <w:tcW w:w="900"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noWrap/>
            <w:vAlign w:val="center"/>
          </w:tcPr>
          <w:p w:rsidR="00751611" w:rsidRDefault="00751611" w:rsidP="00751611">
            <w:pPr>
              <w:jc w:val="right"/>
            </w:pPr>
          </w:p>
        </w:tc>
        <w:tc>
          <w:tcPr>
            <w:tcW w:w="865"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vAlign w:val="center"/>
          </w:tcPr>
          <w:p w:rsidR="00751611" w:rsidRDefault="00751611" w:rsidP="00751611">
            <w:pPr>
              <w:jc w:val="right"/>
            </w:pPr>
          </w:p>
        </w:tc>
        <w:tc>
          <w:tcPr>
            <w:tcW w:w="900" w:type="dxa"/>
            <w:tcBorders>
              <w:top w:val="nil"/>
              <w:left w:val="nil"/>
              <w:bottom w:val="nil"/>
              <w:right w:val="nil"/>
            </w:tcBorders>
            <w:shd w:val="clear" w:color="auto" w:fill="auto"/>
            <w:vAlign w:val="center"/>
          </w:tcPr>
          <w:p w:rsidR="00751611" w:rsidRDefault="00751611" w:rsidP="00751611">
            <w:pPr>
              <w:jc w:val="right"/>
            </w:pPr>
          </w:p>
        </w:tc>
      </w:tr>
      <w:tr w:rsidR="00751611" w:rsidRPr="006D5F74" w:rsidTr="00C0092D">
        <w:trPr>
          <w:trHeight w:val="312"/>
        </w:trPr>
        <w:tc>
          <w:tcPr>
            <w:tcW w:w="4247" w:type="dxa"/>
            <w:tcBorders>
              <w:top w:val="nil"/>
              <w:left w:val="nil"/>
              <w:bottom w:val="nil"/>
              <w:right w:val="nil"/>
            </w:tcBorders>
            <w:shd w:val="clear" w:color="auto" w:fill="auto"/>
            <w:noWrap/>
            <w:vAlign w:val="center"/>
            <w:hideMark/>
          </w:tcPr>
          <w:p w:rsidR="00751611" w:rsidRPr="006D5F74" w:rsidRDefault="00751611" w:rsidP="00751611">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751611" w:rsidRDefault="00751611" w:rsidP="00751611">
            <w:pPr>
              <w:jc w:val="right"/>
              <w:rPr>
                <w:b/>
                <w:bCs/>
                <w:sz w:val="16"/>
                <w:szCs w:val="16"/>
              </w:rPr>
            </w:pPr>
            <w:r>
              <w:rPr>
                <w:b/>
                <w:bCs/>
                <w:sz w:val="16"/>
                <w:szCs w:val="16"/>
              </w:rPr>
              <w:t>FY18</w:t>
            </w:r>
            <w:r>
              <w:rPr>
                <w:rFonts w:ascii="Cambria" w:hAnsi="Cambria"/>
                <w:b/>
                <w:bCs/>
                <w:vertAlign w:val="superscript"/>
              </w:rPr>
              <w:t>R</w:t>
            </w:r>
          </w:p>
        </w:tc>
        <w:tc>
          <w:tcPr>
            <w:tcW w:w="900" w:type="dxa"/>
            <w:tcBorders>
              <w:top w:val="nil"/>
              <w:left w:val="nil"/>
              <w:bottom w:val="nil"/>
              <w:right w:val="nil"/>
            </w:tcBorders>
            <w:shd w:val="clear" w:color="auto" w:fill="auto"/>
            <w:vAlign w:val="center"/>
          </w:tcPr>
          <w:p w:rsidR="00751611" w:rsidRDefault="00751611" w:rsidP="00751611">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noWrap/>
            <w:vAlign w:val="center"/>
          </w:tcPr>
          <w:p w:rsidR="00751611" w:rsidRDefault="00751611" w:rsidP="00751611">
            <w:pPr>
              <w:jc w:val="right"/>
              <w:rPr>
                <w:b/>
                <w:bCs/>
                <w:sz w:val="16"/>
                <w:szCs w:val="16"/>
              </w:rPr>
            </w:pPr>
            <w:r>
              <w:rPr>
                <w:b/>
                <w:bCs/>
                <w:sz w:val="16"/>
                <w:szCs w:val="16"/>
              </w:rPr>
              <w:t>FY19</w:t>
            </w:r>
            <w:r>
              <w:rPr>
                <w:rFonts w:ascii="Cambria" w:hAnsi="Cambria"/>
                <w:b/>
                <w:bCs/>
                <w:vertAlign w:val="superscript"/>
              </w:rPr>
              <w:t>P</w:t>
            </w:r>
          </w:p>
        </w:tc>
        <w:tc>
          <w:tcPr>
            <w:tcW w:w="865" w:type="dxa"/>
            <w:tcBorders>
              <w:top w:val="nil"/>
              <w:left w:val="nil"/>
              <w:bottom w:val="nil"/>
              <w:right w:val="nil"/>
            </w:tcBorders>
            <w:shd w:val="clear" w:color="auto" w:fill="auto"/>
            <w:vAlign w:val="center"/>
          </w:tcPr>
          <w:p w:rsidR="00751611" w:rsidRDefault="00751611" w:rsidP="00751611">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vAlign w:val="center"/>
          </w:tcPr>
          <w:p w:rsidR="00751611" w:rsidRDefault="00751611" w:rsidP="00751611">
            <w:pPr>
              <w:jc w:val="right"/>
              <w:rPr>
                <w:b/>
                <w:bCs/>
                <w:sz w:val="16"/>
                <w:szCs w:val="16"/>
              </w:rPr>
            </w:pPr>
            <w:r>
              <w:rPr>
                <w:b/>
                <w:bCs/>
                <w:sz w:val="16"/>
                <w:szCs w:val="16"/>
              </w:rPr>
              <w:t>FY19</w:t>
            </w:r>
            <w:r>
              <w:rPr>
                <w:rFonts w:ascii="Cambria" w:hAnsi="Cambria"/>
                <w:b/>
                <w:bCs/>
                <w:vertAlign w:val="superscript"/>
              </w:rPr>
              <w:t>P</w:t>
            </w:r>
          </w:p>
        </w:tc>
        <w:tc>
          <w:tcPr>
            <w:tcW w:w="900" w:type="dxa"/>
            <w:tcBorders>
              <w:top w:val="nil"/>
              <w:left w:val="nil"/>
              <w:bottom w:val="nil"/>
              <w:right w:val="nil"/>
            </w:tcBorders>
            <w:shd w:val="clear" w:color="auto" w:fill="auto"/>
            <w:vAlign w:val="center"/>
          </w:tcPr>
          <w:p w:rsidR="00751611" w:rsidRDefault="00751611" w:rsidP="00751611">
            <w:pPr>
              <w:jc w:val="right"/>
              <w:rPr>
                <w:b/>
                <w:bCs/>
                <w:sz w:val="16"/>
                <w:szCs w:val="16"/>
              </w:rPr>
            </w:pPr>
            <w:r>
              <w:rPr>
                <w:b/>
                <w:bCs/>
                <w:sz w:val="16"/>
                <w:szCs w:val="16"/>
              </w:rPr>
              <w:t>FY20</w:t>
            </w:r>
            <w:r>
              <w:rPr>
                <w:rFonts w:ascii="Cambria" w:hAnsi="Cambria"/>
                <w:b/>
                <w:bCs/>
                <w:vertAlign w:val="superscript"/>
              </w:rPr>
              <w:t>T</w:t>
            </w:r>
          </w:p>
        </w:tc>
      </w:tr>
      <w:tr w:rsidR="00751611"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751611" w:rsidRPr="00D16230" w:rsidRDefault="00751611" w:rsidP="00751611">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34,618.6</w:t>
            </w:r>
          </w:p>
        </w:tc>
        <w:tc>
          <w:tcPr>
            <w:tcW w:w="900" w:type="dxa"/>
            <w:tcBorders>
              <w:top w:val="nil"/>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38,558.8</w:t>
            </w:r>
          </w:p>
        </w:tc>
        <w:tc>
          <w:tcPr>
            <w:tcW w:w="865" w:type="dxa"/>
            <w:tcBorders>
              <w:top w:val="nil"/>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43,585.0</w:t>
            </w:r>
          </w:p>
        </w:tc>
      </w:tr>
      <w:tr w:rsidR="00751611"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751611" w:rsidRPr="00D16230" w:rsidRDefault="00751611" w:rsidP="00751611">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1,928.9</w:t>
            </w:r>
          </w:p>
        </w:tc>
        <w:tc>
          <w:tcPr>
            <w:tcW w:w="900" w:type="dxa"/>
            <w:tcBorders>
              <w:top w:val="single" w:sz="8" w:space="0" w:color="auto"/>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2,091.4</w:t>
            </w:r>
          </w:p>
        </w:tc>
        <w:tc>
          <w:tcPr>
            <w:tcW w:w="900" w:type="dxa"/>
            <w:tcBorders>
              <w:top w:val="single" w:sz="8" w:space="0" w:color="auto"/>
              <w:left w:val="nil"/>
              <w:bottom w:val="single" w:sz="8" w:space="0" w:color="auto"/>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2,217.7</w:t>
            </w:r>
          </w:p>
        </w:tc>
        <w:tc>
          <w:tcPr>
            <w:tcW w:w="865" w:type="dxa"/>
            <w:tcBorders>
              <w:top w:val="single" w:sz="8" w:space="0" w:color="auto"/>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2,239.4</w:t>
            </w:r>
          </w:p>
        </w:tc>
        <w:tc>
          <w:tcPr>
            <w:tcW w:w="900" w:type="dxa"/>
            <w:tcBorders>
              <w:top w:val="single" w:sz="8" w:space="0" w:color="auto"/>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3,187.2</w:t>
            </w:r>
          </w:p>
        </w:tc>
        <w:tc>
          <w:tcPr>
            <w:tcW w:w="900" w:type="dxa"/>
            <w:tcBorders>
              <w:top w:val="single" w:sz="8" w:space="0" w:color="auto"/>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4,940.6</w:t>
            </w:r>
          </w:p>
        </w:tc>
      </w:tr>
      <w:tr w:rsidR="00751611"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751611" w:rsidRPr="00D16230" w:rsidRDefault="00751611" w:rsidP="00751611">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751611" w:rsidRDefault="00751611" w:rsidP="00751611">
            <w:pPr>
              <w:jc w:val="right"/>
              <w:rPr>
                <w:color w:val="000000"/>
                <w:sz w:val="16"/>
                <w:szCs w:val="16"/>
              </w:rPr>
            </w:pPr>
            <w:r>
              <w:rPr>
                <w:color w:val="000000"/>
                <w:sz w:val="16"/>
                <w:szCs w:val="16"/>
              </w:rPr>
              <w:t>121.5405</w:t>
            </w:r>
          </w:p>
        </w:tc>
        <w:tc>
          <w:tcPr>
            <w:tcW w:w="900" w:type="dxa"/>
            <w:tcBorders>
              <w:top w:val="single" w:sz="8" w:space="0" w:color="auto"/>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124.2374</w:t>
            </w:r>
          </w:p>
        </w:tc>
        <w:tc>
          <w:tcPr>
            <w:tcW w:w="900" w:type="dxa"/>
            <w:tcBorders>
              <w:top w:val="single" w:sz="8" w:space="0" w:color="auto"/>
              <w:left w:val="nil"/>
              <w:bottom w:val="single" w:sz="8" w:space="0" w:color="auto"/>
              <w:right w:val="nil"/>
            </w:tcBorders>
            <w:shd w:val="clear" w:color="auto" w:fill="auto"/>
            <w:noWrap/>
            <w:vAlign w:val="center"/>
          </w:tcPr>
          <w:p w:rsidR="00751611" w:rsidRDefault="00751611" w:rsidP="00751611">
            <w:pPr>
              <w:jc w:val="right"/>
              <w:rPr>
                <w:color w:val="000000"/>
                <w:sz w:val="16"/>
                <w:szCs w:val="16"/>
              </w:rPr>
            </w:pPr>
            <w:r>
              <w:rPr>
                <w:color w:val="000000"/>
                <w:sz w:val="16"/>
                <w:szCs w:val="16"/>
              </w:rPr>
              <w:t>138.7921</w:t>
            </w:r>
          </w:p>
        </w:tc>
        <w:tc>
          <w:tcPr>
            <w:tcW w:w="865" w:type="dxa"/>
            <w:tcBorders>
              <w:top w:val="single" w:sz="8" w:space="0" w:color="auto"/>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140.7008</w:t>
            </w:r>
          </w:p>
        </w:tc>
        <w:tc>
          <w:tcPr>
            <w:tcW w:w="900" w:type="dxa"/>
            <w:tcBorders>
              <w:top w:val="single" w:sz="8" w:space="0" w:color="auto"/>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163.0546</w:t>
            </w:r>
          </w:p>
        </w:tc>
        <w:tc>
          <w:tcPr>
            <w:tcW w:w="900" w:type="dxa"/>
            <w:tcBorders>
              <w:top w:val="single" w:sz="8" w:space="0" w:color="auto"/>
              <w:left w:val="nil"/>
              <w:bottom w:val="single" w:sz="8" w:space="0" w:color="auto"/>
              <w:right w:val="nil"/>
            </w:tcBorders>
            <w:shd w:val="clear" w:color="auto" w:fill="auto"/>
            <w:vAlign w:val="center"/>
          </w:tcPr>
          <w:p w:rsidR="00751611" w:rsidRDefault="00751611" w:rsidP="00751611">
            <w:pPr>
              <w:jc w:val="right"/>
              <w:rPr>
                <w:color w:val="000000"/>
                <w:sz w:val="16"/>
                <w:szCs w:val="16"/>
              </w:rPr>
            </w:pPr>
            <w:r>
              <w:rPr>
                <w:color w:val="000000"/>
                <w:sz w:val="16"/>
                <w:szCs w:val="16"/>
              </w:rPr>
              <w:t>156.2958</w:t>
            </w:r>
          </w:p>
        </w:tc>
      </w:tr>
      <w:tr w:rsidR="00751611"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751611" w:rsidRPr="002A1001" w:rsidRDefault="00751611" w:rsidP="00751611">
            <w:pPr>
              <w:rPr>
                <w:sz w:val="12"/>
                <w:szCs w:val="16"/>
              </w:rPr>
            </w:pPr>
            <w:r w:rsidRPr="00D16230">
              <w:rPr>
                <w:sz w:val="12"/>
                <w:szCs w:val="16"/>
              </w:rPr>
              <w:t>1 External liabilities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751611" w:rsidRPr="006D5F74" w:rsidTr="00B02D50">
        <w:trPr>
          <w:trHeight w:val="177"/>
        </w:trPr>
        <w:tc>
          <w:tcPr>
            <w:tcW w:w="9612" w:type="dxa"/>
            <w:gridSpan w:val="7"/>
            <w:tcBorders>
              <w:top w:val="nil"/>
              <w:left w:val="nil"/>
              <w:bottom w:val="nil"/>
              <w:right w:val="nil"/>
            </w:tcBorders>
            <w:shd w:val="clear" w:color="auto" w:fill="auto"/>
            <w:vAlign w:val="center"/>
            <w:hideMark/>
          </w:tcPr>
          <w:p w:rsidR="00751611" w:rsidRPr="002A1001" w:rsidRDefault="00751611" w:rsidP="00751611">
            <w:pPr>
              <w:rPr>
                <w:sz w:val="12"/>
                <w:szCs w:val="16"/>
              </w:rPr>
            </w:pPr>
            <w:r w:rsidRPr="00D16230">
              <w:rPr>
                <w:sz w:val="12"/>
                <w:szCs w:val="16"/>
              </w:rPr>
              <w:t>2 Includes borrowings from banks by provincial governments and PSEs for commodity operations.</w:t>
            </w:r>
          </w:p>
        </w:tc>
      </w:tr>
      <w:tr w:rsidR="00751611"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751611" w:rsidRPr="002A1001" w:rsidRDefault="00751611" w:rsidP="00751611">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751611"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751611" w:rsidRPr="006D5F74" w:rsidRDefault="00751611" w:rsidP="00751611">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751611"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751611" w:rsidRPr="002A1001" w:rsidRDefault="00751611" w:rsidP="00751611">
            <w:pPr>
              <w:rPr>
                <w:sz w:val="12"/>
                <w:szCs w:val="16"/>
              </w:rPr>
            </w:pPr>
            <w:r w:rsidRPr="00B02D50">
              <w:rPr>
                <w:sz w:val="12"/>
                <w:szCs w:val="16"/>
              </w:rPr>
              <w:t>Notes:-</w:t>
            </w:r>
          </w:p>
        </w:tc>
      </w:tr>
      <w:tr w:rsidR="00751611"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751611" w:rsidRPr="002A1001" w:rsidRDefault="00751611" w:rsidP="00751611">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751611" w:rsidRPr="006D5F74" w:rsidTr="002A1001">
        <w:trPr>
          <w:trHeight w:val="270"/>
        </w:trPr>
        <w:tc>
          <w:tcPr>
            <w:tcW w:w="9612" w:type="dxa"/>
            <w:gridSpan w:val="7"/>
            <w:tcBorders>
              <w:top w:val="nil"/>
              <w:left w:val="nil"/>
              <w:bottom w:val="nil"/>
              <w:right w:val="nil"/>
            </w:tcBorders>
            <w:shd w:val="clear" w:color="auto" w:fill="auto"/>
            <w:vAlign w:val="center"/>
            <w:hideMark/>
          </w:tcPr>
          <w:p w:rsidR="00751611" w:rsidRPr="006D5F74" w:rsidRDefault="00751611" w:rsidP="00751611">
            <w:pPr>
              <w:rPr>
                <w:sz w:val="12"/>
                <w:szCs w:val="16"/>
              </w:rPr>
            </w:pPr>
            <w:r w:rsidRPr="00B02D50">
              <w:rPr>
                <w:sz w:val="12"/>
                <w:szCs w:val="16"/>
              </w:rPr>
              <w:t>2. SBP enhanced coverage &amp; quality of external debt statistics w.e.f March 31, 2010. For revision study see link:</w:t>
            </w:r>
          </w:p>
          <w:p w:rsidR="00751611" w:rsidRPr="00B02D50" w:rsidRDefault="009204D3" w:rsidP="00751611">
            <w:pPr>
              <w:rPr>
                <w:rFonts w:asciiTheme="majorBidi" w:hAnsiTheme="majorBidi" w:cstheme="majorBidi"/>
                <w:color w:val="0000FF"/>
                <w:sz w:val="14"/>
                <w:szCs w:val="14"/>
                <w:u w:val="single"/>
              </w:rPr>
            </w:pPr>
            <w:hyperlink r:id="rId8" w:history="1">
              <w:r w:rsidR="00751611" w:rsidRPr="00B02D50">
                <w:rPr>
                  <w:rStyle w:val="Hyperlink"/>
                  <w:rFonts w:asciiTheme="majorBidi" w:hAnsiTheme="majorBidi" w:cstheme="majorBidi"/>
                  <w:sz w:val="14"/>
                  <w:szCs w:val="14"/>
                </w:rPr>
                <w:t>http://www.sbp.org.pk/ecodata/Revision-EDS.pdf</w:t>
              </w:r>
            </w:hyperlink>
          </w:p>
        </w:tc>
      </w:tr>
      <w:tr w:rsidR="00751611" w:rsidRPr="006D5F74" w:rsidTr="002A1001">
        <w:trPr>
          <w:trHeight w:val="234"/>
        </w:trPr>
        <w:tc>
          <w:tcPr>
            <w:tcW w:w="9612" w:type="dxa"/>
            <w:gridSpan w:val="7"/>
            <w:tcBorders>
              <w:top w:val="nil"/>
              <w:left w:val="nil"/>
              <w:bottom w:val="nil"/>
              <w:right w:val="nil"/>
            </w:tcBorders>
            <w:shd w:val="clear" w:color="auto" w:fill="auto"/>
            <w:vAlign w:val="center"/>
            <w:hideMark/>
          </w:tcPr>
          <w:p w:rsidR="00751611" w:rsidRPr="00B02D50" w:rsidRDefault="00751611" w:rsidP="00751611">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751611" w:rsidRPr="00B02D50" w:rsidRDefault="009204D3" w:rsidP="00751611">
            <w:pPr>
              <w:rPr>
                <w:rFonts w:ascii="Calibri" w:hAnsi="Calibri" w:cs="Arial"/>
                <w:color w:val="0000FF"/>
                <w:u w:val="single"/>
              </w:rPr>
            </w:pPr>
            <w:hyperlink r:id="rId9" w:history="1">
              <w:r w:rsidR="00751611"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581418" w:rsidRPr="006D5F74" w:rsidTr="002B142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581418" w:rsidRPr="006D5F74" w:rsidRDefault="00581418" w:rsidP="00581418">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581418" w:rsidRPr="006D5F74" w:rsidRDefault="00581418" w:rsidP="00581418">
            <w:pPr>
              <w:jc w:val="right"/>
              <w:rPr>
                <w:b/>
                <w:bCs/>
                <w:sz w:val="16"/>
                <w:szCs w:val="16"/>
              </w:rPr>
            </w:pPr>
            <w:r>
              <w:rPr>
                <w:b/>
                <w:bCs/>
                <w:sz w:val="16"/>
                <w:szCs w:val="16"/>
              </w:rPr>
              <w:t>Jun-18</w:t>
            </w:r>
          </w:p>
        </w:tc>
        <w:tc>
          <w:tcPr>
            <w:tcW w:w="957" w:type="dxa"/>
            <w:tcBorders>
              <w:top w:val="single" w:sz="4" w:space="0" w:color="auto"/>
              <w:left w:val="nil"/>
              <w:bottom w:val="single" w:sz="8" w:space="0" w:color="auto"/>
            </w:tcBorders>
            <w:shd w:val="clear" w:color="auto" w:fill="auto"/>
            <w:noWrap/>
            <w:vAlign w:val="center"/>
          </w:tcPr>
          <w:p w:rsidR="00581418" w:rsidRPr="006D5F74" w:rsidRDefault="00581418" w:rsidP="00581418">
            <w:pPr>
              <w:jc w:val="right"/>
              <w:rPr>
                <w:b/>
                <w:bCs/>
                <w:sz w:val="16"/>
                <w:szCs w:val="16"/>
              </w:rPr>
            </w:pPr>
            <w:r>
              <w:rPr>
                <w:b/>
                <w:bCs/>
                <w:sz w:val="16"/>
                <w:szCs w:val="16"/>
              </w:rPr>
              <w:t>Sep-18</w:t>
            </w:r>
            <w:r>
              <w:rPr>
                <w:b/>
                <w:bCs/>
                <w:sz w:val="16"/>
                <w:szCs w:val="16"/>
                <w:vertAlign w:val="superscript"/>
              </w:rPr>
              <w:t xml:space="preserve"> R</w:t>
            </w:r>
          </w:p>
        </w:tc>
        <w:tc>
          <w:tcPr>
            <w:tcW w:w="979" w:type="dxa"/>
            <w:gridSpan w:val="2"/>
            <w:tcBorders>
              <w:top w:val="single" w:sz="4" w:space="0" w:color="auto"/>
              <w:bottom w:val="single" w:sz="8" w:space="0" w:color="auto"/>
            </w:tcBorders>
            <w:shd w:val="clear" w:color="auto" w:fill="auto"/>
            <w:noWrap/>
            <w:vAlign w:val="center"/>
          </w:tcPr>
          <w:p w:rsidR="00581418" w:rsidRPr="006D5F74" w:rsidRDefault="00581418" w:rsidP="00581418">
            <w:pPr>
              <w:jc w:val="right"/>
              <w:rPr>
                <w:b/>
                <w:bCs/>
                <w:sz w:val="16"/>
                <w:szCs w:val="16"/>
              </w:rPr>
            </w:pPr>
            <w:r>
              <w:rPr>
                <w:b/>
                <w:bCs/>
                <w:sz w:val="16"/>
                <w:szCs w:val="16"/>
              </w:rPr>
              <w:t xml:space="preserve">Dec-18 </w:t>
            </w:r>
            <w:r>
              <w:rPr>
                <w:b/>
                <w:bCs/>
                <w:sz w:val="16"/>
                <w:szCs w:val="16"/>
                <w:vertAlign w:val="superscript"/>
              </w:rPr>
              <w:t>R</w:t>
            </w:r>
          </w:p>
        </w:tc>
        <w:tc>
          <w:tcPr>
            <w:tcW w:w="856" w:type="dxa"/>
            <w:gridSpan w:val="2"/>
            <w:tcBorders>
              <w:top w:val="single" w:sz="4" w:space="0" w:color="auto"/>
              <w:bottom w:val="single" w:sz="8" w:space="0" w:color="auto"/>
              <w:right w:val="nil"/>
            </w:tcBorders>
            <w:shd w:val="clear" w:color="auto" w:fill="auto"/>
            <w:noWrap/>
            <w:vAlign w:val="center"/>
          </w:tcPr>
          <w:p w:rsidR="00581418" w:rsidRPr="006D5F74" w:rsidRDefault="00581418" w:rsidP="00581418">
            <w:pPr>
              <w:jc w:val="right"/>
              <w:rPr>
                <w:b/>
                <w:bCs/>
                <w:sz w:val="16"/>
                <w:szCs w:val="16"/>
              </w:rPr>
            </w:pPr>
            <w:r>
              <w:rPr>
                <w:b/>
                <w:bCs/>
                <w:sz w:val="16"/>
                <w:szCs w:val="16"/>
              </w:rPr>
              <w:t xml:space="preserve">Mar-19 </w:t>
            </w:r>
            <w:r>
              <w:rPr>
                <w:b/>
                <w:bCs/>
                <w:sz w:val="16"/>
                <w:szCs w:val="16"/>
                <w:vertAlign w:val="superscript"/>
              </w:rPr>
              <w:t>R</w:t>
            </w:r>
          </w:p>
        </w:tc>
        <w:tc>
          <w:tcPr>
            <w:tcW w:w="922" w:type="dxa"/>
            <w:tcBorders>
              <w:top w:val="single" w:sz="4" w:space="0" w:color="auto"/>
              <w:left w:val="nil"/>
              <w:bottom w:val="single" w:sz="8" w:space="0" w:color="auto"/>
              <w:right w:val="nil"/>
            </w:tcBorders>
            <w:shd w:val="clear" w:color="auto" w:fill="auto"/>
            <w:vAlign w:val="center"/>
          </w:tcPr>
          <w:p w:rsidR="00581418" w:rsidRPr="006D5F74" w:rsidRDefault="00581418" w:rsidP="00581418">
            <w:pPr>
              <w:jc w:val="right"/>
              <w:rPr>
                <w:b/>
                <w:bCs/>
                <w:sz w:val="16"/>
                <w:szCs w:val="16"/>
              </w:rPr>
            </w:pPr>
            <w:r>
              <w:rPr>
                <w:b/>
                <w:bCs/>
                <w:sz w:val="16"/>
                <w:szCs w:val="16"/>
              </w:rPr>
              <w:t xml:space="preserve">Jun-19 </w:t>
            </w:r>
            <w:r>
              <w:rPr>
                <w:b/>
                <w:bCs/>
                <w:sz w:val="16"/>
                <w:szCs w:val="16"/>
                <w:vertAlign w:val="superscript"/>
              </w:rPr>
              <w:t>R</w:t>
            </w:r>
          </w:p>
        </w:tc>
        <w:tc>
          <w:tcPr>
            <w:tcW w:w="900" w:type="dxa"/>
            <w:tcBorders>
              <w:top w:val="single" w:sz="4" w:space="0" w:color="auto"/>
              <w:left w:val="nil"/>
              <w:bottom w:val="single" w:sz="8" w:space="0" w:color="auto"/>
              <w:right w:val="nil"/>
            </w:tcBorders>
            <w:shd w:val="clear" w:color="auto" w:fill="auto"/>
            <w:vAlign w:val="center"/>
          </w:tcPr>
          <w:p w:rsidR="00581418" w:rsidRPr="006D5F74" w:rsidRDefault="00581418" w:rsidP="00581418">
            <w:pPr>
              <w:jc w:val="right"/>
              <w:rPr>
                <w:b/>
                <w:bCs/>
                <w:sz w:val="16"/>
                <w:szCs w:val="16"/>
              </w:rPr>
            </w:pPr>
            <w:r>
              <w:rPr>
                <w:b/>
                <w:bCs/>
                <w:sz w:val="16"/>
                <w:szCs w:val="16"/>
              </w:rPr>
              <w:t>Sep-19</w:t>
            </w:r>
            <w:r>
              <w:rPr>
                <w:b/>
                <w:bCs/>
                <w:sz w:val="16"/>
                <w:szCs w:val="16"/>
                <w:vertAlign w:val="superscript"/>
              </w:rPr>
              <w:t xml:space="preserve"> P</w:t>
            </w:r>
          </w:p>
        </w:tc>
      </w:tr>
      <w:tr w:rsidR="00581418" w:rsidRPr="006D5F74" w:rsidTr="002B1429">
        <w:trPr>
          <w:trHeight w:hRule="exact" w:val="294"/>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b/>
                <w:bCs/>
                <w:color w:val="000000"/>
                <w:sz w:val="14"/>
                <w:szCs w:val="14"/>
              </w:rPr>
            </w:pPr>
            <w:r>
              <w:rPr>
                <w:b/>
                <w:bCs/>
                <w:color w:val="000000"/>
                <w:sz w:val="14"/>
                <w:szCs w:val="14"/>
              </w:rPr>
              <w:t>29,879.4</w:t>
            </w:r>
          </w:p>
        </w:tc>
        <w:tc>
          <w:tcPr>
            <w:tcW w:w="957" w:type="dxa"/>
            <w:tcBorders>
              <w:top w:val="nil"/>
              <w:left w:val="nil"/>
              <w:bottom w:val="nil"/>
              <w:right w:val="nil"/>
            </w:tcBorders>
            <w:shd w:val="clear" w:color="auto" w:fill="auto"/>
            <w:noWrap/>
            <w:vAlign w:val="center"/>
          </w:tcPr>
          <w:p w:rsidR="00581418" w:rsidRDefault="00581418" w:rsidP="00581418">
            <w:pPr>
              <w:jc w:val="right"/>
              <w:rPr>
                <w:b/>
                <w:bCs/>
                <w:color w:val="000000"/>
                <w:sz w:val="14"/>
                <w:szCs w:val="14"/>
              </w:rPr>
            </w:pPr>
            <w:r>
              <w:rPr>
                <w:b/>
                <w:bCs/>
                <w:color w:val="000000"/>
                <w:sz w:val="14"/>
                <w:szCs w:val="14"/>
              </w:rPr>
              <w:t>30,798.2</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b/>
                <w:bCs/>
                <w:color w:val="000000"/>
                <w:sz w:val="14"/>
                <w:szCs w:val="14"/>
              </w:rPr>
            </w:pPr>
            <w:r>
              <w:rPr>
                <w:b/>
                <w:bCs/>
                <w:color w:val="000000"/>
                <w:sz w:val="14"/>
                <w:szCs w:val="14"/>
              </w:rPr>
              <w:t>33,229.4</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b/>
                <w:bCs/>
                <w:color w:val="000000"/>
                <w:sz w:val="14"/>
                <w:szCs w:val="14"/>
              </w:rPr>
            </w:pPr>
            <w:r>
              <w:rPr>
                <w:b/>
                <w:bCs/>
                <w:color w:val="000000"/>
                <w:sz w:val="14"/>
                <w:szCs w:val="14"/>
              </w:rPr>
              <w:t>35,094.3</w:t>
            </w:r>
          </w:p>
        </w:tc>
        <w:tc>
          <w:tcPr>
            <w:tcW w:w="922" w:type="dxa"/>
            <w:tcBorders>
              <w:top w:val="nil"/>
              <w:left w:val="nil"/>
              <w:bottom w:val="nil"/>
              <w:right w:val="nil"/>
            </w:tcBorders>
            <w:shd w:val="clear" w:color="auto" w:fill="auto"/>
            <w:vAlign w:val="center"/>
          </w:tcPr>
          <w:p w:rsidR="00581418" w:rsidRDefault="00581418" w:rsidP="00581418">
            <w:pPr>
              <w:jc w:val="right"/>
              <w:rPr>
                <w:b/>
                <w:bCs/>
                <w:color w:val="000000"/>
                <w:sz w:val="14"/>
                <w:szCs w:val="14"/>
              </w:rPr>
            </w:pPr>
            <w:r>
              <w:rPr>
                <w:b/>
                <w:bCs/>
                <w:color w:val="000000"/>
                <w:sz w:val="14"/>
                <w:szCs w:val="14"/>
              </w:rPr>
              <w:t>40,223.0</w:t>
            </w:r>
          </w:p>
        </w:tc>
        <w:tc>
          <w:tcPr>
            <w:tcW w:w="900" w:type="dxa"/>
            <w:tcBorders>
              <w:top w:val="nil"/>
              <w:left w:val="nil"/>
              <w:bottom w:val="nil"/>
              <w:right w:val="nil"/>
            </w:tcBorders>
            <w:shd w:val="clear" w:color="auto" w:fill="auto"/>
            <w:vAlign w:val="center"/>
          </w:tcPr>
          <w:p w:rsidR="00581418" w:rsidRDefault="00581418" w:rsidP="00581418">
            <w:pPr>
              <w:jc w:val="right"/>
              <w:rPr>
                <w:b/>
                <w:bCs/>
                <w:color w:val="000000"/>
                <w:sz w:val="14"/>
                <w:szCs w:val="14"/>
              </w:rPr>
            </w:pPr>
            <w:r>
              <w:rPr>
                <w:b/>
                <w:bCs/>
                <w:color w:val="000000"/>
                <w:sz w:val="14"/>
                <w:szCs w:val="14"/>
              </w:rPr>
              <w:t>41,489.5</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i/>
                <w:iCs/>
                <w:color w:val="000000"/>
                <w:sz w:val="14"/>
                <w:szCs w:val="14"/>
              </w:rPr>
            </w:pPr>
            <w:r>
              <w:rPr>
                <w:i/>
                <w:iCs/>
                <w:color w:val="000000"/>
                <w:sz w:val="14"/>
                <w:szCs w:val="14"/>
              </w:rPr>
              <w:t>19.0</w:t>
            </w:r>
          </w:p>
        </w:tc>
        <w:tc>
          <w:tcPr>
            <w:tcW w:w="957" w:type="dxa"/>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19.0</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23.7</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23.8</w:t>
            </w:r>
          </w:p>
        </w:tc>
        <w:tc>
          <w:tcPr>
            <w:tcW w:w="922"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34.6</w:t>
            </w:r>
          </w:p>
        </w:tc>
        <w:tc>
          <w:tcPr>
            <w:tcW w:w="900"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34.7</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i/>
                <w:iCs/>
                <w:color w:val="000000"/>
                <w:sz w:val="14"/>
                <w:szCs w:val="14"/>
              </w:rPr>
            </w:pPr>
            <w:r>
              <w:rPr>
                <w:i/>
                <w:iCs/>
                <w:color w:val="000000"/>
                <w:sz w:val="14"/>
                <w:szCs w:val="14"/>
              </w:rPr>
              <w:t>86.3</w:t>
            </w:r>
          </w:p>
        </w:tc>
        <w:tc>
          <w:tcPr>
            <w:tcW w:w="957" w:type="dxa"/>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79.9</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86.2</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91.0</w:t>
            </w:r>
          </w:p>
        </w:tc>
        <w:tc>
          <w:tcPr>
            <w:tcW w:w="922"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104.3</w:t>
            </w:r>
          </w:p>
        </w:tc>
        <w:tc>
          <w:tcPr>
            <w:tcW w:w="900"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95.2</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b/>
                <w:bCs/>
                <w:color w:val="000000"/>
                <w:sz w:val="14"/>
                <w:szCs w:val="14"/>
              </w:rPr>
            </w:pPr>
            <w:r>
              <w:rPr>
                <w:b/>
                <w:bCs/>
                <w:color w:val="000000"/>
                <w:sz w:val="14"/>
                <w:szCs w:val="14"/>
              </w:rPr>
              <w:t>28,437.3</w:t>
            </w:r>
          </w:p>
        </w:tc>
        <w:tc>
          <w:tcPr>
            <w:tcW w:w="957" w:type="dxa"/>
            <w:tcBorders>
              <w:top w:val="nil"/>
              <w:left w:val="nil"/>
              <w:bottom w:val="nil"/>
              <w:right w:val="nil"/>
            </w:tcBorders>
            <w:shd w:val="clear" w:color="auto" w:fill="auto"/>
            <w:noWrap/>
            <w:vAlign w:val="center"/>
          </w:tcPr>
          <w:p w:rsidR="00581418" w:rsidRDefault="00581418" w:rsidP="00581418">
            <w:pPr>
              <w:jc w:val="right"/>
              <w:rPr>
                <w:b/>
                <w:bCs/>
                <w:color w:val="000000"/>
                <w:sz w:val="14"/>
                <w:szCs w:val="14"/>
              </w:rPr>
            </w:pPr>
            <w:r>
              <w:rPr>
                <w:b/>
                <w:bCs/>
                <w:color w:val="000000"/>
                <w:sz w:val="14"/>
                <w:szCs w:val="14"/>
              </w:rPr>
              <w:t>29,368.6</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b/>
                <w:bCs/>
                <w:color w:val="000000"/>
                <w:sz w:val="14"/>
                <w:szCs w:val="14"/>
              </w:rPr>
            </w:pPr>
            <w:r>
              <w:rPr>
                <w:b/>
                <w:bCs/>
                <w:color w:val="000000"/>
                <w:sz w:val="14"/>
                <w:szCs w:val="14"/>
              </w:rPr>
              <w:t>31,525.1</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b/>
                <w:bCs/>
                <w:color w:val="000000"/>
                <w:sz w:val="14"/>
                <w:szCs w:val="14"/>
              </w:rPr>
            </w:pPr>
            <w:r>
              <w:rPr>
                <w:b/>
                <w:bCs/>
                <w:color w:val="000000"/>
                <w:sz w:val="14"/>
                <w:szCs w:val="14"/>
              </w:rPr>
              <w:t>33,026.4</w:t>
            </w:r>
          </w:p>
        </w:tc>
        <w:tc>
          <w:tcPr>
            <w:tcW w:w="922" w:type="dxa"/>
            <w:tcBorders>
              <w:top w:val="nil"/>
              <w:left w:val="nil"/>
              <w:bottom w:val="nil"/>
              <w:right w:val="nil"/>
            </w:tcBorders>
            <w:shd w:val="clear" w:color="auto" w:fill="auto"/>
            <w:vAlign w:val="center"/>
          </w:tcPr>
          <w:p w:rsidR="00581418" w:rsidRDefault="00581418" w:rsidP="00581418">
            <w:pPr>
              <w:jc w:val="right"/>
              <w:rPr>
                <w:b/>
                <w:bCs/>
                <w:color w:val="000000"/>
                <w:sz w:val="14"/>
                <w:szCs w:val="14"/>
              </w:rPr>
            </w:pPr>
            <w:r>
              <w:rPr>
                <w:b/>
                <w:bCs/>
                <w:color w:val="000000"/>
                <w:sz w:val="14"/>
                <w:szCs w:val="14"/>
              </w:rPr>
              <w:t>37,756.5</w:t>
            </w:r>
          </w:p>
        </w:tc>
        <w:tc>
          <w:tcPr>
            <w:tcW w:w="900" w:type="dxa"/>
            <w:tcBorders>
              <w:top w:val="nil"/>
              <w:left w:val="nil"/>
              <w:bottom w:val="nil"/>
              <w:right w:val="nil"/>
            </w:tcBorders>
            <w:shd w:val="clear" w:color="auto" w:fill="auto"/>
            <w:vAlign w:val="center"/>
          </w:tcPr>
          <w:p w:rsidR="00581418" w:rsidRDefault="00581418" w:rsidP="00581418">
            <w:pPr>
              <w:jc w:val="right"/>
              <w:rPr>
                <w:b/>
                <w:bCs/>
                <w:color w:val="000000"/>
                <w:sz w:val="14"/>
                <w:szCs w:val="14"/>
              </w:rPr>
            </w:pPr>
            <w:r>
              <w:rPr>
                <w:b/>
                <w:bCs/>
                <w:color w:val="000000"/>
                <w:sz w:val="14"/>
                <w:szCs w:val="14"/>
              </w:rPr>
              <w:t>39,129.6</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i/>
                <w:iCs/>
                <w:color w:val="000000"/>
                <w:sz w:val="14"/>
                <w:szCs w:val="14"/>
              </w:rPr>
            </w:pPr>
            <w:r>
              <w:rPr>
                <w:i/>
                <w:iCs/>
                <w:color w:val="000000"/>
                <w:sz w:val="14"/>
                <w:szCs w:val="14"/>
              </w:rPr>
              <w:t>18.2</w:t>
            </w:r>
          </w:p>
        </w:tc>
        <w:tc>
          <w:tcPr>
            <w:tcW w:w="957" w:type="dxa"/>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18.2</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22.3</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21.0</w:t>
            </w:r>
          </w:p>
        </w:tc>
        <w:tc>
          <w:tcPr>
            <w:tcW w:w="922"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32.8</w:t>
            </w:r>
          </w:p>
        </w:tc>
        <w:tc>
          <w:tcPr>
            <w:tcW w:w="900"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33.2</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i/>
                <w:iCs/>
                <w:color w:val="000000"/>
                <w:sz w:val="14"/>
                <w:szCs w:val="14"/>
              </w:rPr>
            </w:pPr>
            <w:r>
              <w:rPr>
                <w:i/>
                <w:iCs/>
                <w:color w:val="000000"/>
                <w:sz w:val="14"/>
                <w:szCs w:val="14"/>
              </w:rPr>
              <w:t>82.1</w:t>
            </w:r>
          </w:p>
        </w:tc>
        <w:tc>
          <w:tcPr>
            <w:tcW w:w="957" w:type="dxa"/>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76.2</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81.8</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85.7</w:t>
            </w:r>
          </w:p>
        </w:tc>
        <w:tc>
          <w:tcPr>
            <w:tcW w:w="922"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97.9</w:t>
            </w:r>
          </w:p>
        </w:tc>
        <w:tc>
          <w:tcPr>
            <w:tcW w:w="900"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89.8</w:t>
            </w:r>
          </w:p>
        </w:tc>
      </w:tr>
      <w:tr w:rsidR="00581418" w:rsidRPr="006D5F74" w:rsidTr="002B1429">
        <w:trPr>
          <w:trHeight w:hRule="exact" w:val="81"/>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581418" w:rsidRDefault="00581418" w:rsidP="00581418">
            <w:pPr>
              <w:jc w:val="right"/>
              <w:rPr>
                <w:i/>
                <w:iCs/>
                <w:color w:val="000000"/>
                <w:sz w:val="14"/>
                <w:szCs w:val="14"/>
              </w:rPr>
            </w:pPr>
          </w:p>
        </w:tc>
        <w:tc>
          <w:tcPr>
            <w:tcW w:w="957" w:type="dxa"/>
            <w:tcBorders>
              <w:top w:val="nil"/>
              <w:left w:val="nil"/>
              <w:bottom w:val="nil"/>
              <w:right w:val="nil"/>
            </w:tcBorders>
            <w:shd w:val="clear" w:color="auto" w:fill="auto"/>
            <w:noWrap/>
            <w:vAlign w:val="center"/>
          </w:tcPr>
          <w:p w:rsidR="00581418" w:rsidRDefault="00581418" w:rsidP="00581418">
            <w:pPr>
              <w:jc w:val="right"/>
            </w:pPr>
          </w:p>
        </w:tc>
        <w:tc>
          <w:tcPr>
            <w:tcW w:w="979" w:type="dxa"/>
            <w:gridSpan w:val="2"/>
            <w:tcBorders>
              <w:top w:val="nil"/>
              <w:left w:val="nil"/>
              <w:bottom w:val="nil"/>
              <w:right w:val="nil"/>
            </w:tcBorders>
            <w:shd w:val="clear" w:color="auto" w:fill="auto"/>
            <w:noWrap/>
            <w:vAlign w:val="center"/>
          </w:tcPr>
          <w:p w:rsidR="00581418" w:rsidRDefault="00581418" w:rsidP="00581418">
            <w:pPr>
              <w:jc w:val="right"/>
            </w:pPr>
          </w:p>
        </w:tc>
        <w:tc>
          <w:tcPr>
            <w:tcW w:w="856" w:type="dxa"/>
            <w:gridSpan w:val="2"/>
            <w:tcBorders>
              <w:top w:val="nil"/>
              <w:left w:val="nil"/>
              <w:bottom w:val="nil"/>
              <w:right w:val="nil"/>
            </w:tcBorders>
            <w:shd w:val="clear" w:color="auto" w:fill="auto"/>
            <w:noWrap/>
            <w:vAlign w:val="center"/>
          </w:tcPr>
          <w:p w:rsidR="00581418" w:rsidRDefault="00581418" w:rsidP="00581418">
            <w:pPr>
              <w:jc w:val="right"/>
            </w:pPr>
          </w:p>
        </w:tc>
        <w:tc>
          <w:tcPr>
            <w:tcW w:w="922" w:type="dxa"/>
            <w:tcBorders>
              <w:top w:val="nil"/>
              <w:left w:val="nil"/>
              <w:bottom w:val="nil"/>
              <w:right w:val="nil"/>
            </w:tcBorders>
            <w:shd w:val="clear" w:color="auto" w:fill="auto"/>
            <w:vAlign w:val="center"/>
          </w:tcPr>
          <w:p w:rsidR="00581418" w:rsidRDefault="00581418" w:rsidP="00581418">
            <w:pPr>
              <w:jc w:val="right"/>
            </w:pPr>
          </w:p>
        </w:tc>
        <w:tc>
          <w:tcPr>
            <w:tcW w:w="900"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color w:val="000000"/>
                <w:sz w:val="14"/>
                <w:szCs w:val="14"/>
              </w:rPr>
            </w:pPr>
            <w:r>
              <w:rPr>
                <w:color w:val="000000"/>
                <w:sz w:val="14"/>
                <w:szCs w:val="14"/>
              </w:rPr>
              <w:t>16,416.3</w:t>
            </w:r>
          </w:p>
        </w:tc>
        <w:tc>
          <w:tcPr>
            <w:tcW w:w="957" w:type="dxa"/>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16,919.8</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17,535.7</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18,170.6</w:t>
            </w:r>
          </w:p>
        </w:tc>
        <w:tc>
          <w:tcPr>
            <w:tcW w:w="922"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20,731.8</w:t>
            </w:r>
          </w:p>
        </w:tc>
        <w:tc>
          <w:tcPr>
            <w:tcW w:w="900"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22,649.9</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color w:val="000000"/>
                <w:sz w:val="14"/>
                <w:szCs w:val="14"/>
              </w:rPr>
            </w:pPr>
            <w:r>
              <w:rPr>
                <w:color w:val="000000"/>
                <w:sz w:val="14"/>
                <w:szCs w:val="14"/>
              </w:rPr>
              <w:t>1,068.2</w:t>
            </w:r>
          </w:p>
        </w:tc>
        <w:tc>
          <w:tcPr>
            <w:tcW w:w="957" w:type="dxa"/>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1,128.9</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1,213.3</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1,378.4</w:t>
            </w:r>
          </w:p>
        </w:tc>
        <w:tc>
          <w:tcPr>
            <w:tcW w:w="922"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1,394.2</w:t>
            </w:r>
          </w:p>
        </w:tc>
        <w:tc>
          <w:tcPr>
            <w:tcW w:w="900"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1,392.2</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sz w:val="16"/>
                <w:szCs w:val="16"/>
              </w:rPr>
            </w:pPr>
            <w:r w:rsidRPr="006D5F74">
              <w:rPr>
                <w:sz w:val="16"/>
              </w:rPr>
              <w:t>C. External Debt (a+b+c+d)</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color w:val="000000"/>
                <w:sz w:val="14"/>
                <w:szCs w:val="14"/>
              </w:rPr>
            </w:pPr>
            <w:r>
              <w:rPr>
                <w:color w:val="000000"/>
                <w:sz w:val="14"/>
                <w:szCs w:val="14"/>
              </w:rPr>
              <w:t>10,952.9</w:t>
            </w:r>
          </w:p>
        </w:tc>
        <w:tc>
          <w:tcPr>
            <w:tcW w:w="957" w:type="dxa"/>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11,319.9</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12,776.1</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13,477.4</w:t>
            </w:r>
          </w:p>
        </w:tc>
        <w:tc>
          <w:tcPr>
            <w:tcW w:w="922"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15,630.5</w:t>
            </w:r>
          </w:p>
        </w:tc>
        <w:tc>
          <w:tcPr>
            <w:tcW w:w="900"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15,087.5</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color w:val="000000"/>
                <w:sz w:val="14"/>
                <w:szCs w:val="14"/>
              </w:rPr>
            </w:pPr>
            <w:r>
              <w:rPr>
                <w:color w:val="000000"/>
                <w:sz w:val="14"/>
                <w:szCs w:val="14"/>
              </w:rPr>
              <w:t>7,795.8</w:t>
            </w:r>
          </w:p>
        </w:tc>
        <w:tc>
          <w:tcPr>
            <w:tcW w:w="957" w:type="dxa"/>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8,122.9</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9,101.1</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9,625.7</w:t>
            </w:r>
          </w:p>
        </w:tc>
        <w:tc>
          <w:tcPr>
            <w:tcW w:w="922"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11,055.1</w:t>
            </w:r>
          </w:p>
        </w:tc>
        <w:tc>
          <w:tcPr>
            <w:tcW w:w="900"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10,598.0</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color w:val="000000"/>
                <w:sz w:val="14"/>
                <w:szCs w:val="14"/>
              </w:rPr>
            </w:pPr>
            <w:r>
              <w:rPr>
                <w:color w:val="000000"/>
                <w:sz w:val="14"/>
                <w:szCs w:val="14"/>
              </w:rPr>
              <w:t>1,979.1</w:t>
            </w:r>
          </w:p>
        </w:tc>
        <w:tc>
          <w:tcPr>
            <w:tcW w:w="957" w:type="dxa"/>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2,048.8</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2,425.1</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2,596.3</w:t>
            </w:r>
          </w:p>
        </w:tc>
        <w:tc>
          <w:tcPr>
            <w:tcW w:w="922"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3,119.9</w:t>
            </w:r>
          </w:p>
        </w:tc>
        <w:tc>
          <w:tcPr>
            <w:tcW w:w="900"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2,978.9</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color w:val="000000"/>
                <w:sz w:val="14"/>
                <w:szCs w:val="14"/>
              </w:rPr>
            </w:pPr>
            <w:r>
              <w:rPr>
                <w:color w:val="000000"/>
                <w:sz w:val="14"/>
                <w:szCs w:val="14"/>
              </w:rPr>
              <w:t>740.8</w:t>
            </w:r>
          </w:p>
        </w:tc>
        <w:tc>
          <w:tcPr>
            <w:tcW w:w="957" w:type="dxa"/>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740.7</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819.0</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811.2</w:t>
            </w:r>
          </w:p>
        </w:tc>
        <w:tc>
          <w:tcPr>
            <w:tcW w:w="922"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921.0</w:t>
            </w:r>
          </w:p>
        </w:tc>
        <w:tc>
          <w:tcPr>
            <w:tcW w:w="900"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992.7</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color w:val="000000"/>
                <w:sz w:val="14"/>
                <w:szCs w:val="14"/>
              </w:rPr>
            </w:pPr>
            <w:r>
              <w:rPr>
                <w:color w:val="000000"/>
                <w:sz w:val="14"/>
                <w:szCs w:val="14"/>
              </w:rPr>
              <w:t>437.2</w:t>
            </w:r>
          </w:p>
        </w:tc>
        <w:tc>
          <w:tcPr>
            <w:tcW w:w="957" w:type="dxa"/>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407.5</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430.8</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444.2</w:t>
            </w:r>
          </w:p>
        </w:tc>
        <w:tc>
          <w:tcPr>
            <w:tcW w:w="922"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534.5</w:t>
            </w:r>
          </w:p>
        </w:tc>
        <w:tc>
          <w:tcPr>
            <w:tcW w:w="900"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517.9</w:t>
            </w:r>
          </w:p>
        </w:tc>
      </w:tr>
      <w:tr w:rsidR="00581418" w:rsidRPr="006D5F74" w:rsidTr="002B1429">
        <w:trPr>
          <w:trHeight w:hRule="exact" w:val="91"/>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sz w:val="16"/>
              </w:rPr>
            </w:pPr>
          </w:p>
        </w:tc>
        <w:tc>
          <w:tcPr>
            <w:tcW w:w="945" w:type="dxa"/>
            <w:tcBorders>
              <w:top w:val="nil"/>
              <w:left w:val="nil"/>
              <w:bottom w:val="nil"/>
              <w:right w:val="nil"/>
            </w:tcBorders>
            <w:shd w:val="clear" w:color="auto" w:fill="auto"/>
            <w:noWrap/>
            <w:vAlign w:val="center"/>
            <w:hideMark/>
          </w:tcPr>
          <w:p w:rsidR="00581418" w:rsidRDefault="00581418" w:rsidP="00581418">
            <w:pPr>
              <w:jc w:val="right"/>
              <w:rPr>
                <w:color w:val="000000"/>
                <w:sz w:val="14"/>
                <w:szCs w:val="14"/>
              </w:rPr>
            </w:pPr>
          </w:p>
        </w:tc>
        <w:tc>
          <w:tcPr>
            <w:tcW w:w="957" w:type="dxa"/>
            <w:tcBorders>
              <w:top w:val="nil"/>
              <w:left w:val="nil"/>
              <w:bottom w:val="nil"/>
              <w:right w:val="nil"/>
            </w:tcBorders>
            <w:shd w:val="clear" w:color="auto" w:fill="auto"/>
            <w:noWrap/>
            <w:vAlign w:val="center"/>
          </w:tcPr>
          <w:p w:rsidR="00581418" w:rsidRDefault="00581418" w:rsidP="00581418">
            <w:pPr>
              <w:jc w:val="right"/>
            </w:pPr>
          </w:p>
        </w:tc>
        <w:tc>
          <w:tcPr>
            <w:tcW w:w="979" w:type="dxa"/>
            <w:gridSpan w:val="2"/>
            <w:tcBorders>
              <w:top w:val="nil"/>
              <w:left w:val="nil"/>
              <w:bottom w:val="nil"/>
              <w:right w:val="nil"/>
            </w:tcBorders>
            <w:shd w:val="clear" w:color="auto" w:fill="auto"/>
            <w:noWrap/>
            <w:vAlign w:val="center"/>
          </w:tcPr>
          <w:p w:rsidR="00581418" w:rsidRDefault="00581418" w:rsidP="00581418">
            <w:pPr>
              <w:jc w:val="right"/>
            </w:pPr>
          </w:p>
        </w:tc>
        <w:tc>
          <w:tcPr>
            <w:tcW w:w="856" w:type="dxa"/>
            <w:gridSpan w:val="2"/>
            <w:tcBorders>
              <w:top w:val="nil"/>
              <w:left w:val="nil"/>
              <w:bottom w:val="nil"/>
              <w:right w:val="nil"/>
            </w:tcBorders>
            <w:shd w:val="clear" w:color="auto" w:fill="auto"/>
            <w:noWrap/>
            <w:vAlign w:val="center"/>
          </w:tcPr>
          <w:p w:rsidR="00581418" w:rsidRDefault="00581418" w:rsidP="00581418">
            <w:pPr>
              <w:jc w:val="right"/>
            </w:pPr>
          </w:p>
        </w:tc>
        <w:tc>
          <w:tcPr>
            <w:tcW w:w="922" w:type="dxa"/>
            <w:tcBorders>
              <w:top w:val="nil"/>
              <w:left w:val="nil"/>
              <w:bottom w:val="nil"/>
              <w:right w:val="nil"/>
            </w:tcBorders>
            <w:shd w:val="clear" w:color="auto" w:fill="auto"/>
            <w:vAlign w:val="center"/>
          </w:tcPr>
          <w:p w:rsidR="00581418" w:rsidRDefault="00581418" w:rsidP="00581418">
            <w:pPr>
              <w:jc w:val="right"/>
            </w:pPr>
          </w:p>
        </w:tc>
        <w:tc>
          <w:tcPr>
            <w:tcW w:w="900"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b/>
                <w:bCs/>
                <w:color w:val="000000"/>
                <w:sz w:val="14"/>
                <w:szCs w:val="14"/>
              </w:rPr>
            </w:pPr>
            <w:r>
              <w:rPr>
                <w:b/>
                <w:bCs/>
                <w:color w:val="000000"/>
                <w:sz w:val="14"/>
                <w:szCs w:val="14"/>
              </w:rPr>
              <w:t>1,442.0</w:t>
            </w:r>
          </w:p>
        </w:tc>
        <w:tc>
          <w:tcPr>
            <w:tcW w:w="957" w:type="dxa"/>
            <w:tcBorders>
              <w:top w:val="nil"/>
              <w:left w:val="nil"/>
              <w:bottom w:val="nil"/>
              <w:right w:val="nil"/>
            </w:tcBorders>
            <w:shd w:val="clear" w:color="auto" w:fill="auto"/>
            <w:noWrap/>
            <w:vAlign w:val="center"/>
          </w:tcPr>
          <w:p w:rsidR="00581418" w:rsidRDefault="00581418" w:rsidP="00581418">
            <w:pPr>
              <w:jc w:val="right"/>
              <w:rPr>
                <w:b/>
                <w:bCs/>
                <w:color w:val="000000"/>
                <w:sz w:val="14"/>
                <w:szCs w:val="14"/>
              </w:rPr>
            </w:pPr>
            <w:r>
              <w:rPr>
                <w:b/>
                <w:bCs/>
                <w:color w:val="000000"/>
                <w:sz w:val="14"/>
                <w:szCs w:val="14"/>
              </w:rPr>
              <w:t>1,429.6</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b/>
                <w:bCs/>
                <w:color w:val="000000"/>
                <w:sz w:val="14"/>
                <w:szCs w:val="14"/>
              </w:rPr>
            </w:pPr>
            <w:r>
              <w:rPr>
                <w:b/>
                <w:bCs/>
                <w:color w:val="000000"/>
                <w:sz w:val="14"/>
                <w:szCs w:val="14"/>
              </w:rPr>
              <w:t>1,704.3</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b/>
                <w:bCs/>
                <w:color w:val="000000"/>
                <w:sz w:val="14"/>
                <w:szCs w:val="14"/>
              </w:rPr>
            </w:pPr>
            <w:r>
              <w:rPr>
                <w:b/>
                <w:bCs/>
                <w:color w:val="000000"/>
                <w:sz w:val="14"/>
                <w:szCs w:val="14"/>
              </w:rPr>
              <w:t>2,067.9</w:t>
            </w:r>
          </w:p>
        </w:tc>
        <w:tc>
          <w:tcPr>
            <w:tcW w:w="922" w:type="dxa"/>
            <w:tcBorders>
              <w:top w:val="nil"/>
              <w:left w:val="nil"/>
              <w:bottom w:val="nil"/>
              <w:right w:val="nil"/>
            </w:tcBorders>
            <w:shd w:val="clear" w:color="auto" w:fill="auto"/>
            <w:vAlign w:val="center"/>
          </w:tcPr>
          <w:p w:rsidR="00581418" w:rsidRDefault="00581418" w:rsidP="00581418">
            <w:pPr>
              <w:jc w:val="right"/>
              <w:rPr>
                <w:b/>
                <w:bCs/>
                <w:color w:val="000000"/>
                <w:sz w:val="14"/>
                <w:szCs w:val="14"/>
              </w:rPr>
            </w:pPr>
            <w:r>
              <w:rPr>
                <w:b/>
                <w:bCs/>
                <w:color w:val="000000"/>
                <w:sz w:val="14"/>
                <w:szCs w:val="14"/>
              </w:rPr>
              <w:t>2,466.5</w:t>
            </w:r>
          </w:p>
        </w:tc>
        <w:tc>
          <w:tcPr>
            <w:tcW w:w="900" w:type="dxa"/>
            <w:tcBorders>
              <w:top w:val="nil"/>
              <w:left w:val="nil"/>
              <w:bottom w:val="nil"/>
              <w:right w:val="nil"/>
            </w:tcBorders>
            <w:shd w:val="clear" w:color="auto" w:fill="auto"/>
            <w:vAlign w:val="center"/>
          </w:tcPr>
          <w:p w:rsidR="00581418" w:rsidRDefault="00581418" w:rsidP="00581418">
            <w:pPr>
              <w:jc w:val="right"/>
              <w:rPr>
                <w:b/>
                <w:bCs/>
                <w:color w:val="000000"/>
                <w:sz w:val="14"/>
                <w:szCs w:val="14"/>
              </w:rPr>
            </w:pPr>
            <w:r>
              <w:rPr>
                <w:b/>
                <w:bCs/>
                <w:color w:val="000000"/>
                <w:sz w:val="14"/>
                <w:szCs w:val="14"/>
              </w:rPr>
              <w:t>2,359.9</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i/>
                <w:iCs/>
                <w:color w:val="000000"/>
                <w:sz w:val="14"/>
                <w:szCs w:val="14"/>
              </w:rPr>
            </w:pPr>
            <w:r>
              <w:rPr>
                <w:i/>
                <w:iCs/>
                <w:color w:val="000000"/>
                <w:sz w:val="14"/>
                <w:szCs w:val="14"/>
              </w:rPr>
              <w:t>36.0</w:t>
            </w:r>
          </w:p>
        </w:tc>
        <w:tc>
          <w:tcPr>
            <w:tcW w:w="957" w:type="dxa"/>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38.7</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58.5</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95.0</w:t>
            </w:r>
          </w:p>
        </w:tc>
        <w:tc>
          <w:tcPr>
            <w:tcW w:w="922"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71.0</w:t>
            </w:r>
          </w:p>
        </w:tc>
        <w:tc>
          <w:tcPr>
            <w:tcW w:w="900"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65.1</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i/>
                <w:iCs/>
                <w:color w:val="000000"/>
                <w:sz w:val="14"/>
                <w:szCs w:val="14"/>
              </w:rPr>
            </w:pPr>
            <w:r>
              <w:rPr>
                <w:i/>
                <w:iCs/>
                <w:color w:val="000000"/>
                <w:sz w:val="14"/>
                <w:szCs w:val="14"/>
              </w:rPr>
              <w:t>4.2</w:t>
            </w:r>
          </w:p>
        </w:tc>
        <w:tc>
          <w:tcPr>
            <w:tcW w:w="957" w:type="dxa"/>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3.7</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4.4</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i/>
                <w:iCs/>
                <w:color w:val="000000"/>
                <w:sz w:val="14"/>
                <w:szCs w:val="14"/>
              </w:rPr>
            </w:pPr>
            <w:r>
              <w:rPr>
                <w:i/>
                <w:iCs/>
                <w:color w:val="000000"/>
                <w:sz w:val="14"/>
                <w:szCs w:val="14"/>
              </w:rPr>
              <w:t>5.4</w:t>
            </w:r>
          </w:p>
        </w:tc>
        <w:tc>
          <w:tcPr>
            <w:tcW w:w="922"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6.4</w:t>
            </w:r>
          </w:p>
        </w:tc>
        <w:tc>
          <w:tcPr>
            <w:tcW w:w="900" w:type="dxa"/>
            <w:tcBorders>
              <w:top w:val="nil"/>
              <w:left w:val="nil"/>
              <w:bottom w:val="nil"/>
              <w:right w:val="nil"/>
            </w:tcBorders>
            <w:shd w:val="clear" w:color="auto" w:fill="auto"/>
            <w:vAlign w:val="center"/>
          </w:tcPr>
          <w:p w:rsidR="00581418" w:rsidRDefault="00581418" w:rsidP="00581418">
            <w:pPr>
              <w:jc w:val="right"/>
              <w:rPr>
                <w:i/>
                <w:iCs/>
                <w:color w:val="000000"/>
                <w:sz w:val="14"/>
                <w:szCs w:val="14"/>
              </w:rPr>
            </w:pPr>
            <w:r>
              <w:rPr>
                <w:i/>
                <w:iCs/>
                <w:color w:val="000000"/>
                <w:sz w:val="14"/>
                <w:szCs w:val="14"/>
              </w:rPr>
              <w:t>5.4</w:t>
            </w:r>
          </w:p>
        </w:tc>
      </w:tr>
      <w:tr w:rsidR="00581418" w:rsidRPr="006D5F74" w:rsidTr="002B1429">
        <w:trPr>
          <w:trHeight w:hRule="exact" w:val="176"/>
        </w:trPr>
        <w:tc>
          <w:tcPr>
            <w:tcW w:w="4539" w:type="dxa"/>
            <w:tcBorders>
              <w:top w:val="nil"/>
              <w:left w:val="nil"/>
              <w:bottom w:val="nil"/>
              <w:right w:val="nil"/>
            </w:tcBorders>
            <w:shd w:val="clear" w:color="auto" w:fill="auto"/>
            <w:noWrap/>
            <w:vAlign w:val="center"/>
            <w:hideMark/>
          </w:tcPr>
          <w:p w:rsidR="00581418" w:rsidRPr="006D5F74" w:rsidRDefault="00581418" w:rsidP="00581418">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581418" w:rsidRDefault="00581418" w:rsidP="00581418">
            <w:pPr>
              <w:jc w:val="right"/>
              <w:rPr>
                <w:color w:val="000000"/>
                <w:sz w:val="14"/>
                <w:szCs w:val="14"/>
              </w:rPr>
            </w:pPr>
            <w:r>
              <w:rPr>
                <w:color w:val="000000"/>
                <w:sz w:val="14"/>
                <w:szCs w:val="14"/>
              </w:rPr>
              <w:t>622.3</w:t>
            </w:r>
          </w:p>
        </w:tc>
        <w:tc>
          <w:tcPr>
            <w:tcW w:w="957" w:type="dxa"/>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620.7</w:t>
            </w:r>
          </w:p>
        </w:tc>
        <w:tc>
          <w:tcPr>
            <w:tcW w:w="979"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970.0</w:t>
            </w:r>
          </w:p>
        </w:tc>
        <w:tc>
          <w:tcPr>
            <w:tcW w:w="856" w:type="dxa"/>
            <w:gridSpan w:val="2"/>
            <w:tcBorders>
              <w:top w:val="nil"/>
              <w:left w:val="nil"/>
              <w:bottom w:val="nil"/>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1,414.3</w:t>
            </w:r>
          </w:p>
        </w:tc>
        <w:tc>
          <w:tcPr>
            <w:tcW w:w="922"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1,710.1</w:t>
            </w:r>
          </w:p>
        </w:tc>
        <w:tc>
          <w:tcPr>
            <w:tcW w:w="900" w:type="dxa"/>
            <w:tcBorders>
              <w:top w:val="nil"/>
              <w:left w:val="nil"/>
              <w:bottom w:val="nil"/>
              <w:right w:val="nil"/>
            </w:tcBorders>
            <w:shd w:val="clear" w:color="auto" w:fill="auto"/>
            <w:vAlign w:val="center"/>
          </w:tcPr>
          <w:p w:rsidR="00581418" w:rsidRDefault="00581418" w:rsidP="00581418">
            <w:pPr>
              <w:jc w:val="right"/>
              <w:rPr>
                <w:color w:val="000000"/>
                <w:sz w:val="14"/>
                <w:szCs w:val="14"/>
              </w:rPr>
            </w:pPr>
            <w:r>
              <w:rPr>
                <w:color w:val="000000"/>
                <w:sz w:val="14"/>
                <w:szCs w:val="14"/>
              </w:rPr>
              <w:t>1,619.1</w:t>
            </w:r>
          </w:p>
        </w:tc>
      </w:tr>
      <w:tr w:rsidR="00581418" w:rsidRPr="006D5F74"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rsidR="00581418" w:rsidRPr="006D5F74" w:rsidRDefault="00581418" w:rsidP="00581418">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581418" w:rsidRDefault="00581418" w:rsidP="00581418">
            <w:pPr>
              <w:jc w:val="right"/>
              <w:rPr>
                <w:color w:val="000000"/>
                <w:sz w:val="14"/>
                <w:szCs w:val="14"/>
              </w:rPr>
            </w:pPr>
            <w:r>
              <w:rPr>
                <w:color w:val="000000"/>
                <w:sz w:val="14"/>
                <w:szCs w:val="14"/>
              </w:rPr>
              <w:t>819.7</w:t>
            </w:r>
          </w:p>
        </w:tc>
        <w:tc>
          <w:tcPr>
            <w:tcW w:w="957" w:type="dxa"/>
            <w:tcBorders>
              <w:top w:val="nil"/>
              <w:left w:val="nil"/>
              <w:bottom w:val="single" w:sz="8" w:space="0" w:color="auto"/>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808.9</w:t>
            </w:r>
          </w:p>
        </w:tc>
        <w:tc>
          <w:tcPr>
            <w:tcW w:w="979" w:type="dxa"/>
            <w:gridSpan w:val="2"/>
            <w:tcBorders>
              <w:top w:val="nil"/>
              <w:left w:val="nil"/>
              <w:bottom w:val="single" w:sz="8" w:space="0" w:color="auto"/>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734.3</w:t>
            </w:r>
          </w:p>
        </w:tc>
        <w:tc>
          <w:tcPr>
            <w:tcW w:w="856" w:type="dxa"/>
            <w:gridSpan w:val="2"/>
            <w:tcBorders>
              <w:top w:val="nil"/>
              <w:left w:val="nil"/>
              <w:bottom w:val="single" w:sz="8" w:space="0" w:color="auto"/>
              <w:right w:val="nil"/>
            </w:tcBorders>
            <w:shd w:val="clear" w:color="auto" w:fill="auto"/>
            <w:noWrap/>
            <w:vAlign w:val="center"/>
          </w:tcPr>
          <w:p w:rsidR="00581418" w:rsidRDefault="00581418" w:rsidP="00581418">
            <w:pPr>
              <w:jc w:val="right"/>
              <w:rPr>
                <w:color w:val="000000"/>
                <w:sz w:val="14"/>
                <w:szCs w:val="14"/>
              </w:rPr>
            </w:pPr>
            <w:r>
              <w:rPr>
                <w:color w:val="000000"/>
                <w:sz w:val="14"/>
                <w:szCs w:val="14"/>
              </w:rPr>
              <w:t>653.6</w:t>
            </w:r>
          </w:p>
        </w:tc>
        <w:tc>
          <w:tcPr>
            <w:tcW w:w="922" w:type="dxa"/>
            <w:tcBorders>
              <w:top w:val="nil"/>
              <w:left w:val="nil"/>
              <w:bottom w:val="single" w:sz="8" w:space="0" w:color="auto"/>
              <w:right w:val="nil"/>
            </w:tcBorders>
            <w:shd w:val="clear" w:color="auto" w:fill="auto"/>
            <w:vAlign w:val="center"/>
          </w:tcPr>
          <w:p w:rsidR="00581418" w:rsidRDefault="00581418" w:rsidP="00581418">
            <w:pPr>
              <w:jc w:val="right"/>
              <w:rPr>
                <w:color w:val="000000"/>
                <w:sz w:val="14"/>
                <w:szCs w:val="14"/>
              </w:rPr>
            </w:pPr>
            <w:r>
              <w:rPr>
                <w:color w:val="000000"/>
                <w:sz w:val="14"/>
                <w:szCs w:val="14"/>
              </w:rPr>
              <w:t>756.4</w:t>
            </w:r>
          </w:p>
        </w:tc>
        <w:tc>
          <w:tcPr>
            <w:tcW w:w="900" w:type="dxa"/>
            <w:tcBorders>
              <w:top w:val="nil"/>
              <w:left w:val="nil"/>
              <w:bottom w:val="single" w:sz="8" w:space="0" w:color="auto"/>
              <w:right w:val="nil"/>
            </w:tcBorders>
            <w:shd w:val="clear" w:color="auto" w:fill="auto"/>
            <w:vAlign w:val="center"/>
          </w:tcPr>
          <w:p w:rsidR="00581418" w:rsidRDefault="00581418" w:rsidP="00581418">
            <w:pPr>
              <w:jc w:val="right"/>
              <w:rPr>
                <w:color w:val="000000"/>
                <w:sz w:val="14"/>
                <w:szCs w:val="14"/>
              </w:rPr>
            </w:pPr>
            <w:r>
              <w:rPr>
                <w:color w:val="000000"/>
                <w:sz w:val="14"/>
                <w:szCs w:val="14"/>
              </w:rPr>
              <w:t>740.8</w:t>
            </w:r>
          </w:p>
        </w:tc>
      </w:tr>
      <w:tr w:rsidR="00581418" w:rsidRPr="006D5F74" w:rsidTr="00691454">
        <w:trPr>
          <w:trHeight w:hRule="exact" w:val="194"/>
        </w:trPr>
        <w:tc>
          <w:tcPr>
            <w:tcW w:w="4539" w:type="dxa"/>
            <w:vMerge w:val="restart"/>
            <w:tcBorders>
              <w:top w:val="single" w:sz="8" w:space="0" w:color="auto"/>
              <w:left w:val="nil"/>
              <w:right w:val="nil"/>
            </w:tcBorders>
            <w:shd w:val="clear" w:color="auto" w:fill="auto"/>
            <w:noWrap/>
            <w:vAlign w:val="center"/>
            <w:hideMark/>
          </w:tcPr>
          <w:p w:rsidR="00581418" w:rsidRPr="006D5F74" w:rsidRDefault="00581418" w:rsidP="00581418">
            <w:pPr>
              <w:ind w:firstLineChars="100" w:firstLine="161"/>
              <w:rPr>
                <w:b/>
                <w:bCs/>
                <w:sz w:val="16"/>
              </w:rPr>
            </w:pPr>
            <w:r w:rsidRPr="006D5F74">
              <w:rPr>
                <w:b/>
                <w:bCs/>
                <w:sz w:val="16"/>
              </w:rPr>
              <w:t>GDP (mp)</w:t>
            </w:r>
          </w:p>
        </w:tc>
        <w:tc>
          <w:tcPr>
            <w:tcW w:w="945" w:type="dxa"/>
            <w:tcBorders>
              <w:top w:val="single" w:sz="4" w:space="0" w:color="auto"/>
              <w:left w:val="nil"/>
              <w:right w:val="nil"/>
            </w:tcBorders>
            <w:shd w:val="clear" w:color="auto" w:fill="auto"/>
            <w:noWrap/>
            <w:vAlign w:val="center"/>
            <w:hideMark/>
          </w:tcPr>
          <w:p w:rsidR="00581418" w:rsidRPr="006D5F74" w:rsidRDefault="00581418" w:rsidP="00581418">
            <w:pPr>
              <w:jc w:val="right"/>
              <w:rPr>
                <w:b/>
                <w:bCs/>
                <w:sz w:val="14"/>
                <w:szCs w:val="14"/>
              </w:rPr>
            </w:pPr>
            <w:r>
              <w:rPr>
                <w:b/>
                <w:bCs/>
                <w:sz w:val="14"/>
                <w:szCs w:val="14"/>
              </w:rPr>
              <w:t>FY18</w:t>
            </w:r>
            <w:r w:rsidRPr="008470C9">
              <w:rPr>
                <w:b/>
                <w:bCs/>
                <w:sz w:val="14"/>
                <w:szCs w:val="14"/>
                <w:vertAlign w:val="superscript"/>
              </w:rPr>
              <w:t>P</w:t>
            </w:r>
          </w:p>
        </w:tc>
        <w:tc>
          <w:tcPr>
            <w:tcW w:w="957" w:type="dxa"/>
            <w:tcBorders>
              <w:top w:val="single" w:sz="4" w:space="0" w:color="auto"/>
              <w:left w:val="nil"/>
              <w:right w:val="nil"/>
            </w:tcBorders>
            <w:shd w:val="clear" w:color="auto" w:fill="auto"/>
            <w:vAlign w:val="center"/>
          </w:tcPr>
          <w:p w:rsidR="00581418" w:rsidRPr="00043967" w:rsidRDefault="00581418" w:rsidP="00581418">
            <w:pPr>
              <w:jc w:val="right"/>
              <w:rPr>
                <w:b/>
                <w:bCs/>
                <w:sz w:val="14"/>
                <w:szCs w:val="14"/>
              </w:rPr>
            </w:pPr>
            <w:r w:rsidRPr="00043967">
              <w:rPr>
                <w:b/>
                <w:bCs/>
                <w:sz w:val="14"/>
                <w:szCs w:val="14"/>
              </w:rPr>
              <w:t>FY19</w:t>
            </w:r>
            <w:r>
              <w:rPr>
                <w:b/>
                <w:bCs/>
                <w:sz w:val="14"/>
                <w:szCs w:val="14"/>
                <w:vertAlign w:val="superscript"/>
              </w:rPr>
              <w:t>P</w:t>
            </w:r>
          </w:p>
        </w:tc>
        <w:tc>
          <w:tcPr>
            <w:tcW w:w="979" w:type="dxa"/>
            <w:gridSpan w:val="2"/>
            <w:tcBorders>
              <w:top w:val="single" w:sz="4" w:space="0" w:color="auto"/>
              <w:left w:val="nil"/>
              <w:right w:val="nil"/>
            </w:tcBorders>
            <w:shd w:val="clear" w:color="auto" w:fill="auto"/>
          </w:tcPr>
          <w:p w:rsidR="00581418" w:rsidRDefault="00581418" w:rsidP="00581418">
            <w:pPr>
              <w:jc w:val="right"/>
            </w:pPr>
            <w:r w:rsidRPr="0025339E">
              <w:rPr>
                <w:b/>
                <w:bCs/>
                <w:sz w:val="14"/>
                <w:szCs w:val="14"/>
              </w:rPr>
              <w:t>FY19</w:t>
            </w:r>
            <w:r w:rsidRPr="0025339E">
              <w:rPr>
                <w:b/>
                <w:bCs/>
                <w:sz w:val="14"/>
                <w:szCs w:val="14"/>
                <w:vertAlign w:val="superscript"/>
              </w:rPr>
              <w:t>P</w:t>
            </w:r>
          </w:p>
        </w:tc>
        <w:tc>
          <w:tcPr>
            <w:tcW w:w="856" w:type="dxa"/>
            <w:gridSpan w:val="2"/>
            <w:tcBorders>
              <w:top w:val="single" w:sz="4" w:space="0" w:color="auto"/>
              <w:left w:val="nil"/>
              <w:right w:val="nil"/>
            </w:tcBorders>
            <w:shd w:val="clear" w:color="auto" w:fill="auto"/>
          </w:tcPr>
          <w:p w:rsidR="00581418" w:rsidRDefault="00581418" w:rsidP="00581418">
            <w:pPr>
              <w:jc w:val="right"/>
            </w:pPr>
            <w:r w:rsidRPr="0025339E">
              <w:rPr>
                <w:b/>
                <w:bCs/>
                <w:sz w:val="14"/>
                <w:szCs w:val="14"/>
              </w:rPr>
              <w:t>FY19</w:t>
            </w:r>
            <w:r w:rsidRPr="0025339E">
              <w:rPr>
                <w:b/>
                <w:bCs/>
                <w:sz w:val="14"/>
                <w:szCs w:val="14"/>
                <w:vertAlign w:val="superscript"/>
              </w:rPr>
              <w:t>P</w:t>
            </w:r>
          </w:p>
        </w:tc>
        <w:tc>
          <w:tcPr>
            <w:tcW w:w="922" w:type="dxa"/>
            <w:tcBorders>
              <w:top w:val="single" w:sz="4" w:space="0" w:color="auto"/>
              <w:left w:val="nil"/>
              <w:right w:val="nil"/>
            </w:tcBorders>
            <w:shd w:val="clear" w:color="auto" w:fill="auto"/>
            <w:vAlign w:val="center"/>
          </w:tcPr>
          <w:p w:rsidR="00581418" w:rsidRDefault="00581418" w:rsidP="00581418">
            <w:pPr>
              <w:jc w:val="right"/>
            </w:pPr>
            <w:r w:rsidRPr="0025339E">
              <w:rPr>
                <w:b/>
                <w:bCs/>
                <w:sz w:val="14"/>
                <w:szCs w:val="14"/>
              </w:rPr>
              <w:t>FY19</w:t>
            </w:r>
            <w:r w:rsidRPr="0025339E">
              <w:rPr>
                <w:b/>
                <w:bCs/>
                <w:sz w:val="14"/>
                <w:szCs w:val="14"/>
                <w:vertAlign w:val="superscript"/>
              </w:rPr>
              <w:t>P</w:t>
            </w:r>
          </w:p>
        </w:tc>
        <w:tc>
          <w:tcPr>
            <w:tcW w:w="900" w:type="dxa"/>
            <w:tcBorders>
              <w:top w:val="single" w:sz="4" w:space="0" w:color="auto"/>
              <w:left w:val="nil"/>
              <w:right w:val="nil"/>
            </w:tcBorders>
            <w:shd w:val="clear" w:color="auto" w:fill="auto"/>
            <w:vAlign w:val="center"/>
          </w:tcPr>
          <w:p w:rsidR="00581418" w:rsidRPr="00581418" w:rsidRDefault="00581418" w:rsidP="00581418">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sidRPr="00581418">
              <w:rPr>
                <w:rFonts w:asciiTheme="majorBidi" w:hAnsiTheme="majorBidi" w:cstheme="majorBidi"/>
                <w:b/>
                <w:bCs/>
                <w:sz w:val="14"/>
                <w:szCs w:val="14"/>
                <w:vertAlign w:val="superscript"/>
              </w:rPr>
              <w:t>T</w:t>
            </w:r>
          </w:p>
        </w:tc>
      </w:tr>
      <w:tr w:rsidR="00581418" w:rsidRPr="006D5F74" w:rsidTr="00691454">
        <w:trPr>
          <w:trHeight w:hRule="exact" w:val="164"/>
        </w:trPr>
        <w:tc>
          <w:tcPr>
            <w:tcW w:w="4539" w:type="dxa"/>
            <w:vMerge/>
            <w:tcBorders>
              <w:left w:val="nil"/>
              <w:bottom w:val="single" w:sz="8" w:space="0" w:color="auto"/>
              <w:right w:val="nil"/>
            </w:tcBorders>
            <w:shd w:val="clear" w:color="auto" w:fill="auto"/>
            <w:noWrap/>
            <w:vAlign w:val="bottom"/>
            <w:hideMark/>
          </w:tcPr>
          <w:p w:rsidR="00581418" w:rsidRPr="006D5F74" w:rsidRDefault="00581418" w:rsidP="00581418">
            <w:pPr>
              <w:rPr>
                <w:sz w:val="16"/>
                <w:szCs w:val="16"/>
              </w:rPr>
            </w:pPr>
          </w:p>
        </w:tc>
        <w:tc>
          <w:tcPr>
            <w:tcW w:w="945" w:type="dxa"/>
            <w:tcBorders>
              <w:left w:val="nil"/>
              <w:bottom w:val="single" w:sz="8" w:space="0" w:color="auto"/>
              <w:right w:val="nil"/>
            </w:tcBorders>
            <w:shd w:val="clear" w:color="auto" w:fill="auto"/>
            <w:noWrap/>
            <w:vAlign w:val="center"/>
            <w:hideMark/>
          </w:tcPr>
          <w:p w:rsidR="00581418" w:rsidRDefault="00581418" w:rsidP="00581418">
            <w:pPr>
              <w:jc w:val="right"/>
              <w:rPr>
                <w:sz w:val="14"/>
                <w:szCs w:val="14"/>
              </w:rPr>
            </w:pPr>
            <w:r>
              <w:rPr>
                <w:sz w:val="14"/>
                <w:szCs w:val="14"/>
              </w:rPr>
              <w:t>34,618.6</w:t>
            </w:r>
          </w:p>
        </w:tc>
        <w:tc>
          <w:tcPr>
            <w:tcW w:w="957" w:type="dxa"/>
            <w:tcBorders>
              <w:left w:val="nil"/>
              <w:bottom w:val="single" w:sz="8" w:space="0" w:color="auto"/>
              <w:right w:val="nil"/>
            </w:tcBorders>
            <w:shd w:val="clear" w:color="auto" w:fill="auto"/>
            <w:vAlign w:val="center"/>
          </w:tcPr>
          <w:p w:rsidR="00581418" w:rsidRDefault="00581418" w:rsidP="00581418">
            <w:pPr>
              <w:jc w:val="right"/>
              <w:rPr>
                <w:color w:val="000000"/>
                <w:sz w:val="14"/>
                <w:szCs w:val="14"/>
              </w:rPr>
            </w:pPr>
            <w:r>
              <w:rPr>
                <w:color w:val="000000"/>
                <w:sz w:val="14"/>
                <w:szCs w:val="14"/>
              </w:rPr>
              <w:t>38,558.8</w:t>
            </w:r>
          </w:p>
        </w:tc>
        <w:tc>
          <w:tcPr>
            <w:tcW w:w="979" w:type="dxa"/>
            <w:gridSpan w:val="2"/>
            <w:tcBorders>
              <w:left w:val="nil"/>
              <w:bottom w:val="single" w:sz="8" w:space="0" w:color="auto"/>
              <w:right w:val="nil"/>
            </w:tcBorders>
            <w:shd w:val="clear" w:color="auto" w:fill="auto"/>
            <w:vAlign w:val="center"/>
          </w:tcPr>
          <w:p w:rsidR="00581418" w:rsidRDefault="00581418" w:rsidP="00581418">
            <w:pPr>
              <w:jc w:val="right"/>
              <w:rPr>
                <w:color w:val="000000"/>
                <w:sz w:val="14"/>
                <w:szCs w:val="14"/>
              </w:rPr>
            </w:pPr>
            <w:r>
              <w:rPr>
                <w:color w:val="000000"/>
                <w:sz w:val="14"/>
                <w:szCs w:val="14"/>
              </w:rPr>
              <w:t>38,558.8</w:t>
            </w:r>
          </w:p>
        </w:tc>
        <w:tc>
          <w:tcPr>
            <w:tcW w:w="856" w:type="dxa"/>
            <w:gridSpan w:val="2"/>
            <w:tcBorders>
              <w:left w:val="nil"/>
              <w:bottom w:val="single" w:sz="8" w:space="0" w:color="auto"/>
              <w:right w:val="nil"/>
            </w:tcBorders>
            <w:shd w:val="clear" w:color="auto" w:fill="auto"/>
            <w:vAlign w:val="center"/>
          </w:tcPr>
          <w:p w:rsidR="00581418" w:rsidRDefault="00581418" w:rsidP="00581418">
            <w:pPr>
              <w:jc w:val="right"/>
              <w:rPr>
                <w:color w:val="000000"/>
                <w:sz w:val="14"/>
                <w:szCs w:val="14"/>
              </w:rPr>
            </w:pPr>
            <w:r>
              <w:rPr>
                <w:color w:val="000000"/>
                <w:sz w:val="14"/>
                <w:szCs w:val="14"/>
              </w:rPr>
              <w:t>38,558.8</w:t>
            </w:r>
          </w:p>
        </w:tc>
        <w:tc>
          <w:tcPr>
            <w:tcW w:w="922" w:type="dxa"/>
            <w:tcBorders>
              <w:left w:val="nil"/>
              <w:bottom w:val="single" w:sz="8" w:space="0" w:color="auto"/>
              <w:right w:val="nil"/>
            </w:tcBorders>
            <w:shd w:val="clear" w:color="auto" w:fill="auto"/>
            <w:vAlign w:val="center"/>
          </w:tcPr>
          <w:p w:rsidR="00581418" w:rsidRDefault="00581418" w:rsidP="00581418">
            <w:pPr>
              <w:jc w:val="right"/>
              <w:rPr>
                <w:color w:val="000000"/>
                <w:sz w:val="14"/>
                <w:szCs w:val="14"/>
              </w:rPr>
            </w:pPr>
            <w:r>
              <w:rPr>
                <w:color w:val="000000"/>
                <w:sz w:val="14"/>
                <w:szCs w:val="14"/>
              </w:rPr>
              <w:t>38,558.8</w:t>
            </w:r>
          </w:p>
        </w:tc>
        <w:tc>
          <w:tcPr>
            <w:tcW w:w="900" w:type="dxa"/>
            <w:tcBorders>
              <w:left w:val="nil"/>
              <w:bottom w:val="single" w:sz="8" w:space="0" w:color="auto"/>
              <w:right w:val="nil"/>
            </w:tcBorders>
            <w:shd w:val="clear" w:color="auto" w:fill="auto"/>
            <w:vAlign w:val="center"/>
          </w:tcPr>
          <w:p w:rsidR="00581418" w:rsidRPr="00581418" w:rsidRDefault="00581418" w:rsidP="00581418">
            <w:pPr>
              <w:jc w:val="right"/>
              <w:rPr>
                <w:rFonts w:asciiTheme="majorBidi" w:hAnsiTheme="majorBidi" w:cstheme="majorBidi"/>
                <w:sz w:val="14"/>
                <w:szCs w:val="14"/>
              </w:rPr>
            </w:pPr>
            <w:r w:rsidRPr="00581418">
              <w:rPr>
                <w:rFonts w:asciiTheme="majorBidi" w:hAnsiTheme="majorBidi" w:cstheme="majorBidi"/>
                <w:sz w:val="14"/>
                <w:szCs w:val="14"/>
              </w:rPr>
              <w:t>43,585.0</w:t>
            </w:r>
          </w:p>
        </w:tc>
      </w:tr>
      <w:tr w:rsidR="00581418"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581418" w:rsidRPr="006D5F74" w:rsidRDefault="00581418" w:rsidP="00581418">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581418" w:rsidRPr="006D5F74" w:rsidRDefault="00581418" w:rsidP="00581418">
            <w:pPr>
              <w:jc w:val="center"/>
              <w:rPr>
                <w:b/>
                <w:sz w:val="16"/>
                <w:szCs w:val="14"/>
              </w:rPr>
            </w:pPr>
            <w:r w:rsidRPr="006D5F74">
              <w:rPr>
                <w:b/>
                <w:sz w:val="16"/>
                <w:szCs w:val="14"/>
              </w:rPr>
              <w:t>Servicing During  the Period</w:t>
            </w:r>
          </w:p>
          <w:p w:rsidR="00581418" w:rsidRPr="006D5F74" w:rsidRDefault="00581418" w:rsidP="00581418">
            <w:pPr>
              <w:jc w:val="center"/>
              <w:rPr>
                <w:b/>
                <w:sz w:val="16"/>
                <w:szCs w:val="14"/>
              </w:rPr>
            </w:pPr>
          </w:p>
          <w:p w:rsidR="00581418" w:rsidRPr="006D5F74" w:rsidRDefault="00581418" w:rsidP="00581418">
            <w:pPr>
              <w:jc w:val="center"/>
              <w:rPr>
                <w:b/>
                <w:sz w:val="16"/>
                <w:szCs w:val="14"/>
              </w:rPr>
            </w:pPr>
          </w:p>
          <w:p w:rsidR="00581418" w:rsidRPr="006D5F74" w:rsidRDefault="00581418" w:rsidP="00581418">
            <w:pPr>
              <w:jc w:val="center"/>
              <w:rPr>
                <w:b/>
                <w:sz w:val="16"/>
                <w:szCs w:val="14"/>
              </w:rPr>
            </w:pPr>
          </w:p>
          <w:p w:rsidR="00581418" w:rsidRPr="006D5F74" w:rsidRDefault="00581418" w:rsidP="00581418">
            <w:pPr>
              <w:jc w:val="center"/>
              <w:rPr>
                <w:b/>
                <w:sz w:val="16"/>
                <w:szCs w:val="14"/>
              </w:rPr>
            </w:pPr>
          </w:p>
          <w:p w:rsidR="00581418" w:rsidRPr="006D5F74" w:rsidRDefault="00581418" w:rsidP="00581418">
            <w:pPr>
              <w:jc w:val="center"/>
              <w:rPr>
                <w:b/>
                <w:sz w:val="16"/>
                <w:szCs w:val="14"/>
              </w:rPr>
            </w:pPr>
          </w:p>
        </w:tc>
      </w:tr>
      <w:tr w:rsidR="00581418" w:rsidRPr="006D5F74" w:rsidTr="00261F91">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581418" w:rsidRPr="006D5F74" w:rsidRDefault="00581418" w:rsidP="00581418">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581418" w:rsidRPr="00A66A5F" w:rsidRDefault="00581418" w:rsidP="00581418">
            <w:pPr>
              <w:jc w:val="right"/>
              <w:rPr>
                <w:b/>
                <w:sz w:val="16"/>
                <w:szCs w:val="16"/>
              </w:rPr>
            </w:pPr>
            <w:r w:rsidRPr="007F30D0">
              <w:rPr>
                <w:b/>
                <w:sz w:val="16"/>
                <w:szCs w:val="16"/>
              </w:rPr>
              <w:t>FY-18</w:t>
            </w:r>
            <w:r w:rsidRPr="0029512F">
              <w:rPr>
                <w:b/>
                <w:sz w:val="16"/>
                <w:szCs w:val="16"/>
                <w:vertAlign w:val="superscript"/>
              </w:rPr>
              <w:t xml:space="preserve"> R</w:t>
            </w:r>
          </w:p>
        </w:tc>
        <w:tc>
          <w:tcPr>
            <w:tcW w:w="957" w:type="dxa"/>
            <w:vMerge w:val="restart"/>
            <w:tcBorders>
              <w:top w:val="nil"/>
              <w:left w:val="single" w:sz="4" w:space="0" w:color="auto"/>
            </w:tcBorders>
            <w:shd w:val="clear" w:color="auto" w:fill="auto"/>
            <w:vAlign w:val="center"/>
          </w:tcPr>
          <w:p w:rsidR="00581418" w:rsidRPr="00A66A5F" w:rsidRDefault="00581418" w:rsidP="00581418">
            <w:pPr>
              <w:jc w:val="right"/>
              <w:rPr>
                <w:b/>
                <w:sz w:val="16"/>
                <w:szCs w:val="16"/>
              </w:rPr>
            </w:pPr>
            <w:r w:rsidRPr="007F30D0">
              <w:rPr>
                <w:b/>
                <w:sz w:val="16"/>
                <w:szCs w:val="16"/>
              </w:rPr>
              <w:t>FY-1</w:t>
            </w:r>
            <w:r>
              <w:rPr>
                <w:b/>
                <w:sz w:val="16"/>
                <w:szCs w:val="16"/>
              </w:rPr>
              <w:t>9</w:t>
            </w:r>
            <w:r w:rsidRPr="0029512F">
              <w:rPr>
                <w:b/>
                <w:sz w:val="16"/>
                <w:szCs w:val="16"/>
                <w:vertAlign w:val="superscript"/>
              </w:rPr>
              <w:t xml:space="preserve"> R</w:t>
            </w:r>
          </w:p>
        </w:tc>
        <w:tc>
          <w:tcPr>
            <w:tcW w:w="2757" w:type="dxa"/>
            <w:gridSpan w:val="5"/>
            <w:tcBorders>
              <w:top w:val="nil"/>
              <w:left w:val="single" w:sz="4" w:space="0" w:color="auto"/>
              <w:bottom w:val="single" w:sz="4" w:space="0" w:color="auto"/>
            </w:tcBorders>
            <w:shd w:val="clear" w:color="auto" w:fill="auto"/>
            <w:vAlign w:val="center"/>
          </w:tcPr>
          <w:p w:rsidR="00581418" w:rsidRPr="007F30D0" w:rsidRDefault="00581418" w:rsidP="00581418">
            <w:pPr>
              <w:jc w:val="center"/>
              <w:rPr>
                <w:b/>
                <w:sz w:val="16"/>
                <w:szCs w:val="16"/>
              </w:rPr>
            </w:pPr>
            <w:r w:rsidRPr="007F30D0">
              <w:rPr>
                <w:b/>
                <w:sz w:val="16"/>
                <w:szCs w:val="16"/>
              </w:rPr>
              <w:t>FY-1</w:t>
            </w:r>
            <w:r>
              <w:rPr>
                <w:b/>
                <w:sz w:val="16"/>
                <w:szCs w:val="16"/>
              </w:rPr>
              <w:t>9</w:t>
            </w:r>
            <w:r w:rsidRPr="007F30D0">
              <w:rPr>
                <w:b/>
                <w:sz w:val="16"/>
                <w:szCs w:val="16"/>
              </w:rPr>
              <w:t xml:space="preserve"> </w:t>
            </w:r>
            <w:r>
              <w:rPr>
                <w:b/>
                <w:sz w:val="16"/>
                <w:szCs w:val="16"/>
                <w:vertAlign w:val="superscript"/>
              </w:rPr>
              <w:t>P</w:t>
            </w:r>
            <w:r>
              <w:rPr>
                <w:b/>
                <w:bCs/>
                <w:sz w:val="16"/>
                <w:szCs w:val="16"/>
              </w:rPr>
              <w:t xml:space="preserve"> </w:t>
            </w:r>
          </w:p>
        </w:tc>
        <w:tc>
          <w:tcPr>
            <w:tcW w:w="900" w:type="dxa"/>
            <w:tcBorders>
              <w:top w:val="nil"/>
              <w:left w:val="single" w:sz="4" w:space="0" w:color="auto"/>
              <w:bottom w:val="single" w:sz="4" w:space="0" w:color="auto"/>
            </w:tcBorders>
            <w:shd w:val="clear" w:color="auto" w:fill="auto"/>
            <w:vAlign w:val="center"/>
          </w:tcPr>
          <w:p w:rsidR="00581418" w:rsidRPr="007F30D0" w:rsidRDefault="00581418" w:rsidP="00581418">
            <w:pPr>
              <w:jc w:val="center"/>
              <w:rPr>
                <w:b/>
                <w:sz w:val="16"/>
                <w:szCs w:val="16"/>
              </w:rPr>
            </w:pPr>
            <w:r w:rsidRPr="007F30D0">
              <w:rPr>
                <w:b/>
                <w:sz w:val="16"/>
                <w:szCs w:val="16"/>
              </w:rPr>
              <w:t>FY-</w:t>
            </w:r>
            <w:r>
              <w:rPr>
                <w:b/>
                <w:sz w:val="16"/>
                <w:szCs w:val="16"/>
              </w:rPr>
              <w:t>20</w:t>
            </w:r>
            <w:r w:rsidRPr="007F30D0">
              <w:rPr>
                <w:b/>
                <w:sz w:val="16"/>
                <w:szCs w:val="16"/>
              </w:rPr>
              <w:t xml:space="preserve"> </w:t>
            </w:r>
            <w:r>
              <w:rPr>
                <w:b/>
                <w:sz w:val="16"/>
                <w:szCs w:val="16"/>
                <w:vertAlign w:val="superscript"/>
              </w:rPr>
              <w:t>P</w:t>
            </w:r>
            <w:r>
              <w:rPr>
                <w:b/>
                <w:bCs/>
                <w:sz w:val="16"/>
                <w:szCs w:val="16"/>
              </w:rPr>
              <w:t xml:space="preserve"> </w:t>
            </w:r>
          </w:p>
        </w:tc>
      </w:tr>
      <w:tr w:rsidR="00581418" w:rsidRPr="006D5F74" w:rsidTr="00261F91">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581418" w:rsidRPr="006D5F74" w:rsidRDefault="00581418" w:rsidP="00581418">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581418" w:rsidRPr="006D5F74" w:rsidRDefault="00581418" w:rsidP="00581418">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rsidR="00581418" w:rsidRPr="006D5F74" w:rsidRDefault="00581418" w:rsidP="00581418">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rsidR="00581418" w:rsidRPr="006D5F74" w:rsidRDefault="00581418" w:rsidP="00581418">
            <w:pPr>
              <w:jc w:val="right"/>
              <w:rPr>
                <w:b/>
                <w:bCs/>
                <w:sz w:val="16"/>
                <w:szCs w:val="16"/>
              </w:rPr>
            </w:pPr>
            <w:r>
              <w:rPr>
                <w:b/>
                <w:bCs/>
                <w:sz w:val="16"/>
                <w:szCs w:val="16"/>
              </w:rPr>
              <w:t>Oct-Dec</w:t>
            </w:r>
          </w:p>
        </w:tc>
        <w:tc>
          <w:tcPr>
            <w:tcW w:w="900" w:type="dxa"/>
            <w:gridSpan w:val="2"/>
            <w:tcBorders>
              <w:top w:val="single" w:sz="4" w:space="0" w:color="auto"/>
              <w:bottom w:val="single" w:sz="8" w:space="0" w:color="auto"/>
            </w:tcBorders>
            <w:shd w:val="clear" w:color="auto" w:fill="auto"/>
            <w:noWrap/>
            <w:tcMar>
              <w:left w:w="43" w:type="dxa"/>
              <w:right w:w="43" w:type="dxa"/>
            </w:tcMar>
            <w:vAlign w:val="center"/>
          </w:tcPr>
          <w:p w:rsidR="00581418" w:rsidRPr="006D5F74" w:rsidRDefault="00581418" w:rsidP="00581418">
            <w:pPr>
              <w:jc w:val="right"/>
              <w:rPr>
                <w:b/>
                <w:bCs/>
                <w:sz w:val="16"/>
                <w:szCs w:val="16"/>
              </w:rPr>
            </w:pPr>
            <w:r>
              <w:rPr>
                <w:b/>
                <w:bCs/>
                <w:sz w:val="16"/>
                <w:szCs w:val="16"/>
              </w:rPr>
              <w:t>Jan-Mar</w:t>
            </w:r>
          </w:p>
        </w:tc>
        <w:tc>
          <w:tcPr>
            <w:tcW w:w="990" w:type="dxa"/>
            <w:gridSpan w:val="2"/>
            <w:tcBorders>
              <w:top w:val="single" w:sz="4" w:space="0" w:color="auto"/>
              <w:bottom w:val="single" w:sz="8" w:space="0" w:color="auto"/>
              <w:right w:val="single" w:sz="4" w:space="0" w:color="auto"/>
            </w:tcBorders>
            <w:shd w:val="clear" w:color="auto" w:fill="auto"/>
            <w:tcMar>
              <w:left w:w="43" w:type="dxa"/>
              <w:right w:w="43" w:type="dxa"/>
            </w:tcMar>
            <w:vAlign w:val="center"/>
          </w:tcPr>
          <w:p w:rsidR="00581418" w:rsidRPr="006D5F74" w:rsidRDefault="00581418" w:rsidP="00581418">
            <w:pPr>
              <w:jc w:val="right"/>
              <w:rPr>
                <w:b/>
                <w:bCs/>
                <w:sz w:val="16"/>
                <w:szCs w:val="16"/>
              </w:rPr>
            </w:pPr>
            <w:r>
              <w:rPr>
                <w:b/>
                <w:bCs/>
                <w:sz w:val="16"/>
                <w:szCs w:val="16"/>
              </w:rPr>
              <w:t>Apr-Jun</w:t>
            </w:r>
          </w:p>
        </w:tc>
        <w:tc>
          <w:tcPr>
            <w:tcW w:w="900" w:type="dxa"/>
            <w:tcBorders>
              <w:top w:val="single" w:sz="4" w:space="0" w:color="auto"/>
              <w:left w:val="single" w:sz="4" w:space="0" w:color="auto"/>
              <w:bottom w:val="single" w:sz="8" w:space="0" w:color="auto"/>
            </w:tcBorders>
            <w:shd w:val="clear" w:color="auto" w:fill="auto"/>
            <w:tcMar>
              <w:left w:w="43" w:type="dxa"/>
              <w:right w:w="43" w:type="dxa"/>
            </w:tcMar>
            <w:vAlign w:val="center"/>
          </w:tcPr>
          <w:p w:rsidR="00581418" w:rsidRPr="006D5F74" w:rsidRDefault="00581418" w:rsidP="00581418">
            <w:pPr>
              <w:jc w:val="right"/>
              <w:rPr>
                <w:b/>
                <w:bCs/>
                <w:sz w:val="16"/>
                <w:szCs w:val="16"/>
              </w:rPr>
            </w:pPr>
            <w:r>
              <w:rPr>
                <w:b/>
                <w:bCs/>
                <w:sz w:val="16"/>
                <w:szCs w:val="16"/>
              </w:rPr>
              <w:t>Jul-Sep</w:t>
            </w:r>
          </w:p>
        </w:tc>
      </w:tr>
      <w:tr w:rsidR="00865869" w:rsidRPr="006D5F74" w:rsidTr="009B49D2">
        <w:trPr>
          <w:trHeight w:hRule="exact" w:val="176"/>
        </w:trPr>
        <w:tc>
          <w:tcPr>
            <w:tcW w:w="4539" w:type="dxa"/>
            <w:tcBorders>
              <w:top w:val="single" w:sz="8" w:space="0" w:color="auto"/>
              <w:left w:val="nil"/>
              <w:bottom w:val="nil"/>
              <w:right w:val="nil"/>
            </w:tcBorders>
            <w:shd w:val="clear" w:color="auto" w:fill="auto"/>
            <w:noWrap/>
            <w:vAlign w:val="bottom"/>
            <w:hideMark/>
          </w:tcPr>
          <w:p w:rsidR="00865869" w:rsidRPr="006D5F74" w:rsidRDefault="00865869" w:rsidP="00865869">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b/>
                <w:bCs/>
                <w:sz w:val="14"/>
                <w:szCs w:val="14"/>
              </w:rPr>
            </w:pPr>
            <w:r>
              <w:rPr>
                <w:b/>
                <w:bCs/>
                <w:sz w:val="14"/>
                <w:szCs w:val="14"/>
              </w:rPr>
              <w:t>1,996.8</w:t>
            </w:r>
          </w:p>
        </w:tc>
        <w:tc>
          <w:tcPr>
            <w:tcW w:w="957" w:type="dxa"/>
            <w:tcBorders>
              <w:top w:val="nil"/>
              <w:left w:val="nil"/>
              <w:bottom w:val="nil"/>
              <w:right w:val="nil"/>
            </w:tcBorders>
            <w:shd w:val="clear" w:color="auto" w:fill="auto"/>
            <w:noWrap/>
            <w:vAlign w:val="center"/>
          </w:tcPr>
          <w:p w:rsidR="00865869" w:rsidRDefault="00865869" w:rsidP="00865869">
            <w:pPr>
              <w:jc w:val="right"/>
              <w:rPr>
                <w:b/>
                <w:bCs/>
                <w:sz w:val="14"/>
                <w:szCs w:val="14"/>
              </w:rPr>
            </w:pPr>
            <w:r>
              <w:rPr>
                <w:b/>
                <w:bCs/>
                <w:sz w:val="14"/>
                <w:szCs w:val="14"/>
              </w:rPr>
              <w:t>3,132.9</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b/>
                <w:bCs/>
                <w:sz w:val="14"/>
                <w:szCs w:val="14"/>
              </w:rPr>
            </w:pPr>
            <w:r>
              <w:rPr>
                <w:b/>
                <w:bCs/>
                <w:sz w:val="14"/>
                <w:szCs w:val="14"/>
              </w:rPr>
              <w:t>523.5</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b/>
                <w:bCs/>
                <w:sz w:val="14"/>
                <w:szCs w:val="14"/>
              </w:rPr>
            </w:pPr>
            <w:r>
              <w:rPr>
                <w:b/>
                <w:bCs/>
                <w:sz w:val="14"/>
                <w:szCs w:val="14"/>
              </w:rPr>
              <w:t>824.4</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b/>
                <w:bCs/>
                <w:sz w:val="14"/>
                <w:szCs w:val="14"/>
              </w:rPr>
            </w:pPr>
            <w:r>
              <w:rPr>
                <w:b/>
                <w:bCs/>
                <w:sz w:val="14"/>
                <w:szCs w:val="14"/>
              </w:rPr>
              <w:t>1,173.1</w:t>
            </w:r>
          </w:p>
        </w:tc>
        <w:tc>
          <w:tcPr>
            <w:tcW w:w="900" w:type="dxa"/>
            <w:tcBorders>
              <w:top w:val="nil"/>
              <w:left w:val="nil"/>
              <w:bottom w:val="nil"/>
              <w:right w:val="nil"/>
            </w:tcBorders>
            <w:shd w:val="clear" w:color="auto" w:fill="auto"/>
            <w:vAlign w:val="center"/>
          </w:tcPr>
          <w:p w:rsidR="00865869" w:rsidRDefault="00865869" w:rsidP="00865869">
            <w:pPr>
              <w:jc w:val="right"/>
              <w:rPr>
                <w:b/>
                <w:bCs/>
                <w:sz w:val="14"/>
                <w:szCs w:val="14"/>
              </w:rPr>
            </w:pPr>
            <w:r>
              <w:rPr>
                <w:b/>
                <w:bCs/>
                <w:sz w:val="14"/>
                <w:szCs w:val="14"/>
              </w:rPr>
              <w:t>861.0</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i/>
                <w:iCs/>
                <w:sz w:val="14"/>
                <w:szCs w:val="14"/>
              </w:rPr>
            </w:pPr>
            <w:r>
              <w:rPr>
                <w:i/>
                <w:iCs/>
                <w:sz w:val="14"/>
                <w:szCs w:val="14"/>
              </w:rPr>
              <w:t>6.5</w:t>
            </w:r>
          </w:p>
        </w:tc>
        <w:tc>
          <w:tcPr>
            <w:tcW w:w="957" w:type="dxa"/>
            <w:tcBorders>
              <w:top w:val="nil"/>
              <w:left w:val="nil"/>
              <w:bottom w:val="nil"/>
              <w:right w:val="nil"/>
            </w:tcBorders>
            <w:shd w:val="clear" w:color="auto" w:fill="auto"/>
            <w:noWrap/>
            <w:vAlign w:val="center"/>
          </w:tcPr>
          <w:p w:rsidR="00865869" w:rsidRDefault="00865869" w:rsidP="00865869">
            <w:pPr>
              <w:jc w:val="right"/>
              <w:rPr>
                <w:i/>
                <w:iCs/>
                <w:sz w:val="14"/>
                <w:szCs w:val="14"/>
              </w:rPr>
            </w:pPr>
            <w:r>
              <w:rPr>
                <w:i/>
                <w:iCs/>
                <w:sz w:val="14"/>
                <w:szCs w:val="14"/>
              </w:rPr>
              <w:t>56.9</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i/>
                <w:iCs/>
                <w:sz w:val="14"/>
                <w:szCs w:val="14"/>
              </w:rPr>
            </w:pPr>
            <w:r>
              <w:rPr>
                <w:i/>
                <w:iCs/>
                <w:sz w:val="14"/>
                <w:szCs w:val="14"/>
              </w:rPr>
              <w:t>23.3</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i/>
                <w:iCs/>
                <w:sz w:val="14"/>
                <w:szCs w:val="14"/>
              </w:rPr>
            </w:pPr>
            <w:r>
              <w:rPr>
                <w:i/>
                <w:iCs/>
                <w:sz w:val="14"/>
                <w:szCs w:val="14"/>
              </w:rPr>
              <w:t>55.6</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i/>
                <w:iCs/>
                <w:sz w:val="14"/>
                <w:szCs w:val="14"/>
              </w:rPr>
            </w:pPr>
            <w:r>
              <w:rPr>
                <w:i/>
                <w:iCs/>
                <w:sz w:val="14"/>
                <w:szCs w:val="14"/>
              </w:rPr>
              <w:t>145.5</w:t>
            </w:r>
          </w:p>
        </w:tc>
        <w:tc>
          <w:tcPr>
            <w:tcW w:w="900" w:type="dxa"/>
            <w:tcBorders>
              <w:top w:val="nil"/>
              <w:left w:val="nil"/>
              <w:bottom w:val="nil"/>
              <w:right w:val="nil"/>
            </w:tcBorders>
            <w:shd w:val="clear" w:color="auto" w:fill="auto"/>
            <w:vAlign w:val="center"/>
          </w:tcPr>
          <w:p w:rsidR="00865869" w:rsidRDefault="00865869" w:rsidP="00865869">
            <w:pPr>
              <w:jc w:val="right"/>
              <w:rPr>
                <w:i/>
                <w:iCs/>
                <w:sz w:val="14"/>
                <w:szCs w:val="14"/>
              </w:rPr>
            </w:pPr>
            <w:r>
              <w:rPr>
                <w:i/>
                <w:iCs/>
                <w:sz w:val="14"/>
                <w:szCs w:val="14"/>
              </w:rPr>
              <w:t>40.7</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i/>
                <w:iCs/>
                <w:sz w:val="14"/>
                <w:szCs w:val="14"/>
              </w:rPr>
            </w:pPr>
            <w:r>
              <w:rPr>
                <w:i/>
                <w:iCs/>
                <w:sz w:val="14"/>
                <w:szCs w:val="14"/>
              </w:rPr>
              <w:t>5.8</w:t>
            </w:r>
          </w:p>
        </w:tc>
        <w:tc>
          <w:tcPr>
            <w:tcW w:w="957" w:type="dxa"/>
            <w:tcBorders>
              <w:top w:val="nil"/>
              <w:left w:val="nil"/>
              <w:bottom w:val="nil"/>
              <w:right w:val="nil"/>
            </w:tcBorders>
            <w:shd w:val="clear" w:color="auto" w:fill="auto"/>
            <w:noWrap/>
            <w:vAlign w:val="center"/>
          </w:tcPr>
          <w:p w:rsidR="00865869" w:rsidRDefault="00865869" w:rsidP="00865869">
            <w:pPr>
              <w:jc w:val="right"/>
              <w:rPr>
                <w:i/>
                <w:iCs/>
                <w:sz w:val="14"/>
                <w:szCs w:val="14"/>
              </w:rPr>
            </w:pPr>
            <w:r>
              <w:rPr>
                <w:i/>
                <w:iCs/>
                <w:sz w:val="14"/>
                <w:szCs w:val="14"/>
              </w:rPr>
              <w:t>8.1</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i/>
                <w:iCs/>
                <w:sz w:val="14"/>
                <w:szCs w:val="14"/>
              </w:rPr>
            </w:pPr>
            <w:r>
              <w:rPr>
                <w:i/>
                <w:iCs/>
                <w:sz w:val="14"/>
                <w:szCs w:val="14"/>
              </w:rPr>
              <w:t>1.4</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i/>
                <w:iCs/>
                <w:sz w:val="14"/>
                <w:szCs w:val="14"/>
              </w:rPr>
            </w:pPr>
            <w:r>
              <w:rPr>
                <w:i/>
                <w:iCs/>
                <w:sz w:val="14"/>
                <w:szCs w:val="14"/>
              </w:rPr>
              <w:t>2.1</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i/>
                <w:iCs/>
                <w:sz w:val="14"/>
                <w:szCs w:val="14"/>
              </w:rPr>
            </w:pPr>
            <w:r>
              <w:rPr>
                <w:i/>
                <w:iCs/>
                <w:sz w:val="14"/>
                <w:szCs w:val="14"/>
              </w:rPr>
              <w:t>3.0</w:t>
            </w:r>
          </w:p>
        </w:tc>
        <w:tc>
          <w:tcPr>
            <w:tcW w:w="900" w:type="dxa"/>
            <w:tcBorders>
              <w:top w:val="nil"/>
              <w:left w:val="nil"/>
              <w:bottom w:val="nil"/>
              <w:right w:val="nil"/>
            </w:tcBorders>
            <w:shd w:val="clear" w:color="auto" w:fill="auto"/>
            <w:vAlign w:val="center"/>
          </w:tcPr>
          <w:p w:rsidR="00865869" w:rsidRDefault="00865869" w:rsidP="00865869">
            <w:pPr>
              <w:jc w:val="right"/>
              <w:rPr>
                <w:i/>
                <w:iCs/>
                <w:sz w:val="14"/>
                <w:szCs w:val="14"/>
              </w:rPr>
            </w:pPr>
            <w:r>
              <w:rPr>
                <w:i/>
                <w:iCs/>
                <w:sz w:val="14"/>
                <w:szCs w:val="14"/>
              </w:rPr>
              <w:t>2.0</w:t>
            </w:r>
          </w:p>
        </w:tc>
      </w:tr>
      <w:tr w:rsidR="00865869" w:rsidRPr="006D5F74" w:rsidTr="009B49D2">
        <w:trPr>
          <w:trHeight w:hRule="exact" w:val="402"/>
        </w:trPr>
        <w:tc>
          <w:tcPr>
            <w:tcW w:w="4539" w:type="dxa"/>
            <w:tcBorders>
              <w:top w:val="nil"/>
              <w:left w:val="nil"/>
              <w:bottom w:val="nil"/>
              <w:right w:val="nil"/>
            </w:tcBorders>
            <w:shd w:val="clear" w:color="auto" w:fill="auto"/>
            <w:noWrap/>
            <w:vAlign w:val="bottom"/>
            <w:hideMark/>
          </w:tcPr>
          <w:p w:rsidR="00865869" w:rsidRPr="006D5F74" w:rsidRDefault="00865869" w:rsidP="00865869">
            <w:pPr>
              <w:rPr>
                <w:b/>
                <w:bCs/>
                <w:sz w:val="16"/>
              </w:rPr>
            </w:pPr>
            <w:r w:rsidRPr="006D5F74">
              <w:rPr>
                <w:b/>
                <w:bCs/>
                <w:sz w:val="16"/>
              </w:rPr>
              <w:t xml:space="preserve">III. Principal Repayment of External Debt  and </w:t>
            </w:r>
          </w:p>
          <w:p w:rsidR="00865869" w:rsidRPr="006D5F74" w:rsidRDefault="00865869" w:rsidP="00865869">
            <w:pPr>
              <w:rPr>
                <w:b/>
                <w:bCs/>
                <w:sz w:val="16"/>
                <w:szCs w:val="16"/>
              </w:rPr>
            </w:pPr>
            <w:r w:rsidRPr="006D5F74">
              <w:rPr>
                <w:b/>
                <w:bCs/>
                <w:sz w:val="16"/>
              </w:rPr>
              <w:t xml:space="preserve">       Liabilities (e+f+g+h)</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b/>
                <w:bCs/>
                <w:sz w:val="14"/>
                <w:szCs w:val="14"/>
              </w:rPr>
            </w:pPr>
            <w:r>
              <w:rPr>
                <w:b/>
                <w:bCs/>
                <w:sz w:val="14"/>
                <w:szCs w:val="14"/>
              </w:rPr>
              <w:t>365.3</w:t>
            </w:r>
          </w:p>
        </w:tc>
        <w:tc>
          <w:tcPr>
            <w:tcW w:w="957" w:type="dxa"/>
            <w:tcBorders>
              <w:top w:val="nil"/>
              <w:left w:val="nil"/>
              <w:bottom w:val="nil"/>
              <w:right w:val="nil"/>
            </w:tcBorders>
            <w:shd w:val="clear" w:color="auto" w:fill="auto"/>
            <w:noWrap/>
            <w:vAlign w:val="center"/>
          </w:tcPr>
          <w:p w:rsidR="00865869" w:rsidRDefault="00865869" w:rsidP="00865869">
            <w:pPr>
              <w:jc w:val="right"/>
              <w:rPr>
                <w:b/>
                <w:bCs/>
                <w:sz w:val="14"/>
                <w:szCs w:val="14"/>
              </w:rPr>
            </w:pPr>
            <w:r>
              <w:rPr>
                <w:b/>
                <w:bCs/>
                <w:sz w:val="14"/>
                <w:szCs w:val="14"/>
              </w:rPr>
              <w:t>914.8</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b/>
                <w:bCs/>
                <w:sz w:val="14"/>
                <w:szCs w:val="14"/>
              </w:rPr>
            </w:pPr>
            <w:r>
              <w:rPr>
                <w:b/>
                <w:bCs/>
                <w:sz w:val="14"/>
                <w:szCs w:val="14"/>
              </w:rPr>
              <w:t>109.1</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b/>
                <w:bCs/>
                <w:sz w:val="14"/>
                <w:szCs w:val="14"/>
              </w:rPr>
            </w:pPr>
            <w:r>
              <w:rPr>
                <w:b/>
                <w:bCs/>
                <w:sz w:val="14"/>
                <w:szCs w:val="14"/>
              </w:rPr>
              <w:t>200.4</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b/>
                <w:bCs/>
                <w:sz w:val="14"/>
                <w:szCs w:val="14"/>
              </w:rPr>
            </w:pPr>
            <w:r>
              <w:rPr>
                <w:b/>
                <w:bCs/>
                <w:sz w:val="14"/>
                <w:szCs w:val="14"/>
              </w:rPr>
              <w:t>480.5</w:t>
            </w:r>
          </w:p>
        </w:tc>
        <w:tc>
          <w:tcPr>
            <w:tcW w:w="900" w:type="dxa"/>
            <w:tcBorders>
              <w:top w:val="nil"/>
              <w:left w:val="nil"/>
              <w:bottom w:val="nil"/>
              <w:right w:val="nil"/>
            </w:tcBorders>
            <w:shd w:val="clear" w:color="auto" w:fill="auto"/>
            <w:vAlign w:val="center"/>
          </w:tcPr>
          <w:p w:rsidR="00865869" w:rsidRDefault="00865869" w:rsidP="00865869">
            <w:pPr>
              <w:jc w:val="right"/>
              <w:rPr>
                <w:b/>
                <w:bCs/>
                <w:sz w:val="14"/>
                <w:szCs w:val="14"/>
              </w:rPr>
            </w:pPr>
            <w:r>
              <w:rPr>
                <w:b/>
                <w:bCs/>
                <w:sz w:val="14"/>
                <w:szCs w:val="14"/>
              </w:rPr>
              <w:t>296.0</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286.5</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765.8</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75.8</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162.5</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430.9</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247.7</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69.0</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97.2</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27.8</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20.5</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31.3</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22.2</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9.8</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51.7</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5.6</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17.4</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18.3</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26.0</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rPr>
                <w:b/>
                <w:bCs/>
                <w:sz w:val="16"/>
                <w:szCs w:val="16"/>
              </w:rPr>
            </w:pPr>
            <w:r w:rsidRPr="006D5F74">
              <w:rPr>
                <w:b/>
                <w:bCs/>
                <w:sz w:val="16"/>
              </w:rPr>
              <w:t>IV. Interest Payment on debt (i+j+k)</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b/>
                <w:bCs/>
                <w:sz w:val="14"/>
                <w:szCs w:val="14"/>
              </w:rPr>
            </w:pPr>
            <w:r>
              <w:rPr>
                <w:b/>
                <w:bCs/>
                <w:sz w:val="14"/>
                <w:szCs w:val="14"/>
              </w:rPr>
              <w:t>1,575.7</w:t>
            </w:r>
          </w:p>
        </w:tc>
        <w:tc>
          <w:tcPr>
            <w:tcW w:w="957" w:type="dxa"/>
            <w:tcBorders>
              <w:top w:val="nil"/>
              <w:left w:val="nil"/>
              <w:bottom w:val="nil"/>
              <w:right w:val="nil"/>
            </w:tcBorders>
            <w:shd w:val="clear" w:color="auto" w:fill="auto"/>
            <w:noWrap/>
            <w:vAlign w:val="center"/>
          </w:tcPr>
          <w:p w:rsidR="00865869" w:rsidRDefault="00865869" w:rsidP="00865869">
            <w:pPr>
              <w:jc w:val="right"/>
              <w:rPr>
                <w:b/>
                <w:bCs/>
                <w:sz w:val="14"/>
                <w:szCs w:val="14"/>
              </w:rPr>
            </w:pPr>
            <w:r>
              <w:rPr>
                <w:b/>
                <w:bCs/>
                <w:sz w:val="14"/>
                <w:szCs w:val="14"/>
              </w:rPr>
              <w:t>2,143.2</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b/>
                <w:bCs/>
                <w:sz w:val="14"/>
                <w:szCs w:val="14"/>
              </w:rPr>
            </w:pPr>
            <w:r>
              <w:rPr>
                <w:b/>
                <w:bCs/>
                <w:sz w:val="14"/>
                <w:szCs w:val="14"/>
              </w:rPr>
              <w:t>396.8</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b/>
                <w:bCs/>
                <w:sz w:val="14"/>
                <w:szCs w:val="14"/>
              </w:rPr>
            </w:pPr>
            <w:r>
              <w:rPr>
                <w:b/>
                <w:bCs/>
                <w:sz w:val="14"/>
                <w:szCs w:val="14"/>
              </w:rPr>
              <w:t>607.5</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b/>
                <w:bCs/>
                <w:sz w:val="14"/>
                <w:szCs w:val="14"/>
              </w:rPr>
            </w:pPr>
            <w:r>
              <w:rPr>
                <w:b/>
                <w:bCs/>
                <w:sz w:val="14"/>
                <w:szCs w:val="14"/>
              </w:rPr>
              <w:t>669.0</w:t>
            </w:r>
          </w:p>
        </w:tc>
        <w:tc>
          <w:tcPr>
            <w:tcW w:w="900" w:type="dxa"/>
            <w:tcBorders>
              <w:top w:val="nil"/>
              <w:left w:val="nil"/>
              <w:bottom w:val="nil"/>
              <w:right w:val="nil"/>
            </w:tcBorders>
            <w:shd w:val="clear" w:color="auto" w:fill="auto"/>
            <w:vAlign w:val="center"/>
          </w:tcPr>
          <w:p w:rsidR="00865869" w:rsidRDefault="00865869" w:rsidP="00865869">
            <w:pPr>
              <w:jc w:val="right"/>
              <w:rPr>
                <w:b/>
                <w:bCs/>
                <w:sz w:val="14"/>
                <w:szCs w:val="14"/>
              </w:rPr>
            </w:pPr>
            <w:r>
              <w:rPr>
                <w:b/>
                <w:bCs/>
                <w:sz w:val="14"/>
                <w:szCs w:val="14"/>
              </w:rPr>
              <w:t>545.0</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(i) Government Domestic Debt</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1,330.0</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1,763.9</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288.1</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521.2</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549.2</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426.5</w:t>
            </w:r>
          </w:p>
        </w:tc>
      </w:tr>
      <w:tr w:rsidR="00F3718C" w:rsidRPr="006D5F74" w:rsidTr="009B49D2">
        <w:trPr>
          <w:trHeight w:hRule="exact" w:val="176"/>
        </w:trPr>
        <w:tc>
          <w:tcPr>
            <w:tcW w:w="4539" w:type="dxa"/>
            <w:tcBorders>
              <w:top w:val="nil"/>
              <w:left w:val="nil"/>
              <w:bottom w:val="nil"/>
              <w:right w:val="nil"/>
            </w:tcBorders>
            <w:shd w:val="clear" w:color="auto" w:fill="auto"/>
            <w:noWrap/>
            <w:vAlign w:val="bottom"/>
            <w:hideMark/>
          </w:tcPr>
          <w:p w:rsidR="00F3718C" w:rsidRPr="006D5F74" w:rsidRDefault="00F3718C" w:rsidP="00F3718C">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F3718C" w:rsidRDefault="00F3718C" w:rsidP="00F3718C">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F3718C" w:rsidRDefault="00F3718C" w:rsidP="00F3718C">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F3718C" w:rsidRDefault="00F3718C" w:rsidP="00F3718C">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F3718C" w:rsidRDefault="00F3718C" w:rsidP="00F3718C">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F3718C" w:rsidRDefault="00F3718C" w:rsidP="00F3718C">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F3718C" w:rsidRDefault="00F3718C" w:rsidP="00F3718C">
            <w:pPr>
              <w:jc w:val="right"/>
              <w:rPr>
                <w:sz w:val="14"/>
                <w:szCs w:val="14"/>
              </w:rPr>
            </w:pPr>
            <w:r>
              <w:rPr>
                <w:sz w:val="14"/>
                <w:szCs w:val="14"/>
              </w:rPr>
              <w:t>…</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245.7</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379.3</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108.7</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86.3</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119.8</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118.5</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172.4</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269.1</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78.7</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57.8</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87.8</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76.3</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59.2</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90.7</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25.2</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23.3</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26.9</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35.4</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14.1</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19.6</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4.8</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5.1</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5.2</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6.9</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rPr>
                <w:b/>
                <w:bCs/>
                <w:sz w:val="16"/>
                <w:szCs w:val="16"/>
              </w:rPr>
            </w:pPr>
            <w:r w:rsidRPr="006D5F74">
              <w:rPr>
                <w:b/>
                <w:bCs/>
                <w:sz w:val="16"/>
              </w:rPr>
              <w:t>V. Interest Payment on Liabilities (l+m)</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b/>
                <w:bCs/>
                <w:sz w:val="14"/>
                <w:szCs w:val="14"/>
              </w:rPr>
            </w:pPr>
            <w:r>
              <w:rPr>
                <w:b/>
                <w:bCs/>
                <w:sz w:val="14"/>
                <w:szCs w:val="14"/>
              </w:rPr>
              <w:t>55.8</w:t>
            </w:r>
          </w:p>
        </w:tc>
        <w:tc>
          <w:tcPr>
            <w:tcW w:w="957" w:type="dxa"/>
            <w:tcBorders>
              <w:top w:val="nil"/>
              <w:left w:val="nil"/>
              <w:bottom w:val="nil"/>
              <w:right w:val="nil"/>
            </w:tcBorders>
            <w:shd w:val="clear" w:color="auto" w:fill="auto"/>
            <w:noWrap/>
            <w:vAlign w:val="center"/>
          </w:tcPr>
          <w:p w:rsidR="00865869" w:rsidRDefault="00865869" w:rsidP="00865869">
            <w:pPr>
              <w:jc w:val="right"/>
              <w:rPr>
                <w:b/>
                <w:bCs/>
                <w:sz w:val="14"/>
                <w:szCs w:val="14"/>
              </w:rPr>
            </w:pPr>
            <w:r>
              <w:rPr>
                <w:b/>
                <w:bCs/>
                <w:sz w:val="14"/>
                <w:szCs w:val="14"/>
              </w:rPr>
              <w:t>74.9</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b/>
                <w:bCs/>
                <w:sz w:val="14"/>
                <w:szCs w:val="14"/>
              </w:rPr>
            </w:pPr>
            <w:r>
              <w:rPr>
                <w:b/>
                <w:bCs/>
                <w:sz w:val="14"/>
                <w:szCs w:val="14"/>
              </w:rPr>
              <w:t>17.6</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b/>
                <w:bCs/>
                <w:sz w:val="14"/>
                <w:szCs w:val="14"/>
              </w:rPr>
            </w:pPr>
            <w:r>
              <w:rPr>
                <w:b/>
                <w:bCs/>
                <w:sz w:val="14"/>
                <w:szCs w:val="14"/>
              </w:rPr>
              <w:t>16.5</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b/>
                <w:bCs/>
                <w:sz w:val="14"/>
                <w:szCs w:val="14"/>
              </w:rPr>
            </w:pPr>
            <w:r>
              <w:rPr>
                <w:b/>
                <w:bCs/>
                <w:sz w:val="14"/>
                <w:szCs w:val="14"/>
              </w:rPr>
              <w:t>23.7</w:t>
            </w:r>
          </w:p>
        </w:tc>
        <w:tc>
          <w:tcPr>
            <w:tcW w:w="900" w:type="dxa"/>
            <w:tcBorders>
              <w:top w:val="nil"/>
              <w:left w:val="nil"/>
              <w:bottom w:val="nil"/>
              <w:right w:val="nil"/>
            </w:tcBorders>
            <w:shd w:val="clear" w:color="auto" w:fill="auto"/>
            <w:vAlign w:val="center"/>
          </w:tcPr>
          <w:p w:rsidR="00865869" w:rsidRDefault="00865869" w:rsidP="00865869">
            <w:pPr>
              <w:jc w:val="right"/>
              <w:rPr>
                <w:b/>
                <w:bCs/>
                <w:sz w:val="14"/>
                <w:szCs w:val="14"/>
              </w:rPr>
            </w:pPr>
            <w:r>
              <w:rPr>
                <w:b/>
                <w:bCs/>
                <w:sz w:val="14"/>
                <w:szCs w:val="14"/>
              </w:rPr>
              <w:t>20.0</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11.9</w:t>
            </w: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26.0</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r>
              <w:rPr>
                <w:sz w:val="14"/>
                <w:szCs w:val="14"/>
              </w:rPr>
              <w:t>5.3</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sz w:val="14"/>
                <w:szCs w:val="14"/>
              </w:rPr>
            </w:pPr>
            <w:r>
              <w:rPr>
                <w:sz w:val="14"/>
                <w:szCs w:val="14"/>
              </w:rPr>
              <w:t>5.5</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11.0</w:t>
            </w: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r>
              <w:rPr>
                <w:sz w:val="14"/>
                <w:szCs w:val="14"/>
              </w:rPr>
              <w:t>7.6</w:t>
            </w:r>
          </w:p>
        </w:tc>
      </w:tr>
      <w:tr w:rsidR="00865869" w:rsidRPr="006D5F74" w:rsidTr="009B49D2">
        <w:trPr>
          <w:trHeight w:hRule="exact" w:val="176"/>
        </w:trPr>
        <w:tc>
          <w:tcPr>
            <w:tcW w:w="4539" w:type="dxa"/>
            <w:tcBorders>
              <w:top w:val="nil"/>
              <w:left w:val="nil"/>
              <w:bottom w:val="single" w:sz="8" w:space="0" w:color="auto"/>
              <w:right w:val="nil"/>
            </w:tcBorders>
            <w:shd w:val="clear" w:color="auto" w:fill="auto"/>
            <w:noWrap/>
            <w:vAlign w:val="bottom"/>
            <w:hideMark/>
          </w:tcPr>
          <w:p w:rsidR="00865869" w:rsidRPr="006D5F74" w:rsidRDefault="00865869" w:rsidP="00865869">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865869" w:rsidRDefault="00865869" w:rsidP="00865869">
            <w:pPr>
              <w:jc w:val="right"/>
              <w:rPr>
                <w:sz w:val="14"/>
                <w:szCs w:val="14"/>
              </w:rPr>
            </w:pPr>
            <w:r>
              <w:rPr>
                <w:sz w:val="14"/>
                <w:szCs w:val="14"/>
              </w:rPr>
              <w:t>43.9</w:t>
            </w:r>
          </w:p>
        </w:tc>
        <w:tc>
          <w:tcPr>
            <w:tcW w:w="957" w:type="dxa"/>
            <w:tcBorders>
              <w:top w:val="nil"/>
              <w:left w:val="nil"/>
              <w:bottom w:val="single" w:sz="8" w:space="0" w:color="auto"/>
              <w:right w:val="nil"/>
            </w:tcBorders>
            <w:shd w:val="clear" w:color="auto" w:fill="auto"/>
            <w:noWrap/>
            <w:vAlign w:val="center"/>
          </w:tcPr>
          <w:p w:rsidR="00865869" w:rsidRDefault="00865869" w:rsidP="00865869">
            <w:pPr>
              <w:jc w:val="right"/>
              <w:rPr>
                <w:sz w:val="14"/>
                <w:szCs w:val="14"/>
              </w:rPr>
            </w:pPr>
            <w:r>
              <w:rPr>
                <w:sz w:val="14"/>
                <w:szCs w:val="14"/>
              </w:rPr>
              <w:t>49.0</w:t>
            </w:r>
          </w:p>
        </w:tc>
        <w:tc>
          <w:tcPr>
            <w:tcW w:w="867" w:type="dxa"/>
            <w:tcBorders>
              <w:top w:val="nil"/>
              <w:left w:val="nil"/>
              <w:bottom w:val="single" w:sz="8" w:space="0" w:color="auto"/>
              <w:right w:val="nil"/>
            </w:tcBorders>
            <w:shd w:val="clear" w:color="auto" w:fill="auto"/>
            <w:noWrap/>
            <w:vAlign w:val="center"/>
            <w:hideMark/>
          </w:tcPr>
          <w:p w:rsidR="00865869" w:rsidRDefault="00865869" w:rsidP="00865869">
            <w:pPr>
              <w:jc w:val="right"/>
              <w:rPr>
                <w:sz w:val="14"/>
                <w:szCs w:val="14"/>
              </w:rPr>
            </w:pPr>
            <w:r>
              <w:rPr>
                <w:sz w:val="14"/>
                <w:szCs w:val="14"/>
              </w:rPr>
              <w:t>12.3</w:t>
            </w:r>
          </w:p>
        </w:tc>
        <w:tc>
          <w:tcPr>
            <w:tcW w:w="900" w:type="dxa"/>
            <w:gridSpan w:val="2"/>
            <w:tcBorders>
              <w:top w:val="nil"/>
              <w:left w:val="nil"/>
              <w:bottom w:val="single" w:sz="8" w:space="0" w:color="auto"/>
              <w:right w:val="nil"/>
            </w:tcBorders>
            <w:shd w:val="clear" w:color="auto" w:fill="auto"/>
            <w:noWrap/>
            <w:vAlign w:val="center"/>
          </w:tcPr>
          <w:p w:rsidR="00865869" w:rsidRDefault="00865869" w:rsidP="00865869">
            <w:pPr>
              <w:jc w:val="right"/>
              <w:rPr>
                <w:sz w:val="14"/>
                <w:szCs w:val="14"/>
              </w:rPr>
            </w:pPr>
            <w:r>
              <w:rPr>
                <w:sz w:val="14"/>
                <w:szCs w:val="14"/>
              </w:rPr>
              <w:t>10.9</w:t>
            </w:r>
          </w:p>
        </w:tc>
        <w:tc>
          <w:tcPr>
            <w:tcW w:w="990" w:type="dxa"/>
            <w:gridSpan w:val="2"/>
            <w:tcBorders>
              <w:top w:val="nil"/>
              <w:left w:val="nil"/>
              <w:bottom w:val="single" w:sz="8" w:space="0" w:color="auto"/>
              <w:right w:val="nil"/>
            </w:tcBorders>
            <w:shd w:val="clear" w:color="auto" w:fill="auto"/>
            <w:vAlign w:val="center"/>
          </w:tcPr>
          <w:p w:rsidR="00865869" w:rsidRDefault="00865869" w:rsidP="00865869">
            <w:pPr>
              <w:jc w:val="right"/>
              <w:rPr>
                <w:sz w:val="14"/>
                <w:szCs w:val="14"/>
              </w:rPr>
            </w:pPr>
            <w:r>
              <w:rPr>
                <w:sz w:val="14"/>
                <w:szCs w:val="14"/>
              </w:rPr>
              <w:t>12.7</w:t>
            </w:r>
          </w:p>
        </w:tc>
        <w:tc>
          <w:tcPr>
            <w:tcW w:w="900" w:type="dxa"/>
            <w:tcBorders>
              <w:top w:val="nil"/>
              <w:left w:val="nil"/>
              <w:bottom w:val="single" w:sz="8" w:space="0" w:color="auto"/>
              <w:right w:val="nil"/>
            </w:tcBorders>
            <w:shd w:val="clear" w:color="auto" w:fill="auto"/>
            <w:vAlign w:val="center"/>
          </w:tcPr>
          <w:p w:rsidR="00865869" w:rsidRDefault="00865869" w:rsidP="00865869">
            <w:pPr>
              <w:jc w:val="right"/>
              <w:rPr>
                <w:sz w:val="14"/>
                <w:szCs w:val="14"/>
              </w:rPr>
            </w:pPr>
            <w:r>
              <w:rPr>
                <w:sz w:val="14"/>
                <w:szCs w:val="14"/>
              </w:rPr>
              <w:t>12.4</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p>
        </w:tc>
        <w:tc>
          <w:tcPr>
            <w:tcW w:w="957" w:type="dxa"/>
            <w:tcBorders>
              <w:top w:val="nil"/>
              <w:left w:val="nil"/>
              <w:bottom w:val="nil"/>
              <w:right w:val="nil"/>
            </w:tcBorders>
            <w:shd w:val="clear" w:color="auto" w:fill="auto"/>
            <w:noWrap/>
            <w:vAlign w:val="center"/>
          </w:tcPr>
          <w:p w:rsidR="00865869" w:rsidRDefault="00865869" w:rsidP="00865869">
            <w:pPr>
              <w:jc w:val="right"/>
              <w:rPr>
                <w:sz w:val="14"/>
                <w:szCs w:val="14"/>
              </w:rPr>
            </w:pPr>
          </w:p>
        </w:tc>
        <w:tc>
          <w:tcPr>
            <w:tcW w:w="867" w:type="dxa"/>
            <w:tcBorders>
              <w:top w:val="nil"/>
              <w:left w:val="nil"/>
              <w:bottom w:val="nil"/>
              <w:right w:val="nil"/>
            </w:tcBorders>
            <w:shd w:val="clear" w:color="auto" w:fill="auto"/>
            <w:noWrap/>
            <w:vAlign w:val="center"/>
            <w:hideMark/>
          </w:tcPr>
          <w:p w:rsidR="00865869" w:rsidRDefault="00865869" w:rsidP="00865869">
            <w:pPr>
              <w:jc w:val="right"/>
              <w:rPr>
                <w:sz w:val="14"/>
                <w:szCs w:val="14"/>
              </w:rPr>
            </w:pPr>
          </w:p>
        </w:tc>
        <w:tc>
          <w:tcPr>
            <w:tcW w:w="900" w:type="dxa"/>
            <w:gridSpan w:val="2"/>
            <w:tcBorders>
              <w:top w:val="nil"/>
              <w:left w:val="nil"/>
              <w:bottom w:val="nil"/>
              <w:right w:val="nil"/>
            </w:tcBorders>
            <w:shd w:val="clear" w:color="auto" w:fill="auto"/>
            <w:noWrap/>
            <w:vAlign w:val="center"/>
          </w:tcPr>
          <w:p w:rsidR="00865869" w:rsidRDefault="00865869" w:rsidP="00865869">
            <w:pPr>
              <w:jc w:val="right"/>
            </w:pPr>
          </w:p>
        </w:tc>
        <w:tc>
          <w:tcPr>
            <w:tcW w:w="990" w:type="dxa"/>
            <w:gridSpan w:val="2"/>
            <w:tcBorders>
              <w:top w:val="nil"/>
              <w:left w:val="nil"/>
              <w:bottom w:val="nil"/>
              <w:right w:val="nil"/>
            </w:tcBorders>
            <w:shd w:val="clear" w:color="auto" w:fill="auto"/>
            <w:vAlign w:val="center"/>
          </w:tcPr>
          <w:p w:rsidR="00865869" w:rsidRDefault="00865869" w:rsidP="00865869">
            <w:pPr>
              <w:jc w:val="right"/>
            </w:pPr>
          </w:p>
        </w:tc>
        <w:tc>
          <w:tcPr>
            <w:tcW w:w="900" w:type="dxa"/>
            <w:tcBorders>
              <w:top w:val="nil"/>
              <w:left w:val="nil"/>
              <w:bottom w:val="nil"/>
              <w:right w:val="nil"/>
            </w:tcBorders>
            <w:shd w:val="clear" w:color="auto" w:fill="auto"/>
            <w:vAlign w:val="center"/>
          </w:tcPr>
          <w:p w:rsidR="00865869" w:rsidRDefault="00865869" w:rsidP="00865869">
            <w:pPr>
              <w:jc w:val="right"/>
              <w:rPr>
                <w:sz w:val="14"/>
                <w:szCs w:val="14"/>
              </w:rPr>
            </w:pPr>
          </w:p>
        </w:tc>
      </w:tr>
      <w:tr w:rsidR="00865869" w:rsidRPr="006D5F74" w:rsidTr="000A0201">
        <w:trPr>
          <w:trHeight w:hRule="exact" w:val="352"/>
        </w:trPr>
        <w:tc>
          <w:tcPr>
            <w:tcW w:w="4539" w:type="dxa"/>
            <w:tcBorders>
              <w:top w:val="nil"/>
              <w:left w:val="nil"/>
              <w:bottom w:val="nil"/>
              <w:right w:val="nil"/>
            </w:tcBorders>
            <w:shd w:val="clear" w:color="auto" w:fill="auto"/>
            <w:noWrap/>
            <w:vAlign w:val="center"/>
            <w:hideMark/>
          </w:tcPr>
          <w:p w:rsidR="00865869" w:rsidRPr="006D5F74" w:rsidRDefault="00865869" w:rsidP="00865869">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b/>
                <w:bCs/>
                <w:color w:val="000000"/>
                <w:sz w:val="14"/>
                <w:szCs w:val="14"/>
              </w:rPr>
            </w:pPr>
            <w:r>
              <w:rPr>
                <w:b/>
                <w:bCs/>
                <w:color w:val="000000"/>
                <w:sz w:val="14"/>
                <w:szCs w:val="14"/>
              </w:rPr>
              <w:t>205.8</w:t>
            </w:r>
          </w:p>
        </w:tc>
        <w:tc>
          <w:tcPr>
            <w:tcW w:w="957" w:type="dxa"/>
            <w:tcBorders>
              <w:top w:val="nil"/>
              <w:left w:val="nil"/>
              <w:bottom w:val="nil"/>
              <w:right w:val="nil"/>
            </w:tcBorders>
            <w:shd w:val="clear" w:color="auto" w:fill="auto"/>
            <w:noWrap/>
            <w:vAlign w:val="center"/>
          </w:tcPr>
          <w:p w:rsidR="00865869" w:rsidRDefault="00865869" w:rsidP="00865869">
            <w:pPr>
              <w:jc w:val="right"/>
              <w:rPr>
                <w:b/>
                <w:bCs/>
                <w:color w:val="000000"/>
                <w:sz w:val="14"/>
                <w:szCs w:val="14"/>
              </w:rPr>
            </w:pPr>
            <w:r>
              <w:rPr>
                <w:b/>
                <w:bCs/>
                <w:color w:val="000000"/>
                <w:sz w:val="14"/>
                <w:szCs w:val="14"/>
              </w:rPr>
              <w:t>278.3</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b/>
                <w:bCs/>
                <w:color w:val="000000"/>
                <w:sz w:val="14"/>
                <w:szCs w:val="14"/>
              </w:rPr>
            </w:pPr>
            <w:r>
              <w:rPr>
                <w:b/>
                <w:bCs/>
                <w:color w:val="000000"/>
                <w:sz w:val="14"/>
                <w:szCs w:val="14"/>
              </w:rPr>
              <w:t>103.2</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b/>
                <w:bCs/>
                <w:color w:val="000000"/>
                <w:sz w:val="14"/>
                <w:szCs w:val="14"/>
              </w:rPr>
            </w:pPr>
            <w:r>
              <w:rPr>
                <w:b/>
                <w:bCs/>
                <w:color w:val="000000"/>
                <w:sz w:val="14"/>
                <w:szCs w:val="14"/>
              </w:rPr>
              <w:t>33.9</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b/>
                <w:bCs/>
                <w:color w:val="000000"/>
                <w:sz w:val="14"/>
                <w:szCs w:val="14"/>
              </w:rPr>
            </w:pPr>
            <w:r>
              <w:rPr>
                <w:b/>
                <w:bCs/>
                <w:color w:val="000000"/>
                <w:sz w:val="14"/>
                <w:szCs w:val="14"/>
              </w:rPr>
              <w:t>29.4</w:t>
            </w:r>
          </w:p>
        </w:tc>
        <w:tc>
          <w:tcPr>
            <w:tcW w:w="900" w:type="dxa"/>
            <w:tcBorders>
              <w:top w:val="nil"/>
              <w:left w:val="nil"/>
              <w:bottom w:val="nil"/>
              <w:right w:val="nil"/>
            </w:tcBorders>
            <w:shd w:val="clear" w:color="auto" w:fill="auto"/>
            <w:vAlign w:val="center"/>
          </w:tcPr>
          <w:p w:rsidR="00865869" w:rsidRDefault="00865869" w:rsidP="00865869">
            <w:pPr>
              <w:jc w:val="right"/>
              <w:rPr>
                <w:b/>
                <w:bCs/>
                <w:color w:val="000000"/>
                <w:sz w:val="14"/>
                <w:szCs w:val="14"/>
              </w:rPr>
            </w:pPr>
            <w:r>
              <w:rPr>
                <w:b/>
                <w:bCs/>
                <w:color w:val="000000"/>
                <w:sz w:val="14"/>
                <w:szCs w:val="14"/>
              </w:rPr>
              <w:t>63.6</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color w:val="000000"/>
                <w:sz w:val="14"/>
                <w:szCs w:val="14"/>
              </w:rPr>
            </w:pPr>
            <w:r>
              <w:rPr>
                <w:color w:val="000000"/>
                <w:sz w:val="14"/>
                <w:szCs w:val="14"/>
              </w:rPr>
              <w:t>166.3</w:t>
            </w:r>
          </w:p>
        </w:tc>
        <w:tc>
          <w:tcPr>
            <w:tcW w:w="957" w:type="dxa"/>
            <w:tcBorders>
              <w:top w:val="nil"/>
              <w:left w:val="nil"/>
              <w:bottom w:val="nil"/>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203.3</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color w:val="000000"/>
                <w:sz w:val="14"/>
                <w:szCs w:val="14"/>
              </w:rPr>
            </w:pPr>
            <w:r>
              <w:rPr>
                <w:color w:val="000000"/>
                <w:sz w:val="14"/>
                <w:szCs w:val="14"/>
              </w:rPr>
              <w:t>82.3</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23.1</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color w:val="000000"/>
                <w:sz w:val="14"/>
                <w:szCs w:val="14"/>
              </w:rPr>
            </w:pPr>
            <w:r>
              <w:rPr>
                <w:color w:val="000000"/>
                <w:sz w:val="14"/>
                <w:szCs w:val="14"/>
              </w:rPr>
              <w:t>23.6</w:t>
            </w:r>
          </w:p>
        </w:tc>
        <w:tc>
          <w:tcPr>
            <w:tcW w:w="900" w:type="dxa"/>
            <w:tcBorders>
              <w:top w:val="nil"/>
              <w:left w:val="nil"/>
              <w:bottom w:val="nil"/>
              <w:right w:val="nil"/>
            </w:tcBorders>
            <w:shd w:val="clear" w:color="auto" w:fill="auto"/>
            <w:vAlign w:val="center"/>
          </w:tcPr>
          <w:p w:rsidR="00865869" w:rsidRDefault="00865869" w:rsidP="00865869">
            <w:pPr>
              <w:jc w:val="right"/>
              <w:rPr>
                <w:color w:val="000000"/>
                <w:sz w:val="14"/>
                <w:szCs w:val="14"/>
              </w:rPr>
            </w:pPr>
            <w:r>
              <w:rPr>
                <w:color w:val="000000"/>
                <w:sz w:val="14"/>
                <w:szCs w:val="14"/>
              </w:rPr>
              <w:t>56.3</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color w:val="000000"/>
                <w:sz w:val="14"/>
                <w:szCs w:val="14"/>
              </w:rPr>
            </w:pPr>
            <w:r>
              <w:rPr>
                <w:color w:val="000000"/>
                <w:sz w:val="14"/>
                <w:szCs w:val="14"/>
              </w:rPr>
              <w:t>3.6</w:t>
            </w:r>
          </w:p>
        </w:tc>
        <w:tc>
          <w:tcPr>
            <w:tcW w:w="957" w:type="dxa"/>
            <w:tcBorders>
              <w:top w:val="nil"/>
              <w:left w:val="nil"/>
              <w:bottom w:val="nil"/>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865869" w:rsidRDefault="00865869" w:rsidP="00865869">
            <w:pPr>
              <w:jc w:val="right"/>
              <w:rPr>
                <w:color w:val="000000"/>
                <w:sz w:val="14"/>
                <w:szCs w:val="14"/>
              </w:rPr>
            </w:pPr>
            <w:r>
              <w:rPr>
                <w:color w:val="000000"/>
                <w:sz w:val="14"/>
                <w:szCs w:val="14"/>
              </w:rPr>
              <w:t>-</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color w:val="000000"/>
                <w:sz w:val="14"/>
                <w:szCs w:val="14"/>
              </w:rPr>
            </w:pPr>
            <w:r>
              <w:rPr>
                <w:color w:val="000000"/>
                <w:sz w:val="14"/>
                <w:szCs w:val="14"/>
              </w:rPr>
              <w:t>8,121.8</w:t>
            </w:r>
          </w:p>
        </w:tc>
        <w:tc>
          <w:tcPr>
            <w:tcW w:w="957" w:type="dxa"/>
            <w:tcBorders>
              <w:top w:val="nil"/>
              <w:left w:val="nil"/>
              <w:bottom w:val="nil"/>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4,531.1</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color w:val="000000"/>
                <w:sz w:val="14"/>
                <w:szCs w:val="14"/>
              </w:rPr>
            </w:pPr>
            <w:r>
              <w:rPr>
                <w:color w:val="000000"/>
                <w:sz w:val="14"/>
                <w:szCs w:val="14"/>
              </w:rPr>
              <w:t>1,457.3</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1,039.1</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color w:val="000000"/>
                <w:sz w:val="14"/>
                <w:szCs w:val="14"/>
              </w:rPr>
            </w:pPr>
            <w:r>
              <w:rPr>
                <w:color w:val="000000"/>
                <w:sz w:val="14"/>
                <w:szCs w:val="14"/>
              </w:rPr>
              <w:t>945.3</w:t>
            </w:r>
          </w:p>
        </w:tc>
        <w:tc>
          <w:tcPr>
            <w:tcW w:w="900" w:type="dxa"/>
            <w:tcBorders>
              <w:top w:val="nil"/>
              <w:left w:val="nil"/>
              <w:bottom w:val="nil"/>
              <w:right w:val="nil"/>
            </w:tcBorders>
            <w:shd w:val="clear" w:color="auto" w:fill="auto"/>
            <w:vAlign w:val="center"/>
          </w:tcPr>
          <w:p w:rsidR="00865869" w:rsidRDefault="00865869" w:rsidP="00865869">
            <w:pPr>
              <w:jc w:val="right"/>
              <w:rPr>
                <w:color w:val="000000"/>
                <w:sz w:val="14"/>
                <w:szCs w:val="14"/>
              </w:rPr>
            </w:pPr>
            <w:r>
              <w:rPr>
                <w:color w:val="000000"/>
                <w:sz w:val="14"/>
                <w:szCs w:val="14"/>
              </w:rPr>
              <w:t>843.4</w:t>
            </w:r>
          </w:p>
        </w:tc>
      </w:tr>
      <w:tr w:rsidR="00865869" w:rsidRPr="006D5F74" w:rsidTr="009B49D2">
        <w:trPr>
          <w:trHeight w:hRule="exact" w:val="176"/>
        </w:trPr>
        <w:tc>
          <w:tcPr>
            <w:tcW w:w="4539" w:type="dxa"/>
            <w:tcBorders>
              <w:top w:val="nil"/>
              <w:left w:val="nil"/>
              <w:bottom w:val="nil"/>
              <w:right w:val="nil"/>
            </w:tcBorders>
            <w:shd w:val="clear" w:color="auto" w:fill="auto"/>
            <w:noWrap/>
            <w:vAlign w:val="bottom"/>
            <w:hideMark/>
          </w:tcPr>
          <w:p w:rsidR="00865869" w:rsidRPr="006D5F74" w:rsidRDefault="00865869" w:rsidP="00865869">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865869" w:rsidRDefault="00865869" w:rsidP="00865869">
            <w:pPr>
              <w:jc w:val="right"/>
              <w:rPr>
                <w:i/>
                <w:iCs/>
                <w:color w:val="000000"/>
                <w:sz w:val="14"/>
                <w:szCs w:val="14"/>
              </w:rPr>
            </w:pPr>
            <w:r>
              <w:rPr>
                <w:i/>
                <w:iCs/>
                <w:color w:val="000000"/>
                <w:sz w:val="14"/>
                <w:szCs w:val="14"/>
              </w:rPr>
              <w:t>(41.9)</w:t>
            </w:r>
          </w:p>
        </w:tc>
        <w:tc>
          <w:tcPr>
            <w:tcW w:w="957" w:type="dxa"/>
            <w:tcBorders>
              <w:top w:val="nil"/>
              <w:left w:val="nil"/>
              <w:bottom w:val="nil"/>
              <w:right w:val="nil"/>
            </w:tcBorders>
            <w:shd w:val="clear" w:color="auto" w:fill="auto"/>
            <w:noWrap/>
            <w:vAlign w:val="center"/>
          </w:tcPr>
          <w:p w:rsidR="00865869" w:rsidRDefault="00865869" w:rsidP="00865869">
            <w:pPr>
              <w:jc w:val="right"/>
              <w:rPr>
                <w:i/>
                <w:iCs/>
                <w:color w:val="000000"/>
                <w:sz w:val="14"/>
                <w:szCs w:val="14"/>
              </w:rPr>
            </w:pPr>
            <w:r>
              <w:rPr>
                <w:i/>
                <w:iCs/>
                <w:color w:val="000000"/>
                <w:sz w:val="14"/>
                <w:szCs w:val="14"/>
              </w:rPr>
              <w:t>23.4</w:t>
            </w:r>
          </w:p>
        </w:tc>
        <w:tc>
          <w:tcPr>
            <w:tcW w:w="867" w:type="dxa"/>
            <w:tcBorders>
              <w:top w:val="nil"/>
              <w:left w:val="nil"/>
              <w:bottom w:val="nil"/>
              <w:right w:val="nil"/>
            </w:tcBorders>
            <w:shd w:val="clear" w:color="auto" w:fill="auto"/>
            <w:noWrap/>
            <w:vAlign w:val="center"/>
            <w:hideMark/>
          </w:tcPr>
          <w:p w:rsidR="00865869" w:rsidRDefault="00865869" w:rsidP="00865869">
            <w:pPr>
              <w:jc w:val="right"/>
              <w:rPr>
                <w:i/>
                <w:iCs/>
                <w:color w:val="000000"/>
                <w:sz w:val="14"/>
                <w:szCs w:val="14"/>
              </w:rPr>
            </w:pPr>
            <w:r>
              <w:rPr>
                <w:i/>
                <w:iCs/>
                <w:color w:val="000000"/>
                <w:sz w:val="14"/>
                <w:szCs w:val="14"/>
              </w:rPr>
              <w:t>47.9</w:t>
            </w:r>
          </w:p>
        </w:tc>
        <w:tc>
          <w:tcPr>
            <w:tcW w:w="900" w:type="dxa"/>
            <w:gridSpan w:val="2"/>
            <w:tcBorders>
              <w:top w:val="nil"/>
              <w:left w:val="nil"/>
              <w:bottom w:val="nil"/>
              <w:right w:val="nil"/>
            </w:tcBorders>
            <w:shd w:val="clear" w:color="auto" w:fill="auto"/>
            <w:noWrap/>
            <w:vAlign w:val="center"/>
          </w:tcPr>
          <w:p w:rsidR="00865869" w:rsidRDefault="00865869" w:rsidP="00865869">
            <w:pPr>
              <w:jc w:val="right"/>
              <w:rPr>
                <w:i/>
                <w:iCs/>
                <w:color w:val="000000"/>
                <w:sz w:val="14"/>
                <w:szCs w:val="14"/>
              </w:rPr>
            </w:pPr>
            <w:r>
              <w:rPr>
                <w:i/>
                <w:iCs/>
                <w:color w:val="000000"/>
                <w:sz w:val="14"/>
                <w:szCs w:val="14"/>
              </w:rPr>
              <w:t>(12.9)</w:t>
            </w:r>
          </w:p>
        </w:tc>
        <w:tc>
          <w:tcPr>
            <w:tcW w:w="990" w:type="dxa"/>
            <w:gridSpan w:val="2"/>
            <w:tcBorders>
              <w:top w:val="nil"/>
              <w:left w:val="nil"/>
              <w:bottom w:val="nil"/>
              <w:right w:val="nil"/>
            </w:tcBorders>
            <w:shd w:val="clear" w:color="auto" w:fill="auto"/>
            <w:vAlign w:val="center"/>
          </w:tcPr>
          <w:p w:rsidR="00865869" w:rsidRDefault="00865869" w:rsidP="00865869">
            <w:pPr>
              <w:jc w:val="right"/>
              <w:rPr>
                <w:i/>
                <w:iCs/>
                <w:color w:val="000000"/>
                <w:sz w:val="14"/>
                <w:szCs w:val="14"/>
              </w:rPr>
            </w:pPr>
            <w:r>
              <w:rPr>
                <w:i/>
                <w:iCs/>
                <w:color w:val="000000"/>
                <w:sz w:val="14"/>
                <w:szCs w:val="14"/>
              </w:rPr>
              <w:t>(18.1)</w:t>
            </w:r>
          </w:p>
        </w:tc>
        <w:tc>
          <w:tcPr>
            <w:tcW w:w="900" w:type="dxa"/>
            <w:tcBorders>
              <w:top w:val="nil"/>
              <w:left w:val="nil"/>
              <w:bottom w:val="nil"/>
              <w:right w:val="nil"/>
            </w:tcBorders>
            <w:shd w:val="clear" w:color="auto" w:fill="auto"/>
            <w:vAlign w:val="center"/>
          </w:tcPr>
          <w:p w:rsidR="00865869" w:rsidRDefault="00865869" w:rsidP="00865869">
            <w:pPr>
              <w:jc w:val="right"/>
              <w:rPr>
                <w:i/>
                <w:iCs/>
                <w:color w:val="000000"/>
                <w:sz w:val="14"/>
                <w:szCs w:val="14"/>
              </w:rPr>
            </w:pPr>
            <w:r>
              <w:rPr>
                <w:i/>
                <w:iCs/>
                <w:color w:val="000000"/>
                <w:sz w:val="14"/>
                <w:szCs w:val="14"/>
              </w:rPr>
              <w:t>(52.6)</w:t>
            </w:r>
          </w:p>
        </w:tc>
      </w:tr>
      <w:tr w:rsidR="00865869" w:rsidRPr="006D5F74" w:rsidTr="009B49D2">
        <w:trPr>
          <w:trHeight w:hRule="exact" w:val="176"/>
        </w:trPr>
        <w:tc>
          <w:tcPr>
            <w:tcW w:w="4539" w:type="dxa"/>
            <w:tcBorders>
              <w:top w:val="nil"/>
              <w:left w:val="nil"/>
              <w:bottom w:val="single" w:sz="4" w:space="0" w:color="auto"/>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865869" w:rsidRDefault="00865869" w:rsidP="00865869">
            <w:pPr>
              <w:jc w:val="right"/>
              <w:rPr>
                <w:color w:val="000000"/>
                <w:sz w:val="14"/>
                <w:szCs w:val="14"/>
              </w:rPr>
            </w:pPr>
            <w:r>
              <w:rPr>
                <w:color w:val="000000"/>
                <w:sz w:val="14"/>
                <w:szCs w:val="14"/>
              </w:rPr>
              <w:t>35.9</w:t>
            </w:r>
          </w:p>
        </w:tc>
        <w:tc>
          <w:tcPr>
            <w:tcW w:w="957" w:type="dxa"/>
            <w:tcBorders>
              <w:top w:val="nil"/>
              <w:left w:val="nil"/>
              <w:bottom w:val="single" w:sz="4" w:space="0" w:color="auto"/>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75.0</w:t>
            </w:r>
          </w:p>
        </w:tc>
        <w:tc>
          <w:tcPr>
            <w:tcW w:w="867" w:type="dxa"/>
            <w:tcBorders>
              <w:top w:val="nil"/>
              <w:left w:val="nil"/>
              <w:bottom w:val="single" w:sz="4" w:space="0" w:color="auto"/>
              <w:right w:val="nil"/>
            </w:tcBorders>
            <w:shd w:val="clear" w:color="auto" w:fill="auto"/>
            <w:noWrap/>
            <w:vAlign w:val="center"/>
            <w:hideMark/>
          </w:tcPr>
          <w:p w:rsidR="00865869" w:rsidRDefault="00865869" w:rsidP="00865869">
            <w:pPr>
              <w:jc w:val="right"/>
              <w:rPr>
                <w:color w:val="000000"/>
                <w:sz w:val="14"/>
                <w:szCs w:val="14"/>
              </w:rPr>
            </w:pPr>
            <w:r>
              <w:rPr>
                <w:color w:val="000000"/>
                <w:sz w:val="14"/>
                <w:szCs w:val="14"/>
              </w:rPr>
              <w:t>20.9</w:t>
            </w:r>
          </w:p>
        </w:tc>
        <w:tc>
          <w:tcPr>
            <w:tcW w:w="900" w:type="dxa"/>
            <w:gridSpan w:val="2"/>
            <w:tcBorders>
              <w:top w:val="nil"/>
              <w:left w:val="nil"/>
              <w:bottom w:val="single" w:sz="4" w:space="0" w:color="auto"/>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10.7</w:t>
            </w:r>
          </w:p>
        </w:tc>
        <w:tc>
          <w:tcPr>
            <w:tcW w:w="990" w:type="dxa"/>
            <w:gridSpan w:val="2"/>
            <w:tcBorders>
              <w:top w:val="nil"/>
              <w:left w:val="nil"/>
              <w:bottom w:val="single" w:sz="4" w:space="0" w:color="auto"/>
              <w:right w:val="nil"/>
            </w:tcBorders>
            <w:shd w:val="clear" w:color="auto" w:fill="auto"/>
            <w:vAlign w:val="center"/>
          </w:tcPr>
          <w:p w:rsidR="00865869" w:rsidRDefault="00865869" w:rsidP="00865869">
            <w:pPr>
              <w:jc w:val="right"/>
              <w:rPr>
                <w:color w:val="000000"/>
                <w:sz w:val="14"/>
                <w:szCs w:val="14"/>
              </w:rPr>
            </w:pPr>
            <w:r>
              <w:rPr>
                <w:color w:val="000000"/>
                <w:sz w:val="14"/>
                <w:szCs w:val="14"/>
              </w:rPr>
              <w:t>5.8</w:t>
            </w:r>
          </w:p>
        </w:tc>
        <w:tc>
          <w:tcPr>
            <w:tcW w:w="900" w:type="dxa"/>
            <w:tcBorders>
              <w:top w:val="nil"/>
              <w:left w:val="nil"/>
              <w:bottom w:val="single" w:sz="4" w:space="0" w:color="auto"/>
              <w:right w:val="nil"/>
            </w:tcBorders>
            <w:shd w:val="clear" w:color="auto" w:fill="auto"/>
            <w:vAlign w:val="center"/>
          </w:tcPr>
          <w:p w:rsidR="00865869" w:rsidRDefault="00865869" w:rsidP="00865869">
            <w:pPr>
              <w:jc w:val="right"/>
              <w:rPr>
                <w:color w:val="000000"/>
                <w:sz w:val="14"/>
                <w:szCs w:val="14"/>
              </w:rPr>
            </w:pPr>
            <w:r>
              <w:rPr>
                <w:color w:val="000000"/>
                <w:sz w:val="14"/>
                <w:szCs w:val="14"/>
              </w:rPr>
              <w:t>7.3</w:t>
            </w:r>
          </w:p>
        </w:tc>
      </w:tr>
      <w:tr w:rsidR="00865869" w:rsidRPr="006D5F74" w:rsidTr="00F762A2">
        <w:trPr>
          <w:trHeight w:hRule="exact" w:val="220"/>
        </w:trPr>
        <w:tc>
          <w:tcPr>
            <w:tcW w:w="4539" w:type="dxa"/>
            <w:tcBorders>
              <w:top w:val="single" w:sz="4" w:space="0" w:color="auto"/>
              <w:left w:val="nil"/>
              <w:bottom w:val="nil"/>
              <w:right w:val="nil"/>
            </w:tcBorders>
            <w:shd w:val="clear" w:color="auto" w:fill="auto"/>
            <w:noWrap/>
            <w:vAlign w:val="bottom"/>
            <w:hideMark/>
          </w:tcPr>
          <w:p w:rsidR="00865869" w:rsidRPr="006D5F74" w:rsidRDefault="00865869" w:rsidP="00865869">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865869" w:rsidRPr="006D5F74" w:rsidRDefault="00865869" w:rsidP="00865869">
            <w:pPr>
              <w:jc w:val="right"/>
              <w:rPr>
                <w:b/>
                <w:bCs/>
                <w:sz w:val="14"/>
                <w:szCs w:val="14"/>
              </w:rPr>
            </w:pPr>
            <w:r>
              <w:rPr>
                <w:b/>
                <w:bCs/>
                <w:sz w:val="14"/>
                <w:szCs w:val="14"/>
              </w:rPr>
              <w:t>FY18</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rsidR="00865869" w:rsidRPr="00043967" w:rsidRDefault="00865869" w:rsidP="00865869">
            <w:pPr>
              <w:jc w:val="right"/>
              <w:rPr>
                <w:b/>
                <w:bCs/>
                <w:sz w:val="14"/>
                <w:szCs w:val="14"/>
              </w:rPr>
            </w:pPr>
            <w:r w:rsidRPr="00043967">
              <w:rPr>
                <w:b/>
                <w:bCs/>
                <w:sz w:val="14"/>
                <w:szCs w:val="14"/>
              </w:rPr>
              <w:t>FY19</w:t>
            </w:r>
            <w:r>
              <w:rPr>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rsidR="00865869" w:rsidRDefault="00865869" w:rsidP="00865869">
            <w:pPr>
              <w:jc w:val="right"/>
            </w:pPr>
            <w:r w:rsidRPr="0025339E">
              <w:rPr>
                <w:b/>
                <w:bCs/>
                <w:sz w:val="14"/>
                <w:szCs w:val="14"/>
              </w:rPr>
              <w:t>FY19</w:t>
            </w:r>
            <w:r w:rsidRPr="0025339E">
              <w:rPr>
                <w:b/>
                <w:bCs/>
                <w:sz w:val="14"/>
                <w:szCs w:val="14"/>
                <w:vertAlign w:val="superscript"/>
              </w:rPr>
              <w:t>P</w:t>
            </w:r>
          </w:p>
        </w:tc>
        <w:tc>
          <w:tcPr>
            <w:tcW w:w="900" w:type="dxa"/>
            <w:gridSpan w:val="2"/>
            <w:tcBorders>
              <w:top w:val="single" w:sz="4" w:space="0" w:color="auto"/>
              <w:left w:val="nil"/>
              <w:bottom w:val="nil"/>
              <w:right w:val="nil"/>
            </w:tcBorders>
            <w:shd w:val="clear" w:color="auto" w:fill="auto"/>
            <w:noWrap/>
            <w:vAlign w:val="center"/>
          </w:tcPr>
          <w:p w:rsidR="00865869" w:rsidRDefault="00865869" w:rsidP="00865869">
            <w:pPr>
              <w:jc w:val="right"/>
            </w:pPr>
            <w:r w:rsidRPr="0025339E">
              <w:rPr>
                <w:b/>
                <w:bCs/>
                <w:sz w:val="14"/>
                <w:szCs w:val="14"/>
              </w:rPr>
              <w:t>FY19</w:t>
            </w:r>
            <w:r w:rsidRPr="0025339E">
              <w:rPr>
                <w:b/>
                <w:bCs/>
                <w:sz w:val="14"/>
                <w:szCs w:val="14"/>
                <w:vertAlign w:val="superscript"/>
              </w:rPr>
              <w:t>P</w:t>
            </w:r>
          </w:p>
        </w:tc>
        <w:tc>
          <w:tcPr>
            <w:tcW w:w="990" w:type="dxa"/>
            <w:gridSpan w:val="2"/>
            <w:tcBorders>
              <w:top w:val="single" w:sz="4" w:space="0" w:color="auto"/>
              <w:left w:val="nil"/>
              <w:bottom w:val="nil"/>
              <w:right w:val="nil"/>
            </w:tcBorders>
            <w:shd w:val="clear" w:color="auto" w:fill="auto"/>
            <w:vAlign w:val="center"/>
          </w:tcPr>
          <w:p w:rsidR="00865869" w:rsidRDefault="00865869" w:rsidP="00865869">
            <w:pPr>
              <w:jc w:val="right"/>
            </w:pPr>
            <w:r w:rsidRPr="0025339E">
              <w:rPr>
                <w:b/>
                <w:bCs/>
                <w:sz w:val="14"/>
                <w:szCs w:val="14"/>
              </w:rPr>
              <w:t>FY19</w:t>
            </w:r>
            <w:r w:rsidRPr="0025339E">
              <w:rPr>
                <w:b/>
                <w:bCs/>
                <w:sz w:val="14"/>
                <w:szCs w:val="14"/>
                <w:vertAlign w:val="superscript"/>
              </w:rPr>
              <w:t>P</w:t>
            </w:r>
          </w:p>
        </w:tc>
        <w:tc>
          <w:tcPr>
            <w:tcW w:w="900" w:type="dxa"/>
            <w:tcBorders>
              <w:top w:val="single" w:sz="4" w:space="0" w:color="auto"/>
              <w:left w:val="nil"/>
              <w:bottom w:val="nil"/>
              <w:right w:val="nil"/>
            </w:tcBorders>
            <w:shd w:val="clear" w:color="auto" w:fill="auto"/>
            <w:vAlign w:val="center"/>
          </w:tcPr>
          <w:p w:rsidR="00865869" w:rsidRPr="00865869" w:rsidRDefault="00865869" w:rsidP="00865869">
            <w:pPr>
              <w:jc w:val="right"/>
              <w:rPr>
                <w:rFonts w:asciiTheme="majorBidi" w:hAnsiTheme="majorBidi" w:cstheme="majorBidi"/>
                <w:b/>
                <w:bCs/>
                <w:sz w:val="14"/>
                <w:szCs w:val="14"/>
              </w:rPr>
            </w:pPr>
            <w:r w:rsidRPr="00865869">
              <w:rPr>
                <w:rFonts w:asciiTheme="majorBidi" w:hAnsiTheme="majorBidi" w:cstheme="majorBidi"/>
                <w:b/>
                <w:bCs/>
                <w:sz w:val="14"/>
                <w:szCs w:val="14"/>
              </w:rPr>
              <w:t>FY20</w:t>
            </w:r>
            <w:r w:rsidRPr="00865869">
              <w:rPr>
                <w:rFonts w:asciiTheme="majorBidi" w:hAnsiTheme="majorBidi" w:cstheme="majorBidi"/>
                <w:b/>
                <w:bCs/>
                <w:sz w:val="14"/>
                <w:szCs w:val="14"/>
                <w:vertAlign w:val="superscript"/>
              </w:rPr>
              <w:t>T</w:t>
            </w:r>
          </w:p>
        </w:tc>
      </w:tr>
      <w:tr w:rsidR="00865869" w:rsidRPr="006D5F74" w:rsidTr="00F762A2">
        <w:trPr>
          <w:trHeight w:hRule="exact" w:val="247"/>
        </w:trPr>
        <w:tc>
          <w:tcPr>
            <w:tcW w:w="4539" w:type="dxa"/>
            <w:tcBorders>
              <w:top w:val="nil"/>
              <w:left w:val="nil"/>
              <w:bottom w:val="single" w:sz="8" w:space="0" w:color="auto"/>
              <w:right w:val="nil"/>
            </w:tcBorders>
            <w:shd w:val="clear" w:color="auto" w:fill="auto"/>
            <w:noWrap/>
            <w:vAlign w:val="center"/>
            <w:hideMark/>
          </w:tcPr>
          <w:p w:rsidR="00865869" w:rsidRPr="006D5F74" w:rsidRDefault="00865869" w:rsidP="00865869">
            <w:pPr>
              <w:ind w:firstLineChars="100" w:firstLine="161"/>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865869" w:rsidRDefault="00865869" w:rsidP="00865869">
            <w:pPr>
              <w:jc w:val="right"/>
              <w:rPr>
                <w:sz w:val="14"/>
                <w:szCs w:val="14"/>
              </w:rPr>
            </w:pPr>
            <w:r>
              <w:rPr>
                <w:sz w:val="14"/>
                <w:szCs w:val="14"/>
              </w:rPr>
              <w:t>34,618.6</w:t>
            </w:r>
          </w:p>
        </w:tc>
        <w:tc>
          <w:tcPr>
            <w:tcW w:w="957" w:type="dxa"/>
            <w:tcBorders>
              <w:top w:val="nil"/>
              <w:left w:val="nil"/>
              <w:bottom w:val="single" w:sz="8" w:space="0" w:color="auto"/>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38,558.8</w:t>
            </w:r>
          </w:p>
        </w:tc>
        <w:tc>
          <w:tcPr>
            <w:tcW w:w="867" w:type="dxa"/>
            <w:tcBorders>
              <w:top w:val="nil"/>
              <w:left w:val="nil"/>
              <w:bottom w:val="single" w:sz="8" w:space="0" w:color="auto"/>
              <w:right w:val="nil"/>
            </w:tcBorders>
            <w:shd w:val="clear" w:color="auto" w:fill="auto"/>
            <w:noWrap/>
            <w:vAlign w:val="center"/>
            <w:hideMark/>
          </w:tcPr>
          <w:p w:rsidR="00865869" w:rsidRDefault="00865869" w:rsidP="00865869">
            <w:pPr>
              <w:jc w:val="right"/>
              <w:rPr>
                <w:color w:val="000000"/>
                <w:sz w:val="14"/>
                <w:szCs w:val="14"/>
              </w:rPr>
            </w:pPr>
            <w:r>
              <w:rPr>
                <w:color w:val="000000"/>
                <w:sz w:val="14"/>
                <w:szCs w:val="14"/>
              </w:rPr>
              <w:t>38,558.8</w:t>
            </w:r>
          </w:p>
        </w:tc>
        <w:tc>
          <w:tcPr>
            <w:tcW w:w="900" w:type="dxa"/>
            <w:gridSpan w:val="2"/>
            <w:tcBorders>
              <w:top w:val="nil"/>
              <w:left w:val="nil"/>
              <w:bottom w:val="single" w:sz="8" w:space="0" w:color="auto"/>
              <w:right w:val="nil"/>
            </w:tcBorders>
            <w:shd w:val="clear" w:color="auto" w:fill="auto"/>
            <w:noWrap/>
            <w:vAlign w:val="center"/>
          </w:tcPr>
          <w:p w:rsidR="00865869" w:rsidRDefault="00865869" w:rsidP="00865869">
            <w:pPr>
              <w:jc w:val="right"/>
              <w:rPr>
                <w:color w:val="000000"/>
                <w:sz w:val="14"/>
                <w:szCs w:val="14"/>
              </w:rPr>
            </w:pPr>
            <w:r>
              <w:rPr>
                <w:color w:val="000000"/>
                <w:sz w:val="14"/>
                <w:szCs w:val="14"/>
              </w:rPr>
              <w:t>38,558.8</w:t>
            </w:r>
          </w:p>
        </w:tc>
        <w:tc>
          <w:tcPr>
            <w:tcW w:w="990" w:type="dxa"/>
            <w:gridSpan w:val="2"/>
            <w:tcBorders>
              <w:top w:val="nil"/>
              <w:left w:val="nil"/>
              <w:bottom w:val="single" w:sz="8" w:space="0" w:color="auto"/>
              <w:right w:val="nil"/>
            </w:tcBorders>
            <w:shd w:val="clear" w:color="auto" w:fill="auto"/>
            <w:vAlign w:val="center"/>
          </w:tcPr>
          <w:p w:rsidR="00865869" w:rsidRDefault="00865869" w:rsidP="00865869">
            <w:pPr>
              <w:jc w:val="right"/>
              <w:rPr>
                <w:color w:val="000000"/>
                <w:sz w:val="14"/>
                <w:szCs w:val="14"/>
              </w:rPr>
            </w:pPr>
            <w:r>
              <w:rPr>
                <w:color w:val="000000"/>
                <w:sz w:val="14"/>
                <w:szCs w:val="14"/>
              </w:rPr>
              <w:t>38,558.8</w:t>
            </w:r>
          </w:p>
        </w:tc>
        <w:tc>
          <w:tcPr>
            <w:tcW w:w="900" w:type="dxa"/>
            <w:tcBorders>
              <w:top w:val="nil"/>
              <w:left w:val="nil"/>
              <w:bottom w:val="single" w:sz="8" w:space="0" w:color="auto"/>
              <w:right w:val="nil"/>
            </w:tcBorders>
            <w:shd w:val="clear" w:color="auto" w:fill="auto"/>
            <w:vAlign w:val="center"/>
          </w:tcPr>
          <w:p w:rsidR="00865869" w:rsidRPr="00865869" w:rsidRDefault="00865869" w:rsidP="00865869">
            <w:pPr>
              <w:jc w:val="right"/>
              <w:rPr>
                <w:rFonts w:asciiTheme="majorBidi" w:hAnsiTheme="majorBidi" w:cstheme="majorBidi"/>
                <w:sz w:val="14"/>
                <w:szCs w:val="14"/>
              </w:rPr>
            </w:pPr>
            <w:r w:rsidRPr="00865869">
              <w:rPr>
                <w:rFonts w:asciiTheme="majorBidi" w:hAnsiTheme="majorBidi" w:cstheme="majorBidi"/>
                <w:sz w:val="14"/>
                <w:szCs w:val="14"/>
              </w:rPr>
              <w:t>43,585.0</w:t>
            </w:r>
          </w:p>
        </w:tc>
      </w:tr>
      <w:tr w:rsidR="00581418"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581418" w:rsidRPr="006D5F74" w:rsidRDefault="00581418" w:rsidP="00581418">
            <w:pPr>
              <w:rPr>
                <w:sz w:val="12"/>
                <w:szCs w:val="12"/>
              </w:rPr>
            </w:pPr>
            <w:r w:rsidRPr="008513CF">
              <w:rPr>
                <w:sz w:val="12"/>
                <w:szCs w:val="12"/>
              </w:rPr>
              <w:t>1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581418" w:rsidRPr="006D5F74" w:rsidTr="00446F69">
        <w:trPr>
          <w:trHeight w:val="183"/>
        </w:trPr>
        <w:tc>
          <w:tcPr>
            <w:tcW w:w="10098" w:type="dxa"/>
            <w:gridSpan w:val="9"/>
            <w:tcBorders>
              <w:top w:val="nil"/>
              <w:left w:val="nil"/>
              <w:bottom w:val="nil"/>
              <w:right w:val="nil"/>
            </w:tcBorders>
            <w:shd w:val="clear" w:color="auto" w:fill="auto"/>
            <w:vAlign w:val="center"/>
            <w:hideMark/>
          </w:tcPr>
          <w:p w:rsidR="00581418" w:rsidRPr="006D5F74" w:rsidRDefault="00581418" w:rsidP="00581418">
            <w:pPr>
              <w:rPr>
                <w:sz w:val="12"/>
                <w:szCs w:val="12"/>
              </w:rPr>
            </w:pPr>
            <w:r w:rsidRPr="008513CF">
              <w:rPr>
                <w:sz w:val="12"/>
                <w:szCs w:val="12"/>
              </w:rPr>
              <w:t>2 Includes borrowings from banks by provincial governments and PSEs for commodity operations.</w:t>
            </w:r>
          </w:p>
        </w:tc>
      </w:tr>
      <w:tr w:rsidR="00581418"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581418" w:rsidRPr="006D5F74" w:rsidRDefault="00581418" w:rsidP="00581418">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581418" w:rsidRPr="008513CF" w:rsidRDefault="00581418" w:rsidP="00581418">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581418" w:rsidRPr="006D5F74" w:rsidTr="00446F69">
        <w:trPr>
          <w:trHeight w:val="137"/>
        </w:trPr>
        <w:tc>
          <w:tcPr>
            <w:tcW w:w="10098" w:type="dxa"/>
            <w:gridSpan w:val="9"/>
            <w:tcBorders>
              <w:top w:val="nil"/>
              <w:left w:val="nil"/>
              <w:bottom w:val="nil"/>
              <w:right w:val="nil"/>
            </w:tcBorders>
            <w:shd w:val="clear" w:color="auto" w:fill="auto"/>
            <w:vAlign w:val="center"/>
            <w:hideMark/>
          </w:tcPr>
          <w:p w:rsidR="00581418" w:rsidRPr="006D5F74" w:rsidRDefault="00581418" w:rsidP="00581418">
            <w:pPr>
              <w:rPr>
                <w:sz w:val="12"/>
                <w:szCs w:val="12"/>
              </w:rPr>
            </w:pPr>
            <w:r w:rsidRPr="008513CF">
              <w:rPr>
                <w:sz w:val="12"/>
                <w:szCs w:val="12"/>
              </w:rPr>
              <w:t>4 Net flows of short term borrowings by banks reflect the net increase (+) or decrease  (-) in the stock of short term bank borrowings during the period.</w:t>
            </w:r>
          </w:p>
        </w:tc>
      </w:tr>
      <w:tr w:rsidR="00581418" w:rsidRPr="006D5F74" w:rsidTr="00446F69">
        <w:trPr>
          <w:trHeight w:val="137"/>
        </w:trPr>
        <w:tc>
          <w:tcPr>
            <w:tcW w:w="10098" w:type="dxa"/>
            <w:gridSpan w:val="9"/>
            <w:tcBorders>
              <w:top w:val="nil"/>
              <w:left w:val="nil"/>
              <w:bottom w:val="nil"/>
              <w:right w:val="nil"/>
            </w:tcBorders>
            <w:shd w:val="clear" w:color="auto" w:fill="auto"/>
            <w:vAlign w:val="center"/>
            <w:hideMark/>
          </w:tcPr>
          <w:p w:rsidR="00581418" w:rsidRPr="006D5F74" w:rsidRDefault="00581418" w:rsidP="00581418">
            <w:pPr>
              <w:rPr>
                <w:sz w:val="12"/>
                <w:szCs w:val="12"/>
              </w:rPr>
            </w:pPr>
            <w:r w:rsidRPr="006D5F74">
              <w:rPr>
                <w:sz w:val="12"/>
                <w:szCs w:val="12"/>
              </w:rPr>
              <w:t>Notes:</w:t>
            </w:r>
          </w:p>
        </w:tc>
      </w:tr>
      <w:tr w:rsidR="00581418"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581418" w:rsidRPr="008513CF" w:rsidRDefault="00581418" w:rsidP="00581418">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l debt statistics w.e.f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581418" w:rsidRPr="006D5F74" w:rsidTr="00446F69">
        <w:trPr>
          <w:trHeight w:val="91"/>
        </w:trPr>
        <w:tc>
          <w:tcPr>
            <w:tcW w:w="10098" w:type="dxa"/>
            <w:gridSpan w:val="9"/>
            <w:tcBorders>
              <w:top w:val="nil"/>
              <w:left w:val="nil"/>
              <w:bottom w:val="nil"/>
              <w:right w:val="nil"/>
            </w:tcBorders>
            <w:shd w:val="clear" w:color="auto" w:fill="auto"/>
            <w:vAlign w:val="center"/>
            <w:hideMark/>
          </w:tcPr>
          <w:p w:rsidR="00581418" w:rsidRPr="006D5F74" w:rsidRDefault="00581418" w:rsidP="00581418">
            <w:pPr>
              <w:rPr>
                <w:sz w:val="12"/>
                <w:szCs w:val="12"/>
              </w:rPr>
            </w:pPr>
            <w:r w:rsidRPr="008513CF">
              <w:rPr>
                <w:sz w:val="12"/>
                <w:szCs w:val="12"/>
              </w:rPr>
              <w:t>2. Debt and liabilities show end-period outstanding stock positions and debt servicing reflects principal and interest payments during the period.</w:t>
            </w:r>
          </w:p>
        </w:tc>
      </w:tr>
      <w:tr w:rsidR="00581418" w:rsidRPr="006D5F74" w:rsidTr="00446F69">
        <w:trPr>
          <w:trHeight w:val="201"/>
        </w:trPr>
        <w:tc>
          <w:tcPr>
            <w:tcW w:w="10098" w:type="dxa"/>
            <w:gridSpan w:val="9"/>
            <w:tcBorders>
              <w:top w:val="nil"/>
              <w:left w:val="nil"/>
              <w:bottom w:val="nil"/>
              <w:right w:val="nil"/>
            </w:tcBorders>
            <w:shd w:val="clear" w:color="auto" w:fill="auto"/>
            <w:vAlign w:val="center"/>
            <w:hideMark/>
          </w:tcPr>
          <w:p w:rsidR="00581418" w:rsidRPr="006D5F74" w:rsidRDefault="00581418" w:rsidP="00581418">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581418" w:rsidRPr="006D5F74" w:rsidTr="00446F69">
        <w:trPr>
          <w:trHeight w:val="164"/>
        </w:trPr>
        <w:tc>
          <w:tcPr>
            <w:tcW w:w="10098" w:type="dxa"/>
            <w:gridSpan w:val="9"/>
            <w:tcBorders>
              <w:top w:val="nil"/>
              <w:left w:val="nil"/>
              <w:bottom w:val="nil"/>
              <w:right w:val="nil"/>
            </w:tcBorders>
            <w:shd w:val="clear" w:color="auto" w:fill="auto"/>
            <w:vAlign w:val="center"/>
            <w:hideMark/>
          </w:tcPr>
          <w:p w:rsidR="00581418" w:rsidRPr="006D5F74" w:rsidRDefault="00581418" w:rsidP="00581418">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581418" w:rsidRPr="006D5F74" w:rsidTr="00446F69">
        <w:trPr>
          <w:trHeight w:val="206"/>
        </w:trPr>
        <w:tc>
          <w:tcPr>
            <w:tcW w:w="10098" w:type="dxa"/>
            <w:gridSpan w:val="9"/>
            <w:tcBorders>
              <w:top w:val="nil"/>
              <w:left w:val="nil"/>
              <w:bottom w:val="nil"/>
              <w:right w:val="nil"/>
            </w:tcBorders>
            <w:shd w:val="clear" w:color="auto" w:fill="auto"/>
            <w:vAlign w:val="center"/>
            <w:hideMark/>
          </w:tcPr>
          <w:p w:rsidR="00581418" w:rsidRPr="008513CF" w:rsidRDefault="00581418" w:rsidP="00581418">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581418" w:rsidRPr="00D41938" w:rsidRDefault="009204D3" w:rsidP="00581418">
            <w:pPr>
              <w:ind w:left="177" w:hanging="180"/>
              <w:rPr>
                <w:rFonts w:asciiTheme="majorBidi" w:hAnsiTheme="majorBidi" w:cstheme="majorBidi"/>
                <w:color w:val="0000FF"/>
                <w:sz w:val="14"/>
                <w:szCs w:val="14"/>
                <w:u w:val="single"/>
              </w:rPr>
            </w:pPr>
            <w:hyperlink r:id="rId11" w:history="1">
              <w:r w:rsidR="00581418" w:rsidRPr="00D41938">
                <w:rPr>
                  <w:rFonts w:asciiTheme="majorBidi" w:hAnsiTheme="majorBidi" w:cstheme="majorBidi"/>
                  <w:color w:val="0000FF"/>
                  <w:sz w:val="14"/>
                  <w:szCs w:val="14"/>
                  <w:u w:val="single"/>
                </w:rPr>
                <w:t>http://www.sbp.org.pk/departments/stats/Notice/Rev-Study-Exter</w:t>
              </w:r>
              <w:r w:rsidR="00581418">
                <w:rPr>
                  <w:rFonts w:asciiTheme="majorBidi" w:hAnsiTheme="majorBidi" w:cstheme="majorBidi"/>
                  <w:color w:val="0000FF"/>
                  <w:sz w:val="14"/>
                  <w:szCs w:val="14"/>
                  <w:u w:val="single"/>
                </w:rPr>
                <w:t>na</w:t>
              </w:r>
              <w:r w:rsidR="00581418" w:rsidRPr="00D41938">
                <w:rPr>
                  <w:rFonts w:asciiTheme="majorBidi" w:hAnsiTheme="majorBidi" w:cstheme="majorBidi"/>
                  <w:color w:val="0000FF"/>
                  <w:sz w:val="14"/>
                  <w:szCs w:val="14"/>
                  <w:u w:val="single"/>
                </w:rPr>
                <w:t>l-Sector.pdf</w:t>
              </w:r>
            </w:hyperlink>
          </w:p>
        </w:tc>
      </w:tr>
      <w:tr w:rsidR="00581418" w:rsidRPr="006D5F74" w:rsidTr="00446F69">
        <w:trPr>
          <w:trHeight w:val="69"/>
        </w:trPr>
        <w:tc>
          <w:tcPr>
            <w:tcW w:w="10098" w:type="dxa"/>
            <w:gridSpan w:val="9"/>
            <w:tcBorders>
              <w:top w:val="nil"/>
              <w:left w:val="nil"/>
              <w:bottom w:val="nil"/>
              <w:right w:val="nil"/>
            </w:tcBorders>
            <w:shd w:val="clear" w:color="auto" w:fill="auto"/>
            <w:hideMark/>
          </w:tcPr>
          <w:p w:rsidR="00581418" w:rsidRPr="008513CF" w:rsidRDefault="00581418" w:rsidP="00581418">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B53985" w:rsidRPr="00125FCA" w:rsidTr="00CB424A">
        <w:trPr>
          <w:trHeight w:val="333"/>
        </w:trPr>
        <w:tc>
          <w:tcPr>
            <w:tcW w:w="3109" w:type="dxa"/>
            <w:tcBorders>
              <w:top w:val="nil"/>
              <w:left w:val="nil"/>
              <w:bottom w:val="single" w:sz="8" w:space="0" w:color="auto"/>
              <w:right w:val="single" w:sz="4" w:space="0" w:color="auto"/>
            </w:tcBorders>
            <w:shd w:val="clear" w:color="auto" w:fill="auto"/>
            <w:vAlign w:val="bottom"/>
            <w:hideMark/>
          </w:tcPr>
          <w:p w:rsidR="00B53985" w:rsidRPr="00125FCA" w:rsidRDefault="00B53985" w:rsidP="00B53985">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B53985" w:rsidRPr="00125FCA" w:rsidRDefault="00B53985" w:rsidP="00B53985">
            <w:pPr>
              <w:jc w:val="right"/>
              <w:rPr>
                <w:b/>
                <w:bCs/>
                <w:sz w:val="15"/>
                <w:szCs w:val="15"/>
              </w:rPr>
            </w:pPr>
            <w:r>
              <w:rPr>
                <w:b/>
                <w:bCs/>
                <w:sz w:val="15"/>
                <w:szCs w:val="15"/>
              </w:rPr>
              <w:t>FY18</w:t>
            </w:r>
          </w:p>
        </w:tc>
        <w:tc>
          <w:tcPr>
            <w:tcW w:w="834" w:type="dxa"/>
            <w:tcBorders>
              <w:top w:val="nil"/>
              <w:left w:val="single" w:sz="4" w:space="0" w:color="auto"/>
              <w:bottom w:val="single" w:sz="8" w:space="0" w:color="auto"/>
              <w:right w:val="single" w:sz="4" w:space="0" w:color="auto"/>
            </w:tcBorders>
            <w:shd w:val="clear" w:color="auto" w:fill="auto"/>
            <w:vAlign w:val="center"/>
          </w:tcPr>
          <w:p w:rsidR="00B53985" w:rsidRPr="00125FCA" w:rsidRDefault="00B53985" w:rsidP="00B53985">
            <w:pPr>
              <w:jc w:val="right"/>
              <w:rPr>
                <w:b/>
                <w:bCs/>
                <w:sz w:val="15"/>
                <w:szCs w:val="15"/>
              </w:rPr>
            </w:pPr>
            <w:r>
              <w:rPr>
                <w:b/>
                <w:bCs/>
                <w:sz w:val="15"/>
                <w:szCs w:val="15"/>
              </w:rPr>
              <w:t>FY19</w:t>
            </w:r>
          </w:p>
        </w:tc>
        <w:tc>
          <w:tcPr>
            <w:tcW w:w="835" w:type="dxa"/>
            <w:tcBorders>
              <w:top w:val="nil"/>
              <w:left w:val="single" w:sz="4" w:space="0" w:color="auto"/>
              <w:bottom w:val="single" w:sz="8" w:space="0" w:color="auto"/>
            </w:tcBorders>
            <w:shd w:val="clear" w:color="auto" w:fill="auto"/>
            <w:noWrap/>
            <w:vAlign w:val="center"/>
            <w:hideMark/>
          </w:tcPr>
          <w:p w:rsidR="00B53985" w:rsidRPr="00125FCA" w:rsidRDefault="00B53985" w:rsidP="00B53985">
            <w:pPr>
              <w:jc w:val="right"/>
              <w:rPr>
                <w:b/>
                <w:bCs/>
                <w:sz w:val="15"/>
                <w:szCs w:val="15"/>
              </w:rPr>
            </w:pPr>
            <w:r>
              <w:rPr>
                <w:b/>
                <w:bCs/>
                <w:sz w:val="15"/>
                <w:szCs w:val="15"/>
              </w:rPr>
              <w:t>Sep-18</w:t>
            </w:r>
          </w:p>
        </w:tc>
        <w:tc>
          <w:tcPr>
            <w:tcW w:w="791" w:type="dxa"/>
            <w:tcBorders>
              <w:top w:val="nil"/>
              <w:bottom w:val="single" w:sz="8" w:space="0" w:color="auto"/>
              <w:right w:val="single" w:sz="4" w:space="0" w:color="auto"/>
            </w:tcBorders>
            <w:shd w:val="clear" w:color="auto" w:fill="auto"/>
            <w:noWrap/>
            <w:vAlign w:val="center"/>
          </w:tcPr>
          <w:p w:rsidR="00B53985" w:rsidRPr="00125FCA" w:rsidRDefault="00B53985" w:rsidP="00B53985">
            <w:pPr>
              <w:jc w:val="right"/>
              <w:rPr>
                <w:b/>
                <w:bCs/>
                <w:sz w:val="15"/>
                <w:szCs w:val="15"/>
              </w:rPr>
            </w:pPr>
            <w:r>
              <w:rPr>
                <w:b/>
                <w:bCs/>
                <w:sz w:val="15"/>
                <w:szCs w:val="15"/>
              </w:rPr>
              <w:t>Oct-18</w:t>
            </w:r>
          </w:p>
        </w:tc>
        <w:tc>
          <w:tcPr>
            <w:tcW w:w="815" w:type="dxa"/>
            <w:tcBorders>
              <w:top w:val="nil"/>
              <w:left w:val="single" w:sz="4" w:space="0" w:color="auto"/>
              <w:bottom w:val="single" w:sz="8" w:space="0" w:color="auto"/>
            </w:tcBorders>
            <w:shd w:val="clear" w:color="auto" w:fill="auto"/>
            <w:noWrap/>
            <w:vAlign w:val="center"/>
            <w:hideMark/>
          </w:tcPr>
          <w:p w:rsidR="00B53985" w:rsidRPr="00125FCA" w:rsidRDefault="00B53985" w:rsidP="00B53985">
            <w:pPr>
              <w:jc w:val="right"/>
              <w:rPr>
                <w:b/>
                <w:bCs/>
                <w:sz w:val="15"/>
                <w:szCs w:val="15"/>
              </w:rPr>
            </w:pPr>
            <w:r>
              <w:rPr>
                <w:b/>
                <w:bCs/>
                <w:sz w:val="15"/>
                <w:szCs w:val="15"/>
              </w:rPr>
              <w:t>Jul-19</w:t>
            </w:r>
          </w:p>
        </w:tc>
        <w:tc>
          <w:tcPr>
            <w:tcW w:w="815" w:type="dxa"/>
            <w:tcBorders>
              <w:top w:val="nil"/>
              <w:left w:val="nil"/>
              <w:bottom w:val="single" w:sz="8" w:space="0" w:color="auto"/>
            </w:tcBorders>
            <w:shd w:val="clear" w:color="auto" w:fill="auto"/>
            <w:vAlign w:val="center"/>
          </w:tcPr>
          <w:p w:rsidR="00B53985" w:rsidRPr="00125FCA" w:rsidRDefault="00B53985" w:rsidP="00B53985">
            <w:pPr>
              <w:jc w:val="right"/>
              <w:rPr>
                <w:b/>
                <w:bCs/>
                <w:sz w:val="15"/>
                <w:szCs w:val="15"/>
              </w:rPr>
            </w:pPr>
            <w:r>
              <w:rPr>
                <w:b/>
                <w:bCs/>
                <w:sz w:val="15"/>
                <w:szCs w:val="15"/>
              </w:rPr>
              <w:t>Aug-19</w:t>
            </w:r>
          </w:p>
        </w:tc>
        <w:tc>
          <w:tcPr>
            <w:tcW w:w="815" w:type="dxa"/>
            <w:tcBorders>
              <w:top w:val="nil"/>
              <w:left w:val="nil"/>
              <w:bottom w:val="single" w:sz="8" w:space="0" w:color="auto"/>
            </w:tcBorders>
            <w:shd w:val="clear" w:color="auto" w:fill="auto"/>
            <w:vAlign w:val="center"/>
          </w:tcPr>
          <w:p w:rsidR="00B53985" w:rsidRPr="00125FCA" w:rsidRDefault="00B53985" w:rsidP="00B53985">
            <w:pPr>
              <w:jc w:val="right"/>
              <w:rPr>
                <w:b/>
                <w:bCs/>
                <w:sz w:val="15"/>
                <w:szCs w:val="15"/>
              </w:rPr>
            </w:pPr>
            <w:r>
              <w:rPr>
                <w:b/>
                <w:bCs/>
                <w:sz w:val="15"/>
                <w:szCs w:val="15"/>
              </w:rPr>
              <w:t>Sep-19</w:t>
            </w:r>
          </w:p>
        </w:tc>
        <w:tc>
          <w:tcPr>
            <w:tcW w:w="815" w:type="dxa"/>
            <w:tcBorders>
              <w:top w:val="nil"/>
              <w:left w:val="nil"/>
              <w:bottom w:val="single" w:sz="8" w:space="0" w:color="auto"/>
              <w:right w:val="nil"/>
            </w:tcBorders>
            <w:shd w:val="clear" w:color="auto" w:fill="auto"/>
            <w:vAlign w:val="center"/>
          </w:tcPr>
          <w:p w:rsidR="00B53985" w:rsidRPr="00125FCA" w:rsidRDefault="00B53985" w:rsidP="00B53985">
            <w:pPr>
              <w:jc w:val="right"/>
              <w:rPr>
                <w:b/>
                <w:bCs/>
                <w:sz w:val="15"/>
                <w:szCs w:val="15"/>
              </w:rPr>
            </w:pPr>
            <w:r>
              <w:rPr>
                <w:b/>
                <w:bCs/>
                <w:sz w:val="15"/>
                <w:szCs w:val="15"/>
              </w:rPr>
              <w:t xml:space="preserve">Oct-19 </w:t>
            </w:r>
            <w:r w:rsidRPr="007D6ACF">
              <w:rPr>
                <w:b/>
                <w:bCs/>
                <w:sz w:val="15"/>
                <w:szCs w:val="15"/>
                <w:vertAlign w:val="superscript"/>
              </w:rPr>
              <w:t>P</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B53985" w:rsidRPr="00125FCA" w:rsidRDefault="00B53985" w:rsidP="00B53985">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rsidR="00B53985" w:rsidRPr="00125FCA" w:rsidRDefault="00B53985" w:rsidP="00B53985">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B53985" w:rsidRPr="00125FCA" w:rsidRDefault="00B53985" w:rsidP="00B53985">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B53985" w:rsidRPr="00125FCA" w:rsidRDefault="00B53985" w:rsidP="00B53985">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B53985" w:rsidRPr="00125FCA" w:rsidRDefault="00B53985" w:rsidP="00B53985">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B53985" w:rsidRPr="00125FCA" w:rsidRDefault="00B53985" w:rsidP="00B53985">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B53985" w:rsidRPr="00125FCA" w:rsidRDefault="00B53985" w:rsidP="00B53985">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B53985" w:rsidRPr="00125FCA" w:rsidRDefault="00B53985" w:rsidP="00B53985">
            <w:pPr>
              <w:jc w:val="right"/>
              <w:rPr>
                <w:rFonts w:ascii="Cambria" w:hAnsi="Cambria"/>
                <w:sz w:val="24"/>
                <w:szCs w:val="24"/>
              </w:rPr>
            </w:pP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4,653.8</w:t>
            </w:r>
          </w:p>
        </w:tc>
        <w:tc>
          <w:tcPr>
            <w:tcW w:w="834"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12,080.0</w:t>
            </w:r>
          </w:p>
        </w:tc>
        <w:tc>
          <w:tcPr>
            <w:tcW w:w="835"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4,363.7</w:t>
            </w:r>
          </w:p>
        </w:tc>
        <w:tc>
          <w:tcPr>
            <w:tcW w:w="791"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4,372.7</w:t>
            </w:r>
          </w:p>
        </w:tc>
        <w:tc>
          <w:tcPr>
            <w:tcW w:w="815"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12,038.5</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12,567.5</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12,834.1</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13,006.8</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2.8</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2.7</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2.7</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rPr>
                <w:b/>
                <w:bCs/>
                <w:sz w:val="15"/>
                <w:szCs w:val="15"/>
              </w:rPr>
            </w:pPr>
            <w:r w:rsidRPr="00125FCA">
              <w:rPr>
                <w:b/>
                <w:bCs/>
                <w:sz w:val="15"/>
                <w:szCs w:val="15"/>
              </w:rPr>
              <w:t xml:space="preserve">    Loans matured but not encashed</w:t>
            </w:r>
          </w:p>
        </w:tc>
        <w:tc>
          <w:tcPr>
            <w:tcW w:w="751"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0.1</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3,800.0</w:t>
            </w:r>
          </w:p>
        </w:tc>
        <w:tc>
          <w:tcPr>
            <w:tcW w:w="834"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11,183.3</w:t>
            </w:r>
          </w:p>
        </w:tc>
        <w:tc>
          <w:tcPr>
            <w:tcW w:w="835"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3,467.7</w:t>
            </w:r>
          </w:p>
        </w:tc>
        <w:tc>
          <w:tcPr>
            <w:tcW w:w="791"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3,467.7</w:t>
            </w:r>
          </w:p>
        </w:tc>
        <w:tc>
          <w:tcPr>
            <w:tcW w:w="815"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11,256.2</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11,811.5</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12,089.7</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12,267.6</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0.6</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GOP Ijara Sukuk 3 Years</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71.0</w:t>
            </w:r>
          </w:p>
        </w:tc>
        <w:tc>
          <w:tcPr>
            <w:tcW w:w="83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385.4</w:t>
            </w:r>
          </w:p>
        </w:tc>
        <w:tc>
          <w:tcPr>
            <w:tcW w:w="791" w:type="dxa"/>
            <w:tcBorders>
              <w:top w:val="nil"/>
              <w:left w:val="nil"/>
              <w:bottom w:val="nil"/>
              <w:right w:val="nil"/>
            </w:tcBorders>
            <w:shd w:val="clear" w:color="auto" w:fill="auto"/>
            <w:noWrap/>
            <w:vAlign w:val="center"/>
          </w:tcPr>
          <w:p w:rsidR="00B53985" w:rsidRDefault="00B53985" w:rsidP="00B53985">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71.0</w:t>
            </w:r>
          </w:p>
        </w:tc>
      </w:tr>
      <w:tr w:rsidR="00B53985" w:rsidRPr="00125FCA" w:rsidTr="00A93FBA">
        <w:trPr>
          <w:trHeight w:hRule="exact" w:val="285"/>
        </w:trPr>
        <w:tc>
          <w:tcPr>
            <w:tcW w:w="3109" w:type="dxa"/>
            <w:tcBorders>
              <w:top w:val="nil"/>
              <w:left w:val="nil"/>
              <w:bottom w:val="nil"/>
              <w:right w:val="nil"/>
            </w:tcBorders>
            <w:shd w:val="clear" w:color="auto" w:fill="auto"/>
            <w:vAlign w:val="center"/>
          </w:tcPr>
          <w:p w:rsidR="00B53985" w:rsidRPr="00125FCA" w:rsidRDefault="00B53985" w:rsidP="00B53985">
            <w:pPr>
              <w:ind w:firstLine="176"/>
              <w:rPr>
                <w:sz w:val="15"/>
                <w:szCs w:val="15"/>
              </w:rPr>
            </w:pPr>
            <w:r w:rsidRPr="00494F57">
              <w:rPr>
                <w:sz w:val="15"/>
                <w:szCs w:val="15"/>
              </w:rPr>
              <w:t>Bai-Muajjal of Sukuk</w:t>
            </w:r>
          </w:p>
        </w:tc>
        <w:tc>
          <w:tcPr>
            <w:tcW w:w="751"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177.8</w:t>
            </w:r>
          </w:p>
        </w:tc>
        <w:tc>
          <w:tcPr>
            <w:tcW w:w="83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tcPr>
          <w:p w:rsidR="00B53985" w:rsidRDefault="00B53985" w:rsidP="00B53985">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177.8</w:t>
            </w:r>
          </w:p>
        </w:tc>
      </w:tr>
      <w:tr w:rsidR="00B53985" w:rsidRPr="00125FCA" w:rsidTr="00CB424A">
        <w:trPr>
          <w:trHeight w:hRule="exact" w:val="285"/>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B53985" w:rsidRDefault="00B53985" w:rsidP="00B5398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0.1</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B53985" w:rsidRDefault="00B53985" w:rsidP="00B53985">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0.6</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3,413.3</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10,933.2</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3,081.0</w:t>
            </w:r>
          </w:p>
        </w:tc>
        <w:tc>
          <w:tcPr>
            <w:tcW w:w="791" w:type="dxa"/>
            <w:tcBorders>
              <w:top w:val="nil"/>
              <w:left w:val="nil"/>
              <w:bottom w:val="nil"/>
              <w:right w:val="nil"/>
            </w:tcBorders>
            <w:shd w:val="clear" w:color="auto" w:fill="auto"/>
            <w:noWrap/>
            <w:vAlign w:val="center"/>
          </w:tcPr>
          <w:p w:rsidR="00B53985" w:rsidRDefault="00B53985" w:rsidP="00B53985">
            <w:pPr>
              <w:jc w:val="right"/>
              <w:rPr>
                <w:color w:val="000000"/>
                <w:sz w:val="14"/>
                <w:szCs w:val="14"/>
              </w:rPr>
            </w:pPr>
            <w:r>
              <w:rPr>
                <w:color w:val="000000"/>
                <w:sz w:val="14"/>
                <w:szCs w:val="14"/>
              </w:rPr>
              <w:t>3,081.0</w:t>
            </w:r>
          </w:p>
        </w:tc>
        <w:tc>
          <w:tcPr>
            <w:tcW w:w="81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11,006.1</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11,561.4</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11,839.6</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12,017.4</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851.0</w:t>
            </w:r>
          </w:p>
        </w:tc>
        <w:tc>
          <w:tcPr>
            <w:tcW w:w="834"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893.9</w:t>
            </w:r>
          </w:p>
        </w:tc>
        <w:tc>
          <w:tcPr>
            <w:tcW w:w="835"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893.2</w:t>
            </w:r>
          </w:p>
        </w:tc>
        <w:tc>
          <w:tcPr>
            <w:tcW w:w="791" w:type="dxa"/>
            <w:tcBorders>
              <w:top w:val="nil"/>
              <w:left w:val="nil"/>
              <w:bottom w:val="nil"/>
              <w:right w:val="nil"/>
            </w:tcBorders>
            <w:shd w:val="clear" w:color="auto" w:fill="auto"/>
            <w:noWrap/>
            <w:vAlign w:val="center"/>
          </w:tcPr>
          <w:p w:rsidR="00B53985" w:rsidRDefault="00B53985" w:rsidP="00B53985">
            <w:pPr>
              <w:jc w:val="right"/>
              <w:rPr>
                <w:b/>
                <w:bCs/>
                <w:color w:val="000000"/>
                <w:sz w:val="14"/>
                <w:szCs w:val="14"/>
              </w:rPr>
            </w:pPr>
            <w:r>
              <w:rPr>
                <w:b/>
                <w:bCs/>
                <w:color w:val="000000"/>
                <w:sz w:val="14"/>
                <w:szCs w:val="14"/>
              </w:rPr>
              <w:t>902.2</w:t>
            </w:r>
          </w:p>
        </w:tc>
        <w:tc>
          <w:tcPr>
            <w:tcW w:w="815" w:type="dxa"/>
            <w:tcBorders>
              <w:top w:val="nil"/>
              <w:left w:val="nil"/>
              <w:bottom w:val="nil"/>
              <w:right w:val="nil"/>
            </w:tcBorders>
            <w:shd w:val="clear" w:color="auto" w:fill="auto"/>
            <w:noWrap/>
            <w:vAlign w:val="center"/>
            <w:hideMark/>
          </w:tcPr>
          <w:p w:rsidR="00B53985" w:rsidRDefault="00B53985" w:rsidP="00B53985">
            <w:pPr>
              <w:jc w:val="right"/>
              <w:rPr>
                <w:b/>
                <w:bCs/>
                <w:color w:val="000000"/>
                <w:sz w:val="14"/>
                <w:szCs w:val="14"/>
              </w:rPr>
            </w:pPr>
            <w:r>
              <w:rPr>
                <w:b/>
                <w:bCs/>
                <w:color w:val="000000"/>
                <w:sz w:val="14"/>
                <w:szCs w:val="14"/>
              </w:rPr>
              <w:t>779.4</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753.1</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741.6</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736.4</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8,889.0</w:t>
            </w:r>
          </w:p>
        </w:tc>
        <w:tc>
          <w:tcPr>
            <w:tcW w:w="834"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5,500.6</w:t>
            </w:r>
          </w:p>
        </w:tc>
        <w:tc>
          <w:tcPr>
            <w:tcW w:w="835"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9,667.8</w:t>
            </w:r>
          </w:p>
        </w:tc>
        <w:tc>
          <w:tcPr>
            <w:tcW w:w="791"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9,892.5</w:t>
            </w:r>
          </w:p>
        </w:tc>
        <w:tc>
          <w:tcPr>
            <w:tcW w:w="815"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6,779.8</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5,733.0</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6,528.8</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5,144.7</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5,294.8</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4,929.6</w:t>
            </w:r>
          </w:p>
        </w:tc>
        <w:tc>
          <w:tcPr>
            <w:tcW w:w="83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4,324.1</w:t>
            </w:r>
          </w:p>
        </w:tc>
        <w:tc>
          <w:tcPr>
            <w:tcW w:w="791" w:type="dxa"/>
            <w:tcBorders>
              <w:top w:val="nil"/>
              <w:left w:val="nil"/>
              <w:bottom w:val="nil"/>
              <w:right w:val="nil"/>
            </w:tcBorders>
            <w:shd w:val="clear" w:color="auto" w:fill="auto"/>
            <w:noWrap/>
            <w:vAlign w:val="center"/>
          </w:tcPr>
          <w:p w:rsidR="00B53985" w:rsidRDefault="00B53985" w:rsidP="00B53985">
            <w:pPr>
              <w:jc w:val="right"/>
              <w:rPr>
                <w:color w:val="000000"/>
                <w:sz w:val="14"/>
                <w:szCs w:val="14"/>
              </w:rPr>
            </w:pPr>
            <w:r>
              <w:rPr>
                <w:color w:val="000000"/>
                <w:sz w:val="14"/>
                <w:szCs w:val="14"/>
              </w:rPr>
              <w:t>3,403.1</w:t>
            </w:r>
          </w:p>
        </w:tc>
        <w:tc>
          <w:tcPr>
            <w:tcW w:w="81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6,208.7</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5,161.9</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5,957.8</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4,574.5</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3,594.2</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571.0</w:t>
            </w:r>
          </w:p>
        </w:tc>
        <w:tc>
          <w:tcPr>
            <w:tcW w:w="83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5,343.7</w:t>
            </w:r>
          </w:p>
        </w:tc>
        <w:tc>
          <w:tcPr>
            <w:tcW w:w="791" w:type="dxa"/>
            <w:tcBorders>
              <w:top w:val="nil"/>
              <w:left w:val="nil"/>
              <w:bottom w:val="nil"/>
              <w:right w:val="nil"/>
            </w:tcBorders>
            <w:shd w:val="clear" w:color="auto" w:fill="auto"/>
            <w:noWrap/>
            <w:vAlign w:val="center"/>
          </w:tcPr>
          <w:p w:rsidR="00B53985" w:rsidRDefault="00B53985" w:rsidP="00B53985">
            <w:pPr>
              <w:jc w:val="right"/>
              <w:rPr>
                <w:color w:val="000000"/>
                <w:sz w:val="14"/>
                <w:szCs w:val="14"/>
              </w:rPr>
            </w:pPr>
            <w:r>
              <w:rPr>
                <w:color w:val="000000"/>
                <w:sz w:val="14"/>
                <w:szCs w:val="14"/>
              </w:rPr>
              <w:t>6,489.4</w:t>
            </w:r>
          </w:p>
        </w:tc>
        <w:tc>
          <w:tcPr>
            <w:tcW w:w="81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571.0</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571.0</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571.0</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570.2</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2,868.1</w:t>
            </w:r>
          </w:p>
        </w:tc>
        <w:tc>
          <w:tcPr>
            <w:tcW w:w="834"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3,144.1</w:t>
            </w:r>
          </w:p>
        </w:tc>
        <w:tc>
          <w:tcPr>
            <w:tcW w:w="835"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2,882.9</w:t>
            </w:r>
          </w:p>
        </w:tc>
        <w:tc>
          <w:tcPr>
            <w:tcW w:w="791"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2,889.2</w:t>
            </w:r>
          </w:p>
        </w:tc>
        <w:tc>
          <w:tcPr>
            <w:tcW w:w="815"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3,187.1</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3,188.1</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3,280.2</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3,379.1</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2,729.7</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2,991.9</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2,740.2</w:t>
            </w:r>
          </w:p>
        </w:tc>
        <w:tc>
          <w:tcPr>
            <w:tcW w:w="791"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2,747.0</w:t>
            </w:r>
          </w:p>
        </w:tc>
        <w:tc>
          <w:tcPr>
            <w:tcW w:w="81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3,034.3</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3,035.1</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3,129.6</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3,230.4</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46.7</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47.9</w:t>
            </w:r>
          </w:p>
        </w:tc>
        <w:tc>
          <w:tcPr>
            <w:tcW w:w="83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46.4</w:t>
            </w:r>
          </w:p>
        </w:tc>
        <w:tc>
          <w:tcPr>
            <w:tcW w:w="791" w:type="dxa"/>
            <w:tcBorders>
              <w:top w:val="nil"/>
              <w:left w:val="nil"/>
              <w:bottom w:val="nil"/>
              <w:right w:val="nil"/>
            </w:tcBorders>
            <w:shd w:val="clear" w:color="auto" w:fill="auto"/>
            <w:noWrap/>
            <w:vAlign w:val="center"/>
          </w:tcPr>
          <w:p w:rsidR="00B53985" w:rsidRDefault="00B53985" w:rsidP="00B53985">
            <w:pPr>
              <w:jc w:val="right"/>
              <w:rPr>
                <w:color w:val="000000"/>
                <w:sz w:val="14"/>
                <w:szCs w:val="14"/>
              </w:rPr>
            </w:pPr>
            <w:r>
              <w:rPr>
                <w:color w:val="000000"/>
                <w:sz w:val="14"/>
                <w:szCs w:val="14"/>
              </w:rPr>
              <w:t>46.4</w:t>
            </w:r>
          </w:p>
        </w:tc>
        <w:tc>
          <w:tcPr>
            <w:tcW w:w="81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48.1</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47.8</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47.7</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47.9</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91.7</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104.3</w:t>
            </w:r>
          </w:p>
        </w:tc>
        <w:tc>
          <w:tcPr>
            <w:tcW w:w="83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96.3</w:t>
            </w:r>
          </w:p>
        </w:tc>
        <w:tc>
          <w:tcPr>
            <w:tcW w:w="791" w:type="dxa"/>
            <w:tcBorders>
              <w:top w:val="nil"/>
              <w:left w:val="nil"/>
              <w:bottom w:val="nil"/>
              <w:right w:val="nil"/>
            </w:tcBorders>
            <w:shd w:val="clear" w:color="auto" w:fill="auto"/>
            <w:noWrap/>
            <w:vAlign w:val="center"/>
          </w:tcPr>
          <w:p w:rsidR="00B53985" w:rsidRDefault="00B53985" w:rsidP="00B53985">
            <w:pPr>
              <w:jc w:val="right"/>
              <w:rPr>
                <w:color w:val="000000"/>
                <w:sz w:val="14"/>
                <w:szCs w:val="14"/>
              </w:rPr>
            </w:pPr>
            <w:r>
              <w:rPr>
                <w:color w:val="000000"/>
                <w:sz w:val="14"/>
                <w:szCs w:val="14"/>
              </w:rPr>
              <w:t>95.8</w:t>
            </w:r>
          </w:p>
        </w:tc>
        <w:tc>
          <w:tcPr>
            <w:tcW w:w="815" w:type="dxa"/>
            <w:tcBorders>
              <w:top w:val="nil"/>
              <w:left w:val="nil"/>
              <w:bottom w:val="nil"/>
              <w:right w:val="nil"/>
            </w:tcBorders>
            <w:shd w:val="clear" w:color="auto" w:fill="auto"/>
            <w:noWrap/>
            <w:vAlign w:val="center"/>
            <w:hideMark/>
          </w:tcPr>
          <w:p w:rsidR="00B53985" w:rsidRDefault="00B53985" w:rsidP="00B53985">
            <w:pPr>
              <w:jc w:val="right"/>
              <w:rPr>
                <w:color w:val="000000"/>
                <w:sz w:val="14"/>
                <w:szCs w:val="14"/>
              </w:rPr>
            </w:pPr>
            <w:r>
              <w:rPr>
                <w:color w:val="000000"/>
                <w:sz w:val="14"/>
                <w:szCs w:val="14"/>
              </w:rPr>
              <w:t>104.7</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105.2</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102.8</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100.8</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5.4</w:t>
            </w:r>
          </w:p>
        </w:tc>
        <w:tc>
          <w:tcPr>
            <w:tcW w:w="834"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7.0</w:t>
            </w:r>
          </w:p>
        </w:tc>
        <w:tc>
          <w:tcPr>
            <w:tcW w:w="835"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5.5</w:t>
            </w:r>
          </w:p>
        </w:tc>
        <w:tc>
          <w:tcPr>
            <w:tcW w:w="791" w:type="dxa"/>
            <w:tcBorders>
              <w:top w:val="nil"/>
              <w:left w:val="nil"/>
              <w:bottom w:val="nil"/>
              <w:right w:val="nil"/>
            </w:tcBorders>
            <w:shd w:val="clear" w:color="auto" w:fill="auto"/>
            <w:noWrap/>
            <w:vAlign w:val="center"/>
          </w:tcPr>
          <w:p w:rsidR="00B53985" w:rsidRDefault="00B53985" w:rsidP="00B53985">
            <w:pPr>
              <w:jc w:val="right"/>
              <w:rPr>
                <w:b/>
                <w:bCs/>
                <w:color w:val="000000"/>
                <w:sz w:val="14"/>
                <w:szCs w:val="14"/>
              </w:rPr>
            </w:pPr>
            <w:r>
              <w:rPr>
                <w:b/>
                <w:bCs/>
                <w:color w:val="000000"/>
                <w:sz w:val="14"/>
                <w:szCs w:val="14"/>
              </w:rPr>
              <w:t>5.8</w:t>
            </w:r>
          </w:p>
        </w:tc>
        <w:tc>
          <w:tcPr>
            <w:tcW w:w="815" w:type="dxa"/>
            <w:tcBorders>
              <w:top w:val="nil"/>
              <w:left w:val="nil"/>
              <w:bottom w:val="nil"/>
              <w:right w:val="nil"/>
            </w:tcBorders>
            <w:shd w:val="clear" w:color="auto" w:fill="auto"/>
            <w:noWrap/>
            <w:vAlign w:val="center"/>
            <w:hideMark/>
          </w:tcPr>
          <w:p w:rsidR="00B53985" w:rsidRDefault="00B53985" w:rsidP="00B53985">
            <w:pPr>
              <w:jc w:val="right"/>
              <w:rPr>
                <w:b/>
                <w:bCs/>
                <w:color w:val="000000"/>
                <w:sz w:val="14"/>
                <w:szCs w:val="14"/>
              </w:rPr>
            </w:pPr>
            <w:r>
              <w:rPr>
                <w:b/>
                <w:bCs/>
                <w:color w:val="000000"/>
                <w:sz w:val="14"/>
                <w:szCs w:val="14"/>
              </w:rPr>
              <w:t>6.9</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6.8</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6.8</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6.7</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0.1</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0.1</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0.1</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5.1</w:t>
            </w:r>
          </w:p>
        </w:tc>
        <w:tc>
          <w:tcPr>
            <w:tcW w:w="834"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6.7</w:t>
            </w:r>
          </w:p>
        </w:tc>
        <w:tc>
          <w:tcPr>
            <w:tcW w:w="83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5.2</w:t>
            </w:r>
          </w:p>
        </w:tc>
        <w:tc>
          <w:tcPr>
            <w:tcW w:w="791"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5.6</w:t>
            </w:r>
          </w:p>
        </w:tc>
        <w:tc>
          <w:tcPr>
            <w:tcW w:w="815" w:type="dxa"/>
            <w:tcBorders>
              <w:top w:val="nil"/>
              <w:left w:val="nil"/>
              <w:bottom w:val="nil"/>
              <w:right w:val="nil"/>
            </w:tcBorders>
            <w:shd w:val="clear" w:color="auto" w:fill="auto"/>
            <w:vAlign w:val="center"/>
            <w:hideMark/>
          </w:tcPr>
          <w:p w:rsidR="00B53985" w:rsidRDefault="00B53985" w:rsidP="00B53985">
            <w:pPr>
              <w:jc w:val="right"/>
              <w:rPr>
                <w:color w:val="000000"/>
                <w:sz w:val="14"/>
                <w:szCs w:val="14"/>
              </w:rPr>
            </w:pPr>
            <w:r>
              <w:rPr>
                <w:color w:val="000000"/>
                <w:sz w:val="14"/>
                <w:szCs w:val="14"/>
              </w:rPr>
              <w:t>6.7</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6.5</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6.5</w:t>
            </w:r>
          </w:p>
        </w:tc>
        <w:tc>
          <w:tcPr>
            <w:tcW w:w="815" w:type="dxa"/>
            <w:tcBorders>
              <w:top w:val="nil"/>
              <w:left w:val="nil"/>
              <w:bottom w:val="nil"/>
              <w:right w:val="nil"/>
            </w:tcBorders>
            <w:shd w:val="clear" w:color="auto" w:fill="auto"/>
            <w:vAlign w:val="center"/>
          </w:tcPr>
          <w:p w:rsidR="00B53985" w:rsidRDefault="00B53985" w:rsidP="00B53985">
            <w:pPr>
              <w:jc w:val="right"/>
              <w:rPr>
                <w:color w:val="000000"/>
                <w:sz w:val="14"/>
                <w:szCs w:val="14"/>
              </w:rPr>
            </w:pPr>
            <w:r>
              <w:rPr>
                <w:color w:val="000000"/>
                <w:sz w:val="14"/>
                <w:szCs w:val="14"/>
              </w:rPr>
              <w:t>6.4</w:t>
            </w:r>
          </w:p>
        </w:tc>
      </w:tr>
      <w:tr w:rsidR="00B53985" w:rsidRPr="00125FCA" w:rsidTr="00CB424A">
        <w:trPr>
          <w:trHeight w:hRule="exact" w:val="228"/>
        </w:trPr>
        <w:tc>
          <w:tcPr>
            <w:tcW w:w="3109" w:type="dxa"/>
            <w:tcBorders>
              <w:top w:val="nil"/>
              <w:left w:val="nil"/>
              <w:bottom w:val="nil"/>
              <w:right w:val="nil"/>
            </w:tcBorders>
            <w:shd w:val="clear" w:color="auto" w:fill="auto"/>
            <w:vAlign w:val="center"/>
            <w:hideMark/>
          </w:tcPr>
          <w:p w:rsidR="00B53985" w:rsidRPr="00125FCA" w:rsidRDefault="00B53985" w:rsidP="00B53985">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16,416.3</w:t>
            </w:r>
          </w:p>
        </w:tc>
        <w:tc>
          <w:tcPr>
            <w:tcW w:w="834"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20,731.8</w:t>
            </w:r>
          </w:p>
        </w:tc>
        <w:tc>
          <w:tcPr>
            <w:tcW w:w="835"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16,919.8</w:t>
            </w:r>
          </w:p>
        </w:tc>
        <w:tc>
          <w:tcPr>
            <w:tcW w:w="791"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17,160.2</w:t>
            </w:r>
          </w:p>
        </w:tc>
        <w:tc>
          <w:tcPr>
            <w:tcW w:w="815" w:type="dxa"/>
            <w:tcBorders>
              <w:top w:val="nil"/>
              <w:left w:val="nil"/>
              <w:bottom w:val="nil"/>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22,012.2</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21,495.3</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22,649.9</w:t>
            </w:r>
          </w:p>
        </w:tc>
        <w:tc>
          <w:tcPr>
            <w:tcW w:w="815" w:type="dxa"/>
            <w:tcBorders>
              <w:top w:val="nil"/>
              <w:left w:val="nil"/>
              <w:bottom w:val="nil"/>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21,537.3</w:t>
            </w:r>
          </w:p>
        </w:tc>
      </w:tr>
      <w:tr w:rsidR="00B53985" w:rsidRPr="00125FCA"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rsidR="00B53985" w:rsidRPr="00125FCA" w:rsidRDefault="00B53985" w:rsidP="00B53985">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588.4</w:t>
            </w:r>
          </w:p>
        </w:tc>
        <w:tc>
          <w:tcPr>
            <w:tcW w:w="834" w:type="dxa"/>
            <w:tcBorders>
              <w:top w:val="nil"/>
              <w:left w:val="nil"/>
              <w:bottom w:val="single" w:sz="8" w:space="0" w:color="auto"/>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528.7</w:t>
            </w:r>
          </w:p>
        </w:tc>
        <w:tc>
          <w:tcPr>
            <w:tcW w:w="835" w:type="dxa"/>
            <w:tcBorders>
              <w:top w:val="nil"/>
              <w:left w:val="nil"/>
              <w:bottom w:val="single" w:sz="8" w:space="0" w:color="auto"/>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578.1</w:t>
            </w:r>
          </w:p>
        </w:tc>
        <w:tc>
          <w:tcPr>
            <w:tcW w:w="791" w:type="dxa"/>
            <w:tcBorders>
              <w:top w:val="nil"/>
              <w:left w:val="nil"/>
              <w:bottom w:val="single" w:sz="8" w:space="0" w:color="auto"/>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547.9</w:t>
            </w:r>
          </w:p>
        </w:tc>
        <w:tc>
          <w:tcPr>
            <w:tcW w:w="815" w:type="dxa"/>
            <w:tcBorders>
              <w:top w:val="nil"/>
              <w:left w:val="nil"/>
              <w:bottom w:val="single" w:sz="8" w:space="0" w:color="auto"/>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528.3</w:t>
            </w:r>
          </w:p>
        </w:tc>
        <w:tc>
          <w:tcPr>
            <w:tcW w:w="815" w:type="dxa"/>
            <w:tcBorders>
              <w:top w:val="nil"/>
              <w:left w:val="nil"/>
              <w:bottom w:val="single" w:sz="8" w:space="0" w:color="auto"/>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518.6</w:t>
            </w:r>
          </w:p>
        </w:tc>
        <w:tc>
          <w:tcPr>
            <w:tcW w:w="815" w:type="dxa"/>
            <w:tcBorders>
              <w:top w:val="nil"/>
              <w:left w:val="nil"/>
              <w:bottom w:val="single" w:sz="8" w:space="0" w:color="auto"/>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514.2</w:t>
            </w:r>
          </w:p>
        </w:tc>
        <w:tc>
          <w:tcPr>
            <w:tcW w:w="815" w:type="dxa"/>
            <w:tcBorders>
              <w:top w:val="nil"/>
              <w:left w:val="nil"/>
              <w:bottom w:val="single" w:sz="8" w:space="0" w:color="auto"/>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496.0</w:t>
            </w:r>
          </w:p>
        </w:tc>
      </w:tr>
      <w:tr w:rsidR="00B53985" w:rsidRPr="00125FCA" w:rsidTr="00CB424A">
        <w:trPr>
          <w:trHeight w:hRule="exact" w:val="228"/>
        </w:trPr>
        <w:tc>
          <w:tcPr>
            <w:tcW w:w="3109" w:type="dxa"/>
            <w:tcBorders>
              <w:top w:val="nil"/>
              <w:left w:val="nil"/>
              <w:bottom w:val="single" w:sz="8" w:space="0" w:color="auto"/>
              <w:right w:val="nil"/>
            </w:tcBorders>
            <w:shd w:val="clear" w:color="auto" w:fill="auto"/>
            <w:vAlign w:val="center"/>
            <w:hideMark/>
          </w:tcPr>
          <w:p w:rsidR="00B53985" w:rsidRPr="00125FCA" w:rsidRDefault="00B53985" w:rsidP="00B53985">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17,004.7</w:t>
            </w:r>
          </w:p>
        </w:tc>
        <w:tc>
          <w:tcPr>
            <w:tcW w:w="834" w:type="dxa"/>
            <w:tcBorders>
              <w:top w:val="nil"/>
              <w:left w:val="nil"/>
              <w:bottom w:val="single" w:sz="8" w:space="0" w:color="auto"/>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21,260.5</w:t>
            </w:r>
          </w:p>
        </w:tc>
        <w:tc>
          <w:tcPr>
            <w:tcW w:w="835" w:type="dxa"/>
            <w:tcBorders>
              <w:top w:val="nil"/>
              <w:left w:val="nil"/>
              <w:bottom w:val="single" w:sz="8" w:space="0" w:color="auto"/>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17,497.9</w:t>
            </w:r>
          </w:p>
        </w:tc>
        <w:tc>
          <w:tcPr>
            <w:tcW w:w="791" w:type="dxa"/>
            <w:tcBorders>
              <w:top w:val="nil"/>
              <w:left w:val="nil"/>
              <w:bottom w:val="single" w:sz="8" w:space="0" w:color="auto"/>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17,708.0</w:t>
            </w:r>
          </w:p>
        </w:tc>
        <w:tc>
          <w:tcPr>
            <w:tcW w:w="815" w:type="dxa"/>
            <w:tcBorders>
              <w:top w:val="nil"/>
              <w:left w:val="nil"/>
              <w:bottom w:val="single" w:sz="8" w:space="0" w:color="auto"/>
              <w:right w:val="nil"/>
            </w:tcBorders>
            <w:shd w:val="clear" w:color="auto" w:fill="auto"/>
            <w:vAlign w:val="center"/>
            <w:hideMark/>
          </w:tcPr>
          <w:p w:rsidR="00B53985" w:rsidRDefault="00B53985" w:rsidP="00B53985">
            <w:pPr>
              <w:jc w:val="right"/>
              <w:rPr>
                <w:b/>
                <w:bCs/>
                <w:color w:val="000000"/>
                <w:sz w:val="14"/>
                <w:szCs w:val="14"/>
              </w:rPr>
            </w:pPr>
            <w:r>
              <w:rPr>
                <w:b/>
                <w:bCs/>
                <w:color w:val="000000"/>
                <w:sz w:val="14"/>
                <w:szCs w:val="14"/>
              </w:rPr>
              <w:t>22,540.5</w:t>
            </w:r>
          </w:p>
        </w:tc>
        <w:tc>
          <w:tcPr>
            <w:tcW w:w="815" w:type="dxa"/>
            <w:tcBorders>
              <w:top w:val="nil"/>
              <w:left w:val="nil"/>
              <w:bottom w:val="single" w:sz="8" w:space="0" w:color="auto"/>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22,013.9</w:t>
            </w:r>
          </w:p>
        </w:tc>
        <w:tc>
          <w:tcPr>
            <w:tcW w:w="815" w:type="dxa"/>
            <w:tcBorders>
              <w:top w:val="nil"/>
              <w:left w:val="nil"/>
              <w:bottom w:val="single" w:sz="8" w:space="0" w:color="auto"/>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23,164.0</w:t>
            </w:r>
          </w:p>
        </w:tc>
        <w:tc>
          <w:tcPr>
            <w:tcW w:w="815" w:type="dxa"/>
            <w:tcBorders>
              <w:top w:val="nil"/>
              <w:left w:val="nil"/>
              <w:bottom w:val="single" w:sz="8" w:space="0" w:color="auto"/>
              <w:right w:val="nil"/>
            </w:tcBorders>
            <w:shd w:val="clear" w:color="auto" w:fill="auto"/>
            <w:vAlign w:val="center"/>
          </w:tcPr>
          <w:p w:rsidR="00B53985" w:rsidRDefault="00B53985" w:rsidP="00B53985">
            <w:pPr>
              <w:jc w:val="right"/>
              <w:rPr>
                <w:b/>
                <w:bCs/>
                <w:color w:val="000000"/>
                <w:sz w:val="14"/>
                <w:szCs w:val="14"/>
              </w:rPr>
            </w:pPr>
            <w:r>
              <w:rPr>
                <w:b/>
                <w:bCs/>
                <w:color w:val="000000"/>
                <w:sz w:val="14"/>
                <w:szCs w:val="14"/>
              </w:rPr>
              <w:t>22,033.4</w:t>
            </w:r>
          </w:p>
        </w:tc>
      </w:tr>
      <w:tr w:rsidR="00B53985" w:rsidRPr="00125FCA" w:rsidTr="00872F77">
        <w:trPr>
          <w:trHeight w:val="1462"/>
        </w:trPr>
        <w:tc>
          <w:tcPr>
            <w:tcW w:w="9580" w:type="dxa"/>
            <w:gridSpan w:val="9"/>
            <w:tcBorders>
              <w:top w:val="nil"/>
              <w:left w:val="nil"/>
              <w:right w:val="nil"/>
            </w:tcBorders>
            <w:shd w:val="clear" w:color="auto" w:fill="auto"/>
            <w:vAlign w:val="center"/>
            <w:hideMark/>
          </w:tcPr>
          <w:p w:rsidR="00B53985" w:rsidRPr="00871FC5" w:rsidRDefault="00B53985" w:rsidP="00B53985">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B53985" w:rsidRPr="00125FCA" w:rsidRDefault="00B53985" w:rsidP="00B53985">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B53985" w:rsidRDefault="00B53985" w:rsidP="00B53985">
            <w:pPr>
              <w:spacing w:line="276" w:lineRule="auto"/>
              <w:rPr>
                <w:sz w:val="12"/>
                <w:szCs w:val="12"/>
              </w:rPr>
            </w:pPr>
            <w:r w:rsidRPr="00125FCA">
              <w:rPr>
                <w:sz w:val="12"/>
                <w:szCs w:val="12"/>
              </w:rPr>
              <w:t>2. Include Rollover (I, II &amp; III).</w:t>
            </w:r>
          </w:p>
          <w:p w:rsidR="00B53985" w:rsidRPr="00125FCA" w:rsidRDefault="00B53985" w:rsidP="00B53985">
            <w:pPr>
              <w:spacing w:line="276" w:lineRule="auto"/>
              <w:rPr>
                <w:sz w:val="12"/>
                <w:szCs w:val="12"/>
              </w:rPr>
            </w:pPr>
            <w:r w:rsidRPr="00871FC5">
              <w:rPr>
                <w:sz w:val="12"/>
                <w:szCs w:val="12"/>
              </w:rPr>
              <w:t>3. Includes Premium Prize Bonds (Registred)</w:t>
            </w:r>
          </w:p>
          <w:p w:rsidR="00B53985" w:rsidRPr="00125FCA" w:rsidRDefault="00B53985" w:rsidP="00B53985">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B53985" w:rsidRPr="00125FCA" w:rsidRDefault="00B53985" w:rsidP="00B53985">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B53985" w:rsidRPr="00125FCA" w:rsidRDefault="00B53985" w:rsidP="00B53985">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B53985" w:rsidRPr="00125FCA" w:rsidRDefault="00B53985" w:rsidP="00B53985">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B53985" w:rsidRPr="00C447D8" w:rsidRDefault="00B53985" w:rsidP="00B53985">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firstRow="1" w:lastRow="0" w:firstColumn="1" w:lastColumn="0" w:noHBand="0" w:noVBand="1"/>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2638ED" w:rsidRPr="006D5F74" w:rsidTr="000531B7">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2638ED" w:rsidRPr="006D5F74" w:rsidRDefault="002638ED" w:rsidP="002638ED">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2638ED" w:rsidRPr="00173626" w:rsidRDefault="002638ED" w:rsidP="002638ED">
            <w:pPr>
              <w:jc w:val="right"/>
              <w:rPr>
                <w:sz w:val="14"/>
                <w:szCs w:val="14"/>
              </w:rPr>
            </w:pPr>
            <w:r w:rsidRPr="006D5F74">
              <w:rPr>
                <w:b/>
                <w:bCs/>
                <w:sz w:val="14"/>
                <w:szCs w:val="14"/>
              </w:rPr>
              <w:t>Jun-201</w:t>
            </w:r>
            <w:r>
              <w:rPr>
                <w:b/>
                <w:bCs/>
                <w:sz w:val="14"/>
                <w:szCs w:val="14"/>
              </w:rPr>
              <w:t>8</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tcPr>
          <w:p w:rsidR="002638ED" w:rsidRPr="00D4107B" w:rsidRDefault="002638ED" w:rsidP="002638ED">
            <w:pPr>
              <w:jc w:val="right"/>
              <w:rPr>
                <w:b/>
                <w:bCs/>
                <w:sz w:val="14"/>
                <w:szCs w:val="14"/>
              </w:rPr>
            </w:pPr>
            <w:r w:rsidRPr="00D4107B">
              <w:rPr>
                <w:b/>
                <w:bCs/>
                <w:sz w:val="14"/>
                <w:szCs w:val="14"/>
              </w:rPr>
              <w:t>Sep 2018</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2638ED" w:rsidRPr="00173626" w:rsidRDefault="002638ED" w:rsidP="002638ED">
            <w:pPr>
              <w:jc w:val="right"/>
              <w:rPr>
                <w:sz w:val="14"/>
                <w:szCs w:val="14"/>
              </w:rPr>
            </w:pPr>
            <w:r>
              <w:rPr>
                <w:b/>
                <w:bCs/>
                <w:sz w:val="14"/>
                <w:szCs w:val="14"/>
              </w:rPr>
              <w:t>Dec-</w:t>
            </w:r>
            <w:r w:rsidRPr="006D5F74">
              <w:rPr>
                <w:b/>
                <w:bCs/>
                <w:sz w:val="14"/>
                <w:szCs w:val="14"/>
              </w:rPr>
              <w:t>1</w:t>
            </w:r>
            <w:r>
              <w:rPr>
                <w:b/>
                <w:bCs/>
                <w:sz w:val="14"/>
                <w:szCs w:val="14"/>
              </w:rPr>
              <w:t>8</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2638ED" w:rsidRPr="00AB0881" w:rsidRDefault="002638ED" w:rsidP="000A0201">
            <w:pPr>
              <w:jc w:val="right"/>
              <w:rPr>
                <w:b/>
                <w:bCs/>
                <w:sz w:val="14"/>
                <w:szCs w:val="14"/>
              </w:rPr>
            </w:pPr>
            <w:r w:rsidRPr="00AB0881">
              <w:rPr>
                <w:b/>
                <w:bCs/>
                <w:sz w:val="14"/>
                <w:szCs w:val="14"/>
              </w:rPr>
              <w:t>Mar-19</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tcPr>
          <w:p w:rsidR="002638ED" w:rsidRPr="00AB0881" w:rsidRDefault="002638ED" w:rsidP="002638ED">
            <w:pPr>
              <w:jc w:val="right"/>
              <w:rPr>
                <w:b/>
                <w:bCs/>
                <w:sz w:val="14"/>
                <w:szCs w:val="14"/>
              </w:rPr>
            </w:pPr>
            <w:r>
              <w:rPr>
                <w:b/>
                <w:bCs/>
                <w:sz w:val="14"/>
                <w:szCs w:val="14"/>
              </w:rPr>
              <w:t>Jun</w:t>
            </w:r>
            <w:r w:rsidRPr="00AB0881">
              <w:rPr>
                <w:b/>
                <w:bCs/>
                <w:sz w:val="14"/>
                <w:szCs w:val="14"/>
              </w:rPr>
              <w:t>-19</w:t>
            </w:r>
          </w:p>
        </w:tc>
        <w:tc>
          <w:tcPr>
            <w:tcW w:w="1000" w:type="dxa"/>
            <w:tcBorders>
              <w:top w:val="single" w:sz="8" w:space="0" w:color="auto"/>
              <w:left w:val="single" w:sz="4" w:space="0" w:color="auto"/>
              <w:bottom w:val="single" w:sz="8" w:space="0" w:color="auto"/>
            </w:tcBorders>
            <w:shd w:val="clear" w:color="auto" w:fill="auto"/>
            <w:noWrap/>
            <w:vAlign w:val="center"/>
          </w:tcPr>
          <w:p w:rsidR="002638ED" w:rsidRPr="00AB0881" w:rsidRDefault="002638ED" w:rsidP="002638ED">
            <w:pPr>
              <w:jc w:val="right"/>
              <w:rPr>
                <w:b/>
                <w:bCs/>
                <w:sz w:val="14"/>
                <w:szCs w:val="14"/>
              </w:rPr>
            </w:pPr>
            <w:r>
              <w:rPr>
                <w:b/>
                <w:bCs/>
                <w:sz w:val="14"/>
                <w:szCs w:val="14"/>
              </w:rPr>
              <w:t>Sep</w:t>
            </w:r>
            <w:r w:rsidRPr="00AB0881">
              <w:rPr>
                <w:b/>
                <w:bCs/>
                <w:sz w:val="14"/>
                <w:szCs w:val="14"/>
              </w:rPr>
              <w:t xml:space="preserve"> </w:t>
            </w:r>
            <w:r w:rsidRPr="008F2AC3">
              <w:rPr>
                <w:b/>
                <w:bCs/>
                <w:sz w:val="14"/>
                <w:szCs w:val="14"/>
                <w:vertAlign w:val="superscript"/>
              </w:rPr>
              <w:t>P</w:t>
            </w:r>
          </w:p>
        </w:tc>
      </w:tr>
      <w:tr w:rsidR="000A0201" w:rsidRPr="006D5F74" w:rsidTr="000531B7">
        <w:trPr>
          <w:trHeight w:hRule="exact" w:val="160"/>
        </w:trPr>
        <w:tc>
          <w:tcPr>
            <w:tcW w:w="4009" w:type="dxa"/>
            <w:gridSpan w:val="2"/>
            <w:tcBorders>
              <w:top w:val="single" w:sz="8" w:space="0" w:color="auto"/>
            </w:tcBorders>
            <w:shd w:val="clear" w:color="auto" w:fill="auto"/>
            <w:noWrap/>
            <w:vAlign w:val="bottom"/>
            <w:hideMark/>
          </w:tcPr>
          <w:p w:rsidR="000A0201" w:rsidRPr="006D5F74" w:rsidRDefault="000A0201" w:rsidP="000A0201">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75,357.1</w:t>
            </w:r>
          </w:p>
        </w:tc>
        <w:tc>
          <w:tcPr>
            <w:tcW w:w="1109" w:type="dxa"/>
            <w:tcBorders>
              <w:top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76,340.2</w:t>
            </w:r>
          </w:p>
        </w:tc>
        <w:tc>
          <w:tcPr>
            <w:tcW w:w="1018" w:type="dxa"/>
            <w:tcBorders>
              <w:top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78,463.8</w:t>
            </w:r>
          </w:p>
        </w:tc>
        <w:tc>
          <w:tcPr>
            <w:tcW w:w="1018" w:type="dxa"/>
            <w:tcBorders>
              <w:top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84,229.6</w:t>
            </w:r>
          </w:p>
        </w:tc>
        <w:tc>
          <w:tcPr>
            <w:tcW w:w="1019" w:type="dxa"/>
            <w:tcBorders>
              <w:top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83,936.3</w:t>
            </w:r>
          </w:p>
        </w:tc>
        <w:tc>
          <w:tcPr>
            <w:tcW w:w="1000" w:type="dxa"/>
            <w:tcBorders>
              <w:top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84,518.3</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64,141.6</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65,381.8</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65,573.9</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68,412.4</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67,800.1</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67,807.4</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300" w:firstLine="392"/>
              <w:rPr>
                <w:b/>
                <w:bCs/>
                <w:sz w:val="13"/>
                <w:szCs w:val="13"/>
              </w:rPr>
            </w:pPr>
            <w:r w:rsidRPr="006D5F74">
              <w:rPr>
                <w:b/>
                <w:bCs/>
                <w:sz w:val="13"/>
                <w:szCs w:val="13"/>
              </w:rPr>
              <w:t>i) Long term(&gt;1 year)</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62,525.1</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64,061.1</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64,536.6</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67,301.4</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66,535.9</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66,236.3</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11,642.8</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11,497.7</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11,365.6</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11,261.0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11,235.1</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11,077.2</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28,101.8</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27,606.5</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27,694.4</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27,365.6</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27,788.0</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28,056.3</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8,674.2</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10,830.6</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11,349.9</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12,481.0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12,716.7</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12,787.3</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Euro/Sukuk global bonds</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7,300.0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7,300.0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6,300.0</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6,300.0</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6,806.3</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6,826.3</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6,826.7</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8,883.9</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8,470.0</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7,976.9</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3.8</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10.0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26.2</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34.8</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1,616.5</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1,320.7</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1,037.3</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1,111.0</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1,264.2</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1,571.2</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961.3</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900.7</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550.6</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625.0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778.0</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922.1</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 xml:space="preserve">  Local Currency Securities (TBills)</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0.3</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0.2</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0.2</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360.0</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655.0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420.0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486.4</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486.0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486.0</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289.0</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6,095.0</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5,962.1</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5,901.1</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5,765.4</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5,648.4</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6,351.7</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 Federal government</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976.1</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6,095.0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5,962.1</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5,901.1</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5,765.4</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5,648.4</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5,375.5</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5,120.5</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4,996.2</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6,988.8</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10,051.8</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10,487.8</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10,359.2</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 Central bank deposits</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2,700.0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5,700.0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6,200.0</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6,200.0</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3,022.0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2,908.0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2,908.0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2,978.0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2,912.0</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2,808.0</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1,390.0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1,379.3</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1,374.8</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1,372.4</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1,374.3</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1,347.7</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8.5</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8.9</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6.0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1.5</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1.5</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3.5</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2,671.0</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2,698.8</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2,620.8</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3,425.8</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4,013.3</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3,844.4</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1,384.0</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1,337.0</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1,335.1</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2,175.0</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2,800.4</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2,731.0</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5.0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5.0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2.5</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1,179.0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1,132.0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1,132.6</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1,972.0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2,600.4</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2,531.0</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200.0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200.0</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Sandak metal bonds</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1,287.0</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1,361.8</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1,285.7</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1,250.8</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1,212.9</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1,113.4</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334.0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510.9</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483.1</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448.3</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410.3</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388.1</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953.0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850.9</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802.6</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802.6</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802.6</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725.4</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4,417.2</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4,459.9</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4,775.3</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4,845.3</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4,706.4</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4,463.7</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2,967.0</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3,017.2</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3,372.2</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3,279.5</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3,156.8</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2,821.9</w:t>
            </w:r>
          </w:p>
        </w:tc>
      </w:tr>
      <w:tr w:rsidR="000A0201" w:rsidRPr="006D5F74" w:rsidTr="000531B7">
        <w:trPr>
          <w:trHeight w:hRule="exact" w:val="160"/>
        </w:trPr>
        <w:tc>
          <w:tcPr>
            <w:tcW w:w="4009" w:type="dxa"/>
            <w:gridSpan w:val="2"/>
            <w:shd w:val="clear" w:color="auto" w:fill="auto"/>
            <w:noWrap/>
            <w:vAlign w:val="center"/>
            <w:hideMark/>
          </w:tcPr>
          <w:p w:rsidR="000A0201" w:rsidRPr="006D5F74" w:rsidRDefault="000A0201" w:rsidP="000A0201">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27.4</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26.4</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24.5</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24.6</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22.9</w:t>
            </w:r>
          </w:p>
        </w:tc>
      </w:tr>
      <w:tr w:rsidR="000A0201" w:rsidRPr="006D5F74" w:rsidTr="000531B7">
        <w:trPr>
          <w:trHeight w:hRule="exact" w:val="160"/>
        </w:trPr>
        <w:tc>
          <w:tcPr>
            <w:tcW w:w="4009" w:type="dxa"/>
            <w:gridSpan w:val="2"/>
            <w:shd w:val="clear" w:color="auto" w:fill="auto"/>
            <w:noWrap/>
            <w:vAlign w:val="center"/>
            <w:hideMark/>
          </w:tcPr>
          <w:p w:rsidR="000A0201" w:rsidRPr="006D5F74" w:rsidRDefault="000A0201" w:rsidP="000A0201">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w:t>
            </w:r>
          </w:p>
        </w:tc>
      </w:tr>
      <w:tr w:rsidR="000A0201" w:rsidRPr="006D5F74" w:rsidTr="000531B7">
        <w:trPr>
          <w:trHeight w:hRule="exact" w:val="160"/>
        </w:trPr>
        <w:tc>
          <w:tcPr>
            <w:tcW w:w="4009" w:type="dxa"/>
            <w:gridSpan w:val="2"/>
            <w:shd w:val="clear" w:color="auto" w:fill="auto"/>
            <w:noWrap/>
            <w:vAlign w:val="center"/>
            <w:hideMark/>
          </w:tcPr>
          <w:p w:rsidR="000A0201" w:rsidRPr="006D5F74" w:rsidRDefault="000A0201" w:rsidP="000A0201">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27.4</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26.4</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24.5</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24.6</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22.9</w:t>
            </w:r>
          </w:p>
        </w:tc>
      </w:tr>
      <w:tr w:rsidR="000A0201" w:rsidRPr="006D5F74" w:rsidTr="000531B7">
        <w:trPr>
          <w:trHeight w:hRule="exact" w:val="192"/>
        </w:trPr>
        <w:tc>
          <w:tcPr>
            <w:tcW w:w="4009" w:type="dxa"/>
            <w:gridSpan w:val="2"/>
            <w:shd w:val="clear" w:color="auto" w:fill="auto"/>
            <w:noWrap/>
            <w:vAlign w:val="center"/>
            <w:hideMark/>
          </w:tcPr>
          <w:p w:rsidR="000A0201" w:rsidRPr="006D5F74" w:rsidRDefault="000A0201" w:rsidP="000A0201">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2,939.6</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2,990.8</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3,347.6</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3,255.0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3,132.1</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2,798.9</w:t>
            </w:r>
          </w:p>
        </w:tc>
      </w:tr>
      <w:tr w:rsidR="000A0201" w:rsidRPr="006D5F74" w:rsidTr="000531B7">
        <w:trPr>
          <w:trHeight w:hRule="exact" w:val="160"/>
        </w:trPr>
        <w:tc>
          <w:tcPr>
            <w:tcW w:w="4009" w:type="dxa"/>
            <w:gridSpan w:val="2"/>
            <w:shd w:val="clear" w:color="auto" w:fill="auto"/>
            <w:noWrap/>
            <w:vAlign w:val="center"/>
            <w:hideMark/>
          </w:tcPr>
          <w:p w:rsidR="000A0201" w:rsidRPr="006D5F74" w:rsidRDefault="000A0201" w:rsidP="000A0201">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60.2</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185.4</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168.1</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177.5</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230.2</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222.8</w:t>
            </w:r>
          </w:p>
        </w:tc>
      </w:tr>
      <w:tr w:rsidR="000A0201" w:rsidRPr="006D5F74" w:rsidTr="000531B7">
        <w:trPr>
          <w:trHeight w:hRule="exact" w:val="160"/>
        </w:trPr>
        <w:tc>
          <w:tcPr>
            <w:tcW w:w="4009" w:type="dxa"/>
            <w:gridSpan w:val="2"/>
            <w:shd w:val="clear" w:color="auto" w:fill="auto"/>
            <w:noWrap/>
            <w:vAlign w:val="center"/>
            <w:hideMark/>
          </w:tcPr>
          <w:p w:rsidR="000A0201" w:rsidRPr="006D5F74" w:rsidRDefault="000A0201" w:rsidP="000A0201">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2,879.4</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2,805.4</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3,179.4</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3,077.5</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2,901.9</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2,576.1</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1,450.1</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1,442.7</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1,403.1</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1,565.8</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1,549.7</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1,641.8</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33.0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35.2</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32.8</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33.9</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34.9</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30.9</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1,417.2</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1,407.5</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1,370.3</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1,532.0</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1,514.8</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1,610.9</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9,195.5</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9,332.2</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10,077.2</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10,181.3</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10,414.1</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10,750.2</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9,195.5</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9,332.2</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10,077.2</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10,181.3</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10,414.1</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10,750.2</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300" w:firstLine="392"/>
              <w:rPr>
                <w:b/>
                <w:bCs/>
                <w:sz w:val="13"/>
                <w:szCs w:val="13"/>
              </w:rPr>
            </w:pPr>
            <w:r w:rsidRPr="006D5F74">
              <w:rPr>
                <w:b/>
                <w:bCs/>
                <w:sz w:val="13"/>
                <w:szCs w:val="13"/>
              </w:rPr>
              <w:t>i). Loans</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8,049.5</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8,182.3</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8,914.6</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8,982.1</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9,263.0</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9,601.4</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7,503.4</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7,757.7</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8,534.2</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8,578.5</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8,784.7</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9,162.8</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0A0201" w:rsidRDefault="000A0201" w:rsidP="000A0201">
            <w:pPr>
              <w:jc w:val="right"/>
              <w:rPr>
                <w:color w:val="000000"/>
                <w:sz w:val="13"/>
                <w:szCs w:val="13"/>
              </w:rPr>
            </w:pPr>
            <w:r>
              <w:rPr>
                <w:color w:val="000000"/>
                <w:sz w:val="13"/>
                <w:szCs w:val="13"/>
              </w:rPr>
              <w:t>546.0</w:t>
            </w:r>
          </w:p>
        </w:tc>
        <w:tc>
          <w:tcPr>
            <w:tcW w:w="110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424.6</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380.4</w:t>
            </w:r>
          </w:p>
        </w:tc>
        <w:tc>
          <w:tcPr>
            <w:tcW w:w="1018"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403.6</w:t>
            </w:r>
          </w:p>
        </w:tc>
        <w:tc>
          <w:tcPr>
            <w:tcW w:w="1019"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478.3</w:t>
            </w:r>
          </w:p>
        </w:tc>
        <w:tc>
          <w:tcPr>
            <w:tcW w:w="1000" w:type="dxa"/>
            <w:shd w:val="clear" w:color="auto" w:fill="auto"/>
            <w:noWrap/>
            <w:tcMar>
              <w:left w:w="43" w:type="dxa"/>
              <w:right w:w="43" w:type="dxa"/>
            </w:tcMar>
            <w:vAlign w:val="center"/>
          </w:tcPr>
          <w:p w:rsidR="000A0201" w:rsidRDefault="000A0201" w:rsidP="000A0201">
            <w:pPr>
              <w:jc w:val="right"/>
              <w:rPr>
                <w:color w:val="000000"/>
                <w:sz w:val="13"/>
                <w:szCs w:val="13"/>
              </w:rPr>
            </w:pPr>
            <w:r>
              <w:rPr>
                <w:color w:val="000000"/>
                <w:sz w:val="13"/>
                <w:szCs w:val="13"/>
              </w:rPr>
              <w:t>438.6</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12.0</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732.9</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732.9</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732.9</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732.9</w:t>
            </w:r>
          </w:p>
        </w:tc>
      </w:tr>
      <w:tr w:rsidR="000A0201" w:rsidRPr="006D5F74" w:rsidTr="000531B7">
        <w:trPr>
          <w:trHeight w:hRule="exact" w:val="160"/>
        </w:trPr>
        <w:tc>
          <w:tcPr>
            <w:tcW w:w="4009" w:type="dxa"/>
            <w:gridSpan w:val="2"/>
            <w:shd w:val="clear" w:color="auto" w:fill="auto"/>
            <w:noWrap/>
            <w:vAlign w:val="bottom"/>
            <w:hideMark/>
          </w:tcPr>
          <w:p w:rsidR="000A0201" w:rsidRPr="006D5F74" w:rsidRDefault="000A0201" w:rsidP="000A0201">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401.1</w:t>
            </w:r>
          </w:p>
        </w:tc>
        <w:tc>
          <w:tcPr>
            <w:tcW w:w="110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405.0</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417.6</w:t>
            </w:r>
          </w:p>
        </w:tc>
        <w:tc>
          <w:tcPr>
            <w:tcW w:w="1018"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454.4</w:t>
            </w:r>
          </w:p>
        </w:tc>
        <w:tc>
          <w:tcPr>
            <w:tcW w:w="1019"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406.3</w:t>
            </w:r>
          </w:p>
        </w:tc>
        <w:tc>
          <w:tcPr>
            <w:tcW w:w="1000" w:type="dxa"/>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403.9</w:t>
            </w:r>
          </w:p>
        </w:tc>
      </w:tr>
      <w:tr w:rsidR="000A0201" w:rsidRPr="006D5F74" w:rsidTr="000531B7">
        <w:trPr>
          <w:trHeight w:hRule="exact" w:val="160"/>
        </w:trPr>
        <w:tc>
          <w:tcPr>
            <w:tcW w:w="4009" w:type="dxa"/>
            <w:gridSpan w:val="2"/>
            <w:tcBorders>
              <w:bottom w:val="single" w:sz="8" w:space="0" w:color="auto"/>
            </w:tcBorders>
            <w:shd w:val="clear" w:color="auto" w:fill="auto"/>
            <w:noWrap/>
            <w:vAlign w:val="bottom"/>
            <w:hideMark/>
          </w:tcPr>
          <w:p w:rsidR="000A0201" w:rsidRPr="006D5F74" w:rsidRDefault="000A0201" w:rsidP="000A0201">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3,596.8</w:t>
            </w:r>
          </w:p>
        </w:tc>
        <w:tc>
          <w:tcPr>
            <w:tcW w:w="1109" w:type="dxa"/>
            <w:tcBorders>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3,280.2</w:t>
            </w:r>
          </w:p>
        </w:tc>
        <w:tc>
          <w:tcPr>
            <w:tcW w:w="1018" w:type="dxa"/>
            <w:tcBorders>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3,103.7</w:t>
            </w:r>
          </w:p>
        </w:tc>
        <w:tc>
          <w:tcPr>
            <w:tcW w:w="1018" w:type="dxa"/>
            <w:tcBorders>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3,157.2</w:t>
            </w:r>
          </w:p>
        </w:tc>
        <w:tc>
          <w:tcPr>
            <w:tcW w:w="1019" w:type="dxa"/>
            <w:tcBorders>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3,278.2</w:t>
            </w:r>
          </w:p>
        </w:tc>
        <w:tc>
          <w:tcPr>
            <w:tcW w:w="1000" w:type="dxa"/>
            <w:tcBorders>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3,314.4</w:t>
            </w:r>
          </w:p>
        </w:tc>
      </w:tr>
      <w:tr w:rsidR="000A0201" w:rsidRPr="006D5F74" w:rsidTr="000531B7">
        <w:trPr>
          <w:trHeight w:hRule="exact" w:val="185"/>
        </w:trPr>
        <w:tc>
          <w:tcPr>
            <w:tcW w:w="4009" w:type="dxa"/>
            <w:gridSpan w:val="2"/>
            <w:tcBorders>
              <w:top w:val="single" w:sz="8" w:space="0" w:color="auto"/>
              <w:bottom w:val="single" w:sz="8" w:space="0" w:color="auto"/>
            </w:tcBorders>
            <w:shd w:val="clear" w:color="auto" w:fill="auto"/>
            <w:noWrap/>
            <w:hideMark/>
          </w:tcPr>
          <w:p w:rsidR="000A0201" w:rsidRPr="006D5F74" w:rsidRDefault="000A0201" w:rsidP="000A0201">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95,237.5</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96,111.2</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99,040.7</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105,839.3</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106,348.4</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106,891.0</w:t>
            </w:r>
          </w:p>
        </w:tc>
      </w:tr>
      <w:tr w:rsidR="000A0201" w:rsidRPr="006D5F74" w:rsidTr="000531B7">
        <w:trPr>
          <w:trHeight w:hRule="exact" w:val="212"/>
        </w:trPr>
        <w:tc>
          <w:tcPr>
            <w:tcW w:w="4009" w:type="dxa"/>
            <w:gridSpan w:val="2"/>
            <w:tcBorders>
              <w:top w:val="single" w:sz="8" w:space="0" w:color="auto"/>
              <w:bottom w:val="single" w:sz="8" w:space="0" w:color="auto"/>
            </w:tcBorders>
            <w:shd w:val="clear" w:color="auto" w:fill="auto"/>
            <w:noWrap/>
            <w:hideMark/>
          </w:tcPr>
          <w:p w:rsidR="000A0201" w:rsidRPr="006D5F74" w:rsidRDefault="000A0201" w:rsidP="000A0201">
            <w:pPr>
              <w:rPr>
                <w:b/>
                <w:bCs/>
                <w:sz w:val="13"/>
                <w:szCs w:val="13"/>
              </w:rPr>
            </w:pPr>
            <w:r w:rsidRPr="006D5F74">
              <w:rPr>
                <w:b/>
                <w:bCs/>
                <w:sz w:val="13"/>
                <w:szCs w:val="13"/>
              </w:rPr>
              <w:t>Public debt including PSEs (A+B+C.a.i.i+C.a.ii.i+C.b.i)</w:t>
            </w:r>
          </w:p>
        </w:tc>
        <w:tc>
          <w:tcPr>
            <w:tcW w:w="1018" w:type="dxa"/>
            <w:tcBorders>
              <w:top w:val="single" w:sz="8" w:space="0" w:color="auto"/>
              <w:bottom w:val="single" w:sz="8" w:space="0" w:color="auto"/>
            </w:tcBorders>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78,121.2</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79,259.5</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81,285.5</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87,866.8</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88,214.7</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88,616.4</w:t>
            </w:r>
          </w:p>
        </w:tc>
      </w:tr>
      <w:tr w:rsidR="000A0201" w:rsidRPr="006D5F74" w:rsidTr="000531B7">
        <w:trPr>
          <w:trHeight w:hRule="exact" w:val="253"/>
        </w:trPr>
        <w:tc>
          <w:tcPr>
            <w:tcW w:w="4009" w:type="dxa"/>
            <w:gridSpan w:val="2"/>
            <w:tcBorders>
              <w:top w:val="single" w:sz="8" w:space="0" w:color="auto"/>
              <w:bottom w:val="single" w:sz="8" w:space="0" w:color="auto"/>
            </w:tcBorders>
            <w:shd w:val="clear" w:color="auto" w:fill="auto"/>
            <w:noWrap/>
            <w:hideMark/>
          </w:tcPr>
          <w:p w:rsidR="000A0201" w:rsidRPr="006D5F74" w:rsidRDefault="000A0201" w:rsidP="000A0201">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9,866.0</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8,876.6</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7,635.8</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10,878.9</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7,734.6</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0A0201" w:rsidRDefault="000A0201" w:rsidP="000A0201">
            <w:pPr>
              <w:jc w:val="right"/>
              <w:rPr>
                <w:b/>
                <w:bCs/>
                <w:color w:val="000000"/>
                <w:sz w:val="13"/>
                <w:szCs w:val="13"/>
              </w:rPr>
            </w:pPr>
            <w:r>
              <w:rPr>
                <w:b/>
                <w:bCs/>
                <w:color w:val="000000"/>
                <w:sz w:val="13"/>
                <w:szCs w:val="13"/>
              </w:rPr>
              <w:t>8,491.2</w:t>
            </w:r>
          </w:p>
        </w:tc>
      </w:tr>
      <w:tr w:rsidR="002638ED" w:rsidRPr="006D5F74" w:rsidTr="008B2047">
        <w:trPr>
          <w:trHeight w:val="1500"/>
        </w:trPr>
        <w:tc>
          <w:tcPr>
            <w:tcW w:w="10191" w:type="dxa"/>
            <w:gridSpan w:val="8"/>
            <w:tcBorders>
              <w:top w:val="single" w:sz="8" w:space="0" w:color="auto"/>
            </w:tcBorders>
          </w:tcPr>
          <w:p w:rsidR="002638ED" w:rsidRPr="006D5F74" w:rsidRDefault="002638ED" w:rsidP="002638ED">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2638ED" w:rsidRPr="006D5F74" w:rsidRDefault="002638ED" w:rsidP="002638ED">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2638ED" w:rsidRPr="006D5F74" w:rsidRDefault="002638ED" w:rsidP="002638ED">
            <w:pPr>
              <w:spacing w:line="276" w:lineRule="auto"/>
              <w:rPr>
                <w:sz w:val="12"/>
                <w:szCs w:val="8"/>
              </w:rPr>
            </w:pPr>
            <w:r w:rsidRPr="008B2047">
              <w:rPr>
                <w:sz w:val="12"/>
                <w:szCs w:val="8"/>
              </w:rPr>
              <w:t>3</w:t>
            </w:r>
            <w:r w:rsidRPr="006D5F74">
              <w:rPr>
                <w:sz w:val="12"/>
                <w:szCs w:val="8"/>
              </w:rPr>
              <w:t>Other debt liabilities of others sector in IIP statement.</w:t>
            </w:r>
          </w:p>
          <w:p w:rsidR="002638ED" w:rsidRPr="008B2047" w:rsidRDefault="002638ED" w:rsidP="002638ED">
            <w:pPr>
              <w:spacing w:line="276" w:lineRule="auto"/>
              <w:rPr>
                <w:sz w:val="12"/>
                <w:szCs w:val="8"/>
              </w:rPr>
            </w:pPr>
            <w:r w:rsidRPr="008B2047">
              <w:rPr>
                <w:sz w:val="12"/>
                <w:szCs w:val="8"/>
              </w:rPr>
              <w:t xml:space="preserve">4. Includes cash foreign currency and excludes CRR. </w:t>
            </w:r>
          </w:p>
          <w:p w:rsidR="002638ED" w:rsidRPr="008B2047" w:rsidRDefault="002638ED" w:rsidP="002638ED">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l debt statistics w.e.f March 31, 2010. For Revision study, see the link at :</w:t>
            </w:r>
            <w:r w:rsidRPr="008B2047">
              <w:rPr>
                <w:rFonts w:asciiTheme="majorBidi" w:hAnsiTheme="majorBidi" w:cstheme="majorBidi"/>
                <w:color w:val="0000FF"/>
                <w:sz w:val="14"/>
                <w:szCs w:val="14"/>
                <w:u w:val="single"/>
              </w:rPr>
              <w:t>http://www.sbp.org.pk/ecodata/Revision-EDS.pdf</w:t>
            </w:r>
          </w:p>
          <w:p w:rsidR="002638ED" w:rsidRDefault="002638ED" w:rsidP="002638ED">
            <w:pPr>
              <w:spacing w:line="276" w:lineRule="auto"/>
              <w:rPr>
                <w:sz w:val="12"/>
                <w:szCs w:val="8"/>
              </w:rPr>
            </w:pPr>
            <w:r w:rsidRPr="008B2047">
              <w:rPr>
                <w:sz w:val="12"/>
                <w:szCs w:val="8"/>
              </w:rPr>
              <w:t>2. TBills-Treasury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2638ED" w:rsidRDefault="002638ED" w:rsidP="002638ED">
            <w:pPr>
              <w:spacing w:line="276" w:lineRule="auto"/>
            </w:pPr>
            <w:r w:rsidRPr="008B2047">
              <w:rPr>
                <w:sz w:val="12"/>
                <w:szCs w:val="8"/>
              </w:rPr>
              <w:t>3. Exter</w:t>
            </w:r>
            <w:r>
              <w:rPr>
                <w:sz w:val="12"/>
                <w:szCs w:val="8"/>
              </w:rPr>
              <w:t>na</w:t>
            </w:r>
            <w:r w:rsidRPr="008B2047">
              <w:rPr>
                <w:sz w:val="12"/>
                <w:szCs w:val="8"/>
              </w:rPr>
              <w:t>l debt statistics is revised w.e.f  Sept,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2638ED" w:rsidRPr="00E3171E" w:rsidRDefault="002638ED" w:rsidP="002638ED">
            <w:pPr>
              <w:spacing w:line="276" w:lineRule="auto"/>
              <w:rPr>
                <w:sz w:val="12"/>
                <w:szCs w:val="8"/>
              </w:rPr>
            </w:pPr>
            <w:r w:rsidRPr="00E3171E">
              <w:rPr>
                <w:sz w:val="12"/>
                <w:szCs w:val="8"/>
              </w:rPr>
              <w:t>4: As part of annual revision of IIP,data from 31-Dec-2015 to 31-Mar-2017 has been revised.</w:t>
            </w:r>
          </w:p>
          <w:p w:rsidR="002638ED" w:rsidRPr="008B2047" w:rsidRDefault="002638ED" w:rsidP="002638ED">
            <w:pPr>
              <w:spacing w:line="276" w:lineRule="auto"/>
              <w:rPr>
                <w:sz w:val="12"/>
                <w:szCs w:val="8"/>
              </w:rPr>
            </w:pPr>
            <w:r w:rsidRPr="008B2047">
              <w:rPr>
                <w:sz w:val="12"/>
                <w:szCs w:val="8"/>
              </w:rPr>
              <w:t>Source:  For A.1 except local currency securities ( PIBs &amp; Tbills), A.2.i and B.a, Economic Affairs Division,for rest State Bank of Pakistan.</w:t>
            </w:r>
          </w:p>
        </w:tc>
      </w:tr>
      <w:tr w:rsidR="002638ED" w:rsidRPr="006D5F74" w:rsidTr="008B2047">
        <w:tblPrEx>
          <w:tblCellMar>
            <w:left w:w="108" w:type="dxa"/>
            <w:right w:w="108" w:type="dxa"/>
          </w:tblCellMar>
        </w:tblPrEx>
        <w:trPr>
          <w:trHeight w:val="139"/>
        </w:trPr>
        <w:tc>
          <w:tcPr>
            <w:tcW w:w="1031" w:type="dxa"/>
          </w:tcPr>
          <w:p w:rsidR="002638ED" w:rsidRPr="006D5F74" w:rsidRDefault="002638ED" w:rsidP="002638ED">
            <w:pPr>
              <w:rPr>
                <w:sz w:val="12"/>
                <w:szCs w:val="16"/>
              </w:rPr>
            </w:pPr>
          </w:p>
        </w:tc>
        <w:tc>
          <w:tcPr>
            <w:tcW w:w="9160" w:type="dxa"/>
            <w:gridSpan w:val="7"/>
            <w:vAlign w:val="bottom"/>
            <w:hideMark/>
          </w:tcPr>
          <w:p w:rsidR="002638ED" w:rsidRPr="006D5F74" w:rsidRDefault="002638ED" w:rsidP="002638ED">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347DAF" w:rsidRPr="006D5F74" w:rsidTr="005D4650">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347DAF" w:rsidRPr="006D5F74" w:rsidRDefault="00347DAF" w:rsidP="00347DAF">
            <w:pPr>
              <w:jc w:val="right"/>
              <w:rPr>
                <w:b/>
                <w:bCs/>
                <w:sz w:val="15"/>
                <w:szCs w:val="15"/>
              </w:rPr>
            </w:pPr>
            <w:r>
              <w:rPr>
                <w:b/>
                <w:bCs/>
                <w:sz w:val="15"/>
                <w:szCs w:val="15"/>
              </w:rPr>
              <w:t>FY17</w:t>
            </w:r>
          </w:p>
        </w:tc>
        <w:tc>
          <w:tcPr>
            <w:tcW w:w="810" w:type="dxa"/>
            <w:tcBorders>
              <w:top w:val="single" w:sz="4" w:space="0" w:color="auto"/>
              <w:left w:val="single" w:sz="4" w:space="0" w:color="auto"/>
              <w:bottom w:val="single" w:sz="4" w:space="0" w:color="auto"/>
              <w:right w:val="single" w:sz="4" w:space="0" w:color="auto"/>
            </w:tcBorders>
            <w:vAlign w:val="center"/>
          </w:tcPr>
          <w:p w:rsidR="00347DAF" w:rsidRPr="006D5F74" w:rsidRDefault="00347DAF" w:rsidP="00347DAF">
            <w:pPr>
              <w:jc w:val="right"/>
              <w:rPr>
                <w:b/>
                <w:bCs/>
                <w:sz w:val="15"/>
                <w:szCs w:val="15"/>
              </w:rPr>
            </w:pPr>
            <w:r>
              <w:rPr>
                <w:b/>
                <w:bCs/>
                <w:sz w:val="15"/>
                <w:szCs w:val="15"/>
              </w:rPr>
              <w:t>FY18</w:t>
            </w:r>
            <w:r w:rsidRPr="00E349BD">
              <w:rPr>
                <w:b/>
                <w:bCs/>
                <w:sz w:val="15"/>
                <w:szCs w:val="15"/>
                <w:vertAlign w:val="superscript"/>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DAF" w:rsidRPr="006D5F74" w:rsidRDefault="00347DAF" w:rsidP="00347DAF">
            <w:pPr>
              <w:jc w:val="right"/>
              <w:rPr>
                <w:b/>
                <w:bCs/>
                <w:sz w:val="15"/>
                <w:szCs w:val="15"/>
              </w:rPr>
            </w:pPr>
            <w:r>
              <w:rPr>
                <w:b/>
                <w:bCs/>
                <w:sz w:val="15"/>
                <w:szCs w:val="15"/>
              </w:rPr>
              <w:t>FY19</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347DAF" w:rsidRPr="006D5F74" w:rsidRDefault="00347DAF" w:rsidP="00347DAF">
            <w:pPr>
              <w:jc w:val="right"/>
              <w:rPr>
                <w:b/>
                <w:bCs/>
                <w:sz w:val="15"/>
                <w:szCs w:val="15"/>
              </w:rPr>
            </w:pPr>
            <w:r>
              <w:rPr>
                <w:b/>
                <w:bCs/>
                <w:sz w:val="15"/>
                <w:szCs w:val="15"/>
              </w:rPr>
              <w:t>Oct-Dec-18</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347DAF" w:rsidRPr="006D5F74" w:rsidRDefault="00347DAF" w:rsidP="00347DAF">
            <w:pPr>
              <w:jc w:val="right"/>
              <w:rPr>
                <w:b/>
                <w:bCs/>
                <w:sz w:val="15"/>
                <w:szCs w:val="15"/>
              </w:rPr>
            </w:pPr>
            <w:r>
              <w:rPr>
                <w:b/>
                <w:bCs/>
                <w:sz w:val="15"/>
                <w:szCs w:val="15"/>
              </w:rPr>
              <w:t>Jan-Mar-19</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347DAF" w:rsidRPr="006D5F74" w:rsidRDefault="00347DAF" w:rsidP="00347DAF">
            <w:pPr>
              <w:jc w:val="right"/>
              <w:rPr>
                <w:b/>
                <w:bCs/>
                <w:sz w:val="15"/>
                <w:szCs w:val="15"/>
              </w:rPr>
            </w:pPr>
            <w:r>
              <w:rPr>
                <w:b/>
                <w:bCs/>
                <w:sz w:val="15"/>
                <w:szCs w:val="15"/>
              </w:rPr>
              <w:t>Apr-Jun-19</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347DAF" w:rsidRPr="006D5F74" w:rsidRDefault="00347DAF" w:rsidP="00347DAF">
            <w:pPr>
              <w:jc w:val="right"/>
              <w:rPr>
                <w:b/>
                <w:bCs/>
                <w:sz w:val="15"/>
                <w:szCs w:val="15"/>
              </w:rPr>
            </w:pPr>
            <w:r>
              <w:rPr>
                <w:b/>
                <w:bCs/>
                <w:sz w:val="15"/>
                <w:szCs w:val="15"/>
              </w:rPr>
              <w:t xml:space="preserve">Jul-Sep 19 </w:t>
            </w:r>
            <w:r w:rsidRPr="00AB0881">
              <w:rPr>
                <w:b/>
                <w:bCs/>
                <w:sz w:val="15"/>
                <w:szCs w:val="15"/>
                <w:vertAlign w:val="superscript"/>
              </w:rPr>
              <w:t>P</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1. Public debt (a+b+c)</w:t>
            </w:r>
          </w:p>
        </w:tc>
        <w:tc>
          <w:tcPr>
            <w:tcW w:w="810" w:type="dxa"/>
            <w:tcBorders>
              <w:top w:val="single" w:sz="8" w:space="0" w:color="auto"/>
              <w:bottom w:val="nil"/>
            </w:tcBorders>
            <w:vAlign w:val="center"/>
          </w:tcPr>
          <w:p w:rsidR="00347DAF" w:rsidRDefault="00347DAF" w:rsidP="00347DAF">
            <w:pPr>
              <w:jc w:val="right"/>
              <w:rPr>
                <w:b/>
                <w:bCs/>
                <w:color w:val="000000"/>
                <w:sz w:val="14"/>
                <w:szCs w:val="14"/>
              </w:rPr>
            </w:pPr>
            <w:r>
              <w:rPr>
                <w:b/>
                <w:bCs/>
                <w:color w:val="000000"/>
                <w:sz w:val="14"/>
                <w:szCs w:val="14"/>
              </w:rPr>
              <w:t>3,734</w:t>
            </w:r>
          </w:p>
        </w:tc>
        <w:tc>
          <w:tcPr>
            <w:tcW w:w="810" w:type="dxa"/>
            <w:tcBorders>
              <w:top w:val="single" w:sz="8" w:space="0" w:color="auto"/>
              <w:bottom w:val="nil"/>
            </w:tcBorders>
            <w:vAlign w:val="center"/>
          </w:tcPr>
          <w:p w:rsidR="00347DAF" w:rsidRDefault="00347DAF" w:rsidP="00347DAF">
            <w:pPr>
              <w:jc w:val="right"/>
              <w:rPr>
                <w:b/>
                <w:bCs/>
                <w:color w:val="000000"/>
                <w:sz w:val="14"/>
                <w:szCs w:val="14"/>
              </w:rPr>
            </w:pPr>
            <w:r>
              <w:rPr>
                <w:b/>
                <w:bCs/>
                <w:color w:val="000000"/>
                <w:sz w:val="14"/>
                <w:szCs w:val="14"/>
              </w:rPr>
              <w:t>2,704</w:t>
            </w:r>
          </w:p>
        </w:tc>
        <w:tc>
          <w:tcPr>
            <w:tcW w:w="900" w:type="dxa"/>
            <w:tcBorders>
              <w:top w:val="single" w:sz="8" w:space="0" w:color="auto"/>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5,818</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606</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1,295</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3,056</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1,732</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3,734</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2,618</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5,443</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564</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1,170</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2,932</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1,568</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Paris club</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412</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641</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291</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25</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300</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28</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Multilateral</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1,255</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1,375</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251</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457</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254</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420</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Other Bilateral</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788</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182</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329</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22</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142</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25</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174</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Euro/Sukuk global bonds</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750</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1,000</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Military</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Commercial loans /credits</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489</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2,097</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545</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1,352</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945</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Saudi fund for development.(SFD)</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40</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20</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NBP/BOC deposits</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b). To IMF</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375</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42</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125</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125</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165</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 Federal government</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ii). Central bank</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375</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42</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125</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125</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165</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347DAF" w:rsidRPr="006236D8" w:rsidRDefault="00347DAF" w:rsidP="00347DAF">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 Central bank deposits</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iii) Swap</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72</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32</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32</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Paris Club</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Multilateral</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5</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Other bilateral</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67</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32</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32</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Commercial loans</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Sandak Metal Bonds</w:t>
            </w:r>
          </w:p>
        </w:tc>
        <w:tc>
          <w:tcPr>
            <w:tcW w:w="810" w:type="dxa"/>
            <w:tcBorders>
              <w:top w:val="nil"/>
              <w:bottom w:val="nil"/>
            </w:tcBorders>
            <w:vAlign w:val="center"/>
          </w:tcPr>
          <w:p w:rsidR="00347DAF" w:rsidRPr="006236D8" w:rsidRDefault="00347DAF" w:rsidP="00347DAF">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3. PSEs non-guaranteed debt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217</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155</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28</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31</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38</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22</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4. Scheduled banks' borrowing</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2</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5. Private guaranteed debt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r>
      <w:tr w:rsidR="00347DAF" w:rsidRPr="006D5F74" w:rsidTr="005D4650">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6. Private non-guaranteed debt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417</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323</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483</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175</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85</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172</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85</w:t>
            </w:r>
          </w:p>
        </w:tc>
      </w:tr>
      <w:tr w:rsidR="00347DAF" w:rsidRPr="006D5F74" w:rsidTr="005D4650">
        <w:trPr>
          <w:trHeight w:hRule="exact" w:val="216"/>
          <w:jc w:val="center"/>
        </w:trPr>
        <w:tc>
          <w:tcPr>
            <w:tcW w:w="3356" w:type="dxa"/>
            <w:tcBorders>
              <w:top w:val="nil"/>
              <w:bottom w:val="single" w:sz="8" w:space="0" w:color="auto"/>
            </w:tcBorders>
            <w:shd w:val="clear" w:color="auto" w:fill="auto"/>
            <w:noWrap/>
            <w:vAlign w:val="center"/>
            <w:hideMark/>
          </w:tcPr>
          <w:p w:rsidR="00347DAF" w:rsidRPr="006D5F74" w:rsidRDefault="00347DAF" w:rsidP="00347DAF">
            <w:pPr>
              <w:rPr>
                <w:b/>
                <w:bCs/>
                <w:sz w:val="15"/>
                <w:szCs w:val="15"/>
              </w:rPr>
            </w:pPr>
            <w:r w:rsidRPr="006D5F74">
              <w:rPr>
                <w:b/>
                <w:bCs/>
                <w:sz w:val="15"/>
                <w:szCs w:val="15"/>
              </w:rPr>
              <w:t>7. Private non-guaranteed bonds</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r>
      <w:tr w:rsidR="00347DAF" w:rsidRPr="006D5F74" w:rsidTr="005D4650">
        <w:trPr>
          <w:trHeight w:hRule="exact" w:val="216"/>
          <w:jc w:val="center"/>
        </w:trPr>
        <w:tc>
          <w:tcPr>
            <w:tcW w:w="3356" w:type="dxa"/>
            <w:tcBorders>
              <w:top w:val="nil"/>
              <w:bottom w:val="single" w:sz="8" w:space="0" w:color="auto"/>
            </w:tcBorders>
            <w:shd w:val="clear" w:color="auto" w:fill="auto"/>
            <w:vAlign w:val="center"/>
            <w:hideMark/>
          </w:tcPr>
          <w:p w:rsidR="00347DAF" w:rsidRPr="006D5F74" w:rsidRDefault="00347DAF" w:rsidP="00347DAF">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4,439</w:t>
            </w:r>
          </w:p>
        </w:tc>
        <w:tc>
          <w:tcPr>
            <w:tcW w:w="810" w:type="dxa"/>
            <w:tcBorders>
              <w:top w:val="single" w:sz="8" w:space="0" w:color="auto"/>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3,326</w:t>
            </w:r>
          </w:p>
        </w:tc>
        <w:tc>
          <w:tcPr>
            <w:tcW w:w="900" w:type="dxa"/>
            <w:tcBorders>
              <w:top w:val="single" w:sz="8" w:space="0" w:color="auto"/>
              <w:bottom w:val="single" w:sz="8" w:space="0" w:color="auto"/>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6,527</w:t>
            </w:r>
          </w:p>
        </w:tc>
        <w:tc>
          <w:tcPr>
            <w:tcW w:w="900" w:type="dxa"/>
            <w:tcBorders>
              <w:top w:val="single" w:sz="8" w:space="0" w:color="auto"/>
              <w:bottom w:val="single" w:sz="8" w:space="0" w:color="auto"/>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813</w:t>
            </w:r>
          </w:p>
        </w:tc>
        <w:tc>
          <w:tcPr>
            <w:tcW w:w="990" w:type="dxa"/>
            <w:tcBorders>
              <w:top w:val="single" w:sz="8" w:space="0" w:color="auto"/>
              <w:bottom w:val="single" w:sz="8" w:space="0" w:color="auto"/>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1,442</w:t>
            </w:r>
          </w:p>
        </w:tc>
        <w:tc>
          <w:tcPr>
            <w:tcW w:w="925" w:type="dxa"/>
            <w:tcBorders>
              <w:top w:val="single" w:sz="8" w:space="0" w:color="auto"/>
              <w:bottom w:val="single" w:sz="8" w:space="0" w:color="auto"/>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3,269</w:t>
            </w:r>
          </w:p>
        </w:tc>
        <w:tc>
          <w:tcPr>
            <w:tcW w:w="965" w:type="dxa"/>
            <w:tcBorders>
              <w:top w:val="single" w:sz="8" w:space="0" w:color="auto"/>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1,873</w:t>
            </w:r>
          </w:p>
        </w:tc>
      </w:tr>
      <w:tr w:rsidR="00347DAF" w:rsidRPr="006D5F74" w:rsidTr="003F08BA">
        <w:trPr>
          <w:trHeight w:hRule="exact" w:val="137"/>
          <w:jc w:val="center"/>
        </w:trPr>
        <w:tc>
          <w:tcPr>
            <w:tcW w:w="3356" w:type="dxa"/>
            <w:tcBorders>
              <w:top w:val="nil"/>
              <w:left w:val="nil"/>
              <w:bottom w:val="nil"/>
              <w:right w:val="nil"/>
            </w:tcBorders>
          </w:tcPr>
          <w:p w:rsidR="00347DAF" w:rsidRPr="006D5F74" w:rsidRDefault="00347DAF" w:rsidP="00347DAF">
            <w:pPr>
              <w:rPr>
                <w:b/>
                <w:bCs/>
                <w:sz w:val="22"/>
                <w:szCs w:val="22"/>
              </w:rPr>
            </w:pPr>
          </w:p>
        </w:tc>
        <w:tc>
          <w:tcPr>
            <w:tcW w:w="810" w:type="dxa"/>
            <w:tcBorders>
              <w:top w:val="nil"/>
              <w:left w:val="nil"/>
              <w:bottom w:val="nil"/>
              <w:right w:val="nil"/>
            </w:tcBorders>
          </w:tcPr>
          <w:p w:rsidR="00347DAF" w:rsidRPr="006D5F74" w:rsidRDefault="00347DAF" w:rsidP="00347DAF">
            <w:pPr>
              <w:rPr>
                <w:b/>
                <w:bCs/>
                <w:sz w:val="22"/>
                <w:szCs w:val="22"/>
              </w:rPr>
            </w:pPr>
          </w:p>
        </w:tc>
        <w:tc>
          <w:tcPr>
            <w:tcW w:w="810" w:type="dxa"/>
            <w:tcBorders>
              <w:top w:val="nil"/>
              <w:left w:val="nil"/>
              <w:bottom w:val="nil"/>
              <w:right w:val="nil"/>
            </w:tcBorders>
            <w:vAlign w:val="center"/>
          </w:tcPr>
          <w:p w:rsidR="00347DAF" w:rsidRDefault="00347DAF" w:rsidP="00347DAF">
            <w:pPr>
              <w:jc w:val="right"/>
              <w:rPr>
                <w:b/>
                <w:bCs/>
                <w:color w:val="000000"/>
                <w:sz w:val="22"/>
                <w:szCs w:val="22"/>
              </w:rPr>
            </w:pPr>
            <w:r>
              <w:rPr>
                <w:b/>
                <w:bCs/>
                <w:color w:val="000000"/>
                <w:sz w:val="22"/>
                <w:szCs w:val="22"/>
              </w:rPr>
              <w:t>-</w:t>
            </w:r>
          </w:p>
        </w:tc>
        <w:tc>
          <w:tcPr>
            <w:tcW w:w="900" w:type="dxa"/>
            <w:tcBorders>
              <w:top w:val="nil"/>
              <w:left w:val="nil"/>
              <w:bottom w:val="nil"/>
              <w:right w:val="nil"/>
            </w:tcBorders>
            <w:vAlign w:val="center"/>
          </w:tcPr>
          <w:p w:rsidR="00347DAF" w:rsidRDefault="00347DAF" w:rsidP="00347DAF">
            <w:pPr>
              <w:jc w:val="right"/>
              <w:rPr>
                <w:b/>
                <w:bCs/>
                <w:color w:val="000000"/>
                <w:sz w:val="14"/>
                <w:szCs w:val="14"/>
              </w:rPr>
            </w:pPr>
            <w:r>
              <w:rPr>
                <w:b/>
                <w:bCs/>
                <w:color w:val="000000"/>
                <w:sz w:val="14"/>
                <w:szCs w:val="14"/>
              </w:rPr>
              <w:t>-</w:t>
            </w:r>
          </w:p>
        </w:tc>
        <w:tc>
          <w:tcPr>
            <w:tcW w:w="900" w:type="dxa"/>
            <w:tcBorders>
              <w:top w:val="nil"/>
              <w:left w:val="nil"/>
              <w:bottom w:val="nil"/>
              <w:right w:val="nil"/>
            </w:tcBorders>
            <w:vAlign w:val="center"/>
          </w:tcPr>
          <w:p w:rsidR="00347DAF" w:rsidRDefault="00347DAF" w:rsidP="00347DAF">
            <w:pPr>
              <w:jc w:val="right"/>
              <w:rPr>
                <w:b/>
                <w:bCs/>
                <w:color w:val="000000"/>
                <w:sz w:val="14"/>
                <w:szCs w:val="14"/>
              </w:rPr>
            </w:pPr>
          </w:p>
        </w:tc>
        <w:tc>
          <w:tcPr>
            <w:tcW w:w="990" w:type="dxa"/>
            <w:tcBorders>
              <w:top w:val="nil"/>
              <w:left w:val="nil"/>
              <w:bottom w:val="nil"/>
              <w:right w:val="nil"/>
            </w:tcBorders>
            <w:vAlign w:val="center"/>
          </w:tcPr>
          <w:p w:rsidR="00347DAF" w:rsidRDefault="00347DAF" w:rsidP="00347DAF">
            <w:pPr>
              <w:jc w:val="right"/>
            </w:pPr>
          </w:p>
        </w:tc>
        <w:tc>
          <w:tcPr>
            <w:tcW w:w="925" w:type="dxa"/>
            <w:tcBorders>
              <w:top w:val="nil"/>
              <w:left w:val="nil"/>
              <w:bottom w:val="nil"/>
              <w:right w:val="nil"/>
            </w:tcBorders>
            <w:vAlign w:val="center"/>
          </w:tcPr>
          <w:p w:rsidR="00347DAF" w:rsidRDefault="00347DAF" w:rsidP="00347DAF">
            <w:pPr>
              <w:jc w:val="right"/>
            </w:pPr>
          </w:p>
        </w:tc>
        <w:tc>
          <w:tcPr>
            <w:tcW w:w="965" w:type="dxa"/>
            <w:tcBorders>
              <w:top w:val="nil"/>
              <w:left w:val="nil"/>
              <w:bottom w:val="nil"/>
              <w:right w:val="nil"/>
            </w:tcBorders>
            <w:vAlign w:val="center"/>
          </w:tcPr>
          <w:p w:rsidR="00347DAF" w:rsidRDefault="00347DAF" w:rsidP="00347DAF">
            <w:pPr>
              <w:jc w:val="right"/>
            </w:pPr>
          </w:p>
        </w:tc>
      </w:tr>
      <w:tr w:rsidR="00347DAF" w:rsidRPr="006D5F74" w:rsidTr="003F08BA">
        <w:trPr>
          <w:trHeight w:hRule="exact" w:val="252"/>
          <w:jc w:val="center"/>
        </w:trPr>
        <w:tc>
          <w:tcPr>
            <w:tcW w:w="3356" w:type="dxa"/>
            <w:tcBorders>
              <w:top w:val="nil"/>
              <w:left w:val="nil"/>
              <w:bottom w:val="single" w:sz="8" w:space="0" w:color="auto"/>
              <w:right w:val="nil"/>
            </w:tcBorders>
          </w:tcPr>
          <w:p w:rsidR="00347DAF" w:rsidRPr="006D5F74" w:rsidRDefault="00347DAF" w:rsidP="00347DAF">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347DAF" w:rsidRPr="006D5F74" w:rsidRDefault="00347DAF" w:rsidP="00347DAF">
            <w:pPr>
              <w:rPr>
                <w:b/>
                <w:bCs/>
                <w:sz w:val="24"/>
                <w:szCs w:val="24"/>
              </w:rPr>
            </w:pPr>
          </w:p>
        </w:tc>
        <w:tc>
          <w:tcPr>
            <w:tcW w:w="810" w:type="dxa"/>
            <w:tcBorders>
              <w:top w:val="nil"/>
              <w:left w:val="nil"/>
              <w:bottom w:val="single" w:sz="8" w:space="0" w:color="auto"/>
              <w:right w:val="nil"/>
            </w:tcBorders>
            <w:vAlign w:val="center"/>
          </w:tcPr>
          <w:p w:rsidR="00347DAF" w:rsidRDefault="00347DAF" w:rsidP="00347DAF">
            <w:pPr>
              <w:jc w:val="right"/>
              <w:rPr>
                <w:b/>
                <w:bCs/>
                <w:color w:val="000000"/>
                <w:sz w:val="24"/>
                <w:szCs w:val="24"/>
              </w:rPr>
            </w:pPr>
            <w:r>
              <w:rPr>
                <w:b/>
                <w:bCs/>
                <w:color w:val="000000"/>
              </w:rPr>
              <w:t>-</w:t>
            </w:r>
          </w:p>
        </w:tc>
        <w:tc>
          <w:tcPr>
            <w:tcW w:w="900" w:type="dxa"/>
            <w:tcBorders>
              <w:top w:val="nil"/>
              <w:left w:val="nil"/>
              <w:bottom w:val="single" w:sz="8" w:space="0" w:color="auto"/>
              <w:right w:val="nil"/>
            </w:tcBorders>
            <w:vAlign w:val="center"/>
          </w:tcPr>
          <w:p w:rsidR="00347DAF" w:rsidRDefault="00347DAF" w:rsidP="00347DAF">
            <w:pPr>
              <w:jc w:val="right"/>
              <w:rPr>
                <w:b/>
                <w:bCs/>
                <w:color w:val="000000"/>
              </w:rPr>
            </w:pPr>
            <w:r>
              <w:rPr>
                <w:b/>
                <w:bCs/>
                <w:color w:val="000000"/>
              </w:rPr>
              <w:t>-</w:t>
            </w:r>
          </w:p>
        </w:tc>
        <w:tc>
          <w:tcPr>
            <w:tcW w:w="900" w:type="dxa"/>
            <w:tcBorders>
              <w:top w:val="nil"/>
              <w:left w:val="nil"/>
              <w:bottom w:val="single" w:sz="8" w:space="0" w:color="auto"/>
              <w:right w:val="nil"/>
            </w:tcBorders>
            <w:vAlign w:val="center"/>
          </w:tcPr>
          <w:p w:rsidR="00347DAF" w:rsidRDefault="00347DAF" w:rsidP="00347DAF">
            <w:pPr>
              <w:jc w:val="right"/>
              <w:rPr>
                <w:b/>
                <w:bCs/>
                <w:color w:val="000000"/>
              </w:rPr>
            </w:pPr>
          </w:p>
        </w:tc>
        <w:tc>
          <w:tcPr>
            <w:tcW w:w="990" w:type="dxa"/>
            <w:tcBorders>
              <w:top w:val="nil"/>
              <w:left w:val="nil"/>
              <w:bottom w:val="single" w:sz="8" w:space="0" w:color="auto"/>
              <w:right w:val="nil"/>
            </w:tcBorders>
            <w:vAlign w:val="center"/>
          </w:tcPr>
          <w:p w:rsidR="00347DAF" w:rsidRDefault="00347DAF" w:rsidP="00347DAF">
            <w:pPr>
              <w:jc w:val="right"/>
              <w:rPr>
                <w:b/>
                <w:bCs/>
                <w:color w:val="000000"/>
              </w:rPr>
            </w:pPr>
          </w:p>
        </w:tc>
        <w:tc>
          <w:tcPr>
            <w:tcW w:w="925" w:type="dxa"/>
            <w:tcBorders>
              <w:top w:val="nil"/>
              <w:left w:val="nil"/>
              <w:bottom w:val="single" w:sz="8" w:space="0" w:color="auto"/>
              <w:right w:val="nil"/>
            </w:tcBorders>
            <w:vAlign w:val="center"/>
          </w:tcPr>
          <w:p w:rsidR="00347DAF" w:rsidRDefault="00347DAF" w:rsidP="00347DAF">
            <w:pPr>
              <w:jc w:val="right"/>
              <w:rPr>
                <w:b/>
                <w:bCs/>
                <w:color w:val="000000"/>
              </w:rPr>
            </w:pPr>
          </w:p>
        </w:tc>
        <w:tc>
          <w:tcPr>
            <w:tcW w:w="965" w:type="dxa"/>
            <w:tcBorders>
              <w:top w:val="nil"/>
              <w:left w:val="nil"/>
              <w:bottom w:val="single" w:sz="8" w:space="0" w:color="auto"/>
              <w:right w:val="nil"/>
            </w:tcBorders>
            <w:vAlign w:val="center"/>
          </w:tcPr>
          <w:p w:rsidR="00347DAF" w:rsidRDefault="00347DAF" w:rsidP="00347DAF">
            <w:pPr>
              <w:jc w:val="right"/>
              <w:rPr>
                <w:b/>
                <w:bCs/>
                <w:color w:val="000000"/>
              </w:rPr>
            </w:pPr>
          </w:p>
        </w:tc>
      </w:tr>
      <w:tr w:rsidR="00347DAF" w:rsidRPr="006D5F74" w:rsidTr="00E66AB1">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347DAF" w:rsidRPr="006D5F74" w:rsidRDefault="00347DAF" w:rsidP="00347DAF">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2,083</w:t>
            </w:r>
          </w:p>
        </w:tc>
        <w:tc>
          <w:tcPr>
            <w:tcW w:w="810" w:type="dxa"/>
            <w:tcBorders>
              <w:top w:val="single" w:sz="8" w:space="0" w:color="auto"/>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2,111</w:t>
            </w:r>
          </w:p>
        </w:tc>
        <w:tc>
          <w:tcPr>
            <w:tcW w:w="900" w:type="dxa"/>
            <w:tcBorders>
              <w:top w:val="single" w:sz="8" w:space="0" w:color="auto"/>
              <w:bottom w:val="single" w:sz="8" w:space="0" w:color="auto"/>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768</w:t>
            </w:r>
          </w:p>
        </w:tc>
        <w:tc>
          <w:tcPr>
            <w:tcW w:w="990" w:type="dxa"/>
            <w:tcBorders>
              <w:top w:val="single" w:sz="8" w:space="0" w:color="auto"/>
              <w:bottom w:val="single" w:sz="8" w:space="0" w:color="auto"/>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244</w:t>
            </w:r>
          </w:p>
        </w:tc>
        <w:tc>
          <w:tcPr>
            <w:tcW w:w="925" w:type="dxa"/>
            <w:tcBorders>
              <w:top w:val="single" w:sz="8" w:space="0" w:color="auto"/>
              <w:bottom w:val="single" w:sz="8" w:space="0" w:color="auto"/>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200</w:t>
            </w:r>
          </w:p>
        </w:tc>
        <w:tc>
          <w:tcPr>
            <w:tcW w:w="965" w:type="dxa"/>
            <w:tcBorders>
              <w:top w:val="single" w:sz="8" w:space="0" w:color="auto"/>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402</w:t>
            </w:r>
          </w:p>
        </w:tc>
      </w:tr>
      <w:tr w:rsidR="00347DAF" w:rsidRPr="006D5F74" w:rsidTr="00E66AB1">
        <w:trPr>
          <w:trHeight w:hRule="exact" w:val="216"/>
          <w:jc w:val="center"/>
        </w:trPr>
        <w:tc>
          <w:tcPr>
            <w:tcW w:w="3356" w:type="dxa"/>
            <w:tcBorders>
              <w:top w:val="nil"/>
              <w:bottom w:val="nil"/>
            </w:tcBorders>
            <w:shd w:val="clear" w:color="auto" w:fill="auto"/>
            <w:noWrap/>
            <w:vAlign w:val="bottom"/>
            <w:hideMark/>
          </w:tcPr>
          <w:p w:rsidR="00347DAF" w:rsidRPr="006D5F74" w:rsidRDefault="00347DAF" w:rsidP="00347DAF">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1,393</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1,486</w:t>
            </w:r>
          </w:p>
        </w:tc>
        <w:tc>
          <w:tcPr>
            <w:tcW w:w="900" w:type="dxa"/>
            <w:tcBorders>
              <w:top w:val="nil"/>
              <w:bottom w:val="nil"/>
            </w:tcBorders>
            <w:vAlign w:val="center"/>
          </w:tcPr>
          <w:p w:rsidR="00347DAF" w:rsidRDefault="00347DAF" w:rsidP="00347DAF">
            <w:pPr>
              <w:jc w:val="right"/>
              <w:rPr>
                <w:color w:val="000000"/>
                <w:sz w:val="14"/>
                <w:szCs w:val="14"/>
              </w:rPr>
            </w:pPr>
            <w:r>
              <w:rPr>
                <w:color w:val="000000"/>
                <w:sz w:val="14"/>
                <w:szCs w:val="14"/>
              </w:rPr>
              <w:t>1,537</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612</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167</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161</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356</w:t>
            </w:r>
          </w:p>
        </w:tc>
      </w:tr>
      <w:tr w:rsidR="00347DAF" w:rsidRPr="006D5F74" w:rsidTr="00E66AB1">
        <w:trPr>
          <w:trHeight w:hRule="exact" w:val="216"/>
          <w:jc w:val="center"/>
        </w:trPr>
        <w:tc>
          <w:tcPr>
            <w:tcW w:w="3356" w:type="dxa"/>
            <w:tcBorders>
              <w:top w:val="nil"/>
              <w:bottom w:val="nil"/>
            </w:tcBorders>
            <w:shd w:val="clear" w:color="auto" w:fill="auto"/>
            <w:noWrap/>
            <w:vAlign w:val="bottom"/>
            <w:hideMark/>
          </w:tcPr>
          <w:p w:rsidR="00347DAF" w:rsidRPr="006D5F74" w:rsidRDefault="00347DAF" w:rsidP="00347DAF">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43</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34</w:t>
            </w:r>
          </w:p>
        </w:tc>
        <w:tc>
          <w:tcPr>
            <w:tcW w:w="90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E66AB1">
        <w:trPr>
          <w:trHeight w:hRule="exact" w:val="216"/>
          <w:jc w:val="center"/>
        </w:trPr>
        <w:tc>
          <w:tcPr>
            <w:tcW w:w="3356" w:type="dxa"/>
            <w:tcBorders>
              <w:top w:val="nil"/>
              <w:bottom w:val="nil"/>
            </w:tcBorders>
            <w:shd w:val="clear" w:color="auto" w:fill="auto"/>
            <w:noWrap/>
            <w:vAlign w:val="bottom"/>
            <w:hideMark/>
          </w:tcPr>
          <w:p w:rsidR="00347DAF" w:rsidRPr="006D5F74" w:rsidRDefault="00347DAF" w:rsidP="00347DAF">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82,680</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74,695</w:t>
            </w:r>
          </w:p>
        </w:tc>
        <w:tc>
          <w:tcPr>
            <w:tcW w:w="900" w:type="dxa"/>
            <w:tcBorders>
              <w:top w:val="nil"/>
              <w:bottom w:val="nil"/>
            </w:tcBorders>
            <w:vAlign w:val="center"/>
          </w:tcPr>
          <w:p w:rsidR="00347DAF" w:rsidRDefault="00347DAF" w:rsidP="00347DAF">
            <w:pPr>
              <w:jc w:val="right"/>
              <w:rPr>
                <w:color w:val="000000"/>
                <w:sz w:val="14"/>
                <w:szCs w:val="14"/>
              </w:rPr>
            </w:pPr>
            <w:r>
              <w:rPr>
                <w:color w:val="000000"/>
                <w:sz w:val="14"/>
                <w:szCs w:val="14"/>
              </w:rPr>
              <w:t>33,517</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10,849</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7,479</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6,432</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5,338</w:t>
            </w:r>
          </w:p>
        </w:tc>
      </w:tr>
      <w:tr w:rsidR="00347DAF" w:rsidRPr="006D5F74" w:rsidTr="00E66AB1">
        <w:trPr>
          <w:trHeight w:hRule="exact" w:val="216"/>
          <w:jc w:val="center"/>
        </w:trPr>
        <w:tc>
          <w:tcPr>
            <w:tcW w:w="3356" w:type="dxa"/>
            <w:tcBorders>
              <w:top w:val="nil"/>
              <w:bottom w:val="nil"/>
            </w:tcBorders>
            <w:shd w:val="clear" w:color="auto" w:fill="auto"/>
            <w:noWrap/>
            <w:vAlign w:val="bottom"/>
            <w:hideMark/>
          </w:tcPr>
          <w:p w:rsidR="00347DAF" w:rsidRPr="006D5F74" w:rsidRDefault="00347DAF" w:rsidP="00347DAF">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347DAF" w:rsidRDefault="00347DAF" w:rsidP="00347DAF">
            <w:pPr>
              <w:jc w:val="right"/>
              <w:rPr>
                <w:i/>
                <w:iCs/>
                <w:color w:val="000000"/>
                <w:sz w:val="14"/>
                <w:szCs w:val="14"/>
              </w:rPr>
            </w:pPr>
            <w:r>
              <w:rPr>
                <w:i/>
                <w:iCs/>
                <w:color w:val="000000"/>
                <w:sz w:val="14"/>
                <w:szCs w:val="14"/>
              </w:rPr>
              <w:t>1,692</w:t>
            </w:r>
          </w:p>
        </w:tc>
        <w:tc>
          <w:tcPr>
            <w:tcW w:w="810" w:type="dxa"/>
            <w:tcBorders>
              <w:top w:val="nil"/>
              <w:bottom w:val="nil"/>
            </w:tcBorders>
            <w:vAlign w:val="center"/>
          </w:tcPr>
          <w:p w:rsidR="00347DAF" w:rsidRDefault="00347DAF" w:rsidP="00347DAF">
            <w:pPr>
              <w:jc w:val="right"/>
              <w:rPr>
                <w:i/>
                <w:iCs/>
                <w:color w:val="000000"/>
                <w:sz w:val="14"/>
                <w:szCs w:val="14"/>
              </w:rPr>
            </w:pPr>
            <w:r>
              <w:rPr>
                <w:i/>
                <w:iCs/>
                <w:color w:val="000000"/>
                <w:sz w:val="14"/>
                <w:szCs w:val="14"/>
              </w:rPr>
              <w:t>(345)</w:t>
            </w:r>
          </w:p>
        </w:tc>
        <w:tc>
          <w:tcPr>
            <w:tcW w:w="900" w:type="dxa"/>
            <w:tcBorders>
              <w:top w:val="nil"/>
              <w:bottom w:val="nil"/>
            </w:tcBorders>
            <w:vAlign w:val="center"/>
          </w:tcPr>
          <w:p w:rsidR="00347DAF" w:rsidRDefault="00347DAF" w:rsidP="00347DAF">
            <w:pPr>
              <w:jc w:val="right"/>
              <w:rPr>
                <w:i/>
                <w:iCs/>
                <w:color w:val="000000"/>
                <w:sz w:val="14"/>
                <w:szCs w:val="14"/>
              </w:rPr>
            </w:pPr>
            <w:r>
              <w:rPr>
                <w:i/>
                <w:iCs/>
                <w:color w:val="000000"/>
                <w:sz w:val="14"/>
                <w:szCs w:val="14"/>
              </w:rPr>
              <w:t>193</w:t>
            </w:r>
          </w:p>
        </w:tc>
        <w:tc>
          <w:tcPr>
            <w:tcW w:w="900" w:type="dxa"/>
            <w:tcBorders>
              <w:top w:val="nil"/>
              <w:bottom w:val="nil"/>
            </w:tcBorders>
            <w:shd w:val="clear" w:color="auto" w:fill="auto"/>
            <w:noWrap/>
            <w:vAlign w:val="center"/>
            <w:hideMark/>
          </w:tcPr>
          <w:p w:rsidR="00347DAF" w:rsidRDefault="00347DAF" w:rsidP="00347DAF">
            <w:pPr>
              <w:jc w:val="right"/>
              <w:rPr>
                <w:i/>
                <w:iCs/>
                <w:color w:val="000000"/>
                <w:sz w:val="14"/>
                <w:szCs w:val="14"/>
              </w:rPr>
            </w:pPr>
            <w:r>
              <w:rPr>
                <w:i/>
                <w:iCs/>
                <w:color w:val="000000"/>
                <w:sz w:val="14"/>
                <w:szCs w:val="14"/>
              </w:rPr>
              <w:t>357</w:t>
            </w:r>
          </w:p>
        </w:tc>
        <w:tc>
          <w:tcPr>
            <w:tcW w:w="990" w:type="dxa"/>
            <w:tcBorders>
              <w:top w:val="nil"/>
              <w:bottom w:val="nil"/>
            </w:tcBorders>
            <w:shd w:val="clear" w:color="auto" w:fill="auto"/>
            <w:noWrap/>
            <w:vAlign w:val="center"/>
          </w:tcPr>
          <w:p w:rsidR="00347DAF" w:rsidRDefault="00347DAF" w:rsidP="00347DAF">
            <w:pPr>
              <w:jc w:val="right"/>
              <w:rPr>
                <w:i/>
                <w:iCs/>
                <w:color w:val="000000"/>
                <w:sz w:val="14"/>
                <w:szCs w:val="14"/>
              </w:rPr>
            </w:pPr>
            <w:r>
              <w:rPr>
                <w:i/>
                <w:iCs/>
                <w:color w:val="000000"/>
                <w:sz w:val="14"/>
                <w:szCs w:val="14"/>
              </w:rPr>
              <w:t>(93)</w:t>
            </w:r>
          </w:p>
        </w:tc>
        <w:tc>
          <w:tcPr>
            <w:tcW w:w="925" w:type="dxa"/>
            <w:tcBorders>
              <w:top w:val="nil"/>
              <w:bottom w:val="nil"/>
            </w:tcBorders>
            <w:shd w:val="clear" w:color="auto" w:fill="auto"/>
            <w:noWrap/>
            <w:vAlign w:val="center"/>
          </w:tcPr>
          <w:p w:rsidR="00347DAF" w:rsidRDefault="00347DAF" w:rsidP="00347DAF">
            <w:pPr>
              <w:jc w:val="right"/>
              <w:rPr>
                <w:i/>
                <w:iCs/>
                <w:color w:val="000000"/>
                <w:sz w:val="14"/>
                <w:szCs w:val="14"/>
              </w:rPr>
            </w:pPr>
            <w:r>
              <w:rPr>
                <w:i/>
                <w:iCs/>
                <w:color w:val="000000"/>
                <w:sz w:val="14"/>
                <w:szCs w:val="14"/>
              </w:rPr>
              <w:t>(123)</w:t>
            </w:r>
          </w:p>
        </w:tc>
        <w:tc>
          <w:tcPr>
            <w:tcW w:w="965" w:type="dxa"/>
            <w:tcBorders>
              <w:top w:val="nil"/>
              <w:bottom w:val="nil"/>
            </w:tcBorders>
            <w:vAlign w:val="center"/>
          </w:tcPr>
          <w:p w:rsidR="00347DAF" w:rsidRDefault="00347DAF" w:rsidP="00347DAF">
            <w:pPr>
              <w:jc w:val="right"/>
              <w:rPr>
                <w:i/>
                <w:iCs/>
                <w:color w:val="000000"/>
                <w:sz w:val="14"/>
                <w:szCs w:val="14"/>
              </w:rPr>
            </w:pPr>
            <w:r>
              <w:rPr>
                <w:i/>
                <w:iCs/>
                <w:color w:val="000000"/>
                <w:sz w:val="14"/>
                <w:szCs w:val="14"/>
              </w:rPr>
              <w:t>(333)</w:t>
            </w:r>
          </w:p>
        </w:tc>
      </w:tr>
      <w:tr w:rsidR="00347DAF" w:rsidRPr="006D5F74" w:rsidTr="00E66AB1">
        <w:trPr>
          <w:trHeight w:hRule="exact" w:val="216"/>
          <w:jc w:val="center"/>
        </w:trPr>
        <w:tc>
          <w:tcPr>
            <w:tcW w:w="3356" w:type="dxa"/>
            <w:tcBorders>
              <w:top w:val="nil"/>
              <w:bottom w:val="nil"/>
            </w:tcBorders>
            <w:shd w:val="clear" w:color="auto" w:fill="auto"/>
            <w:noWrap/>
            <w:vAlign w:val="bottom"/>
            <w:hideMark/>
          </w:tcPr>
          <w:p w:rsidR="00347DAF" w:rsidRPr="006D5F74" w:rsidRDefault="00347DAF" w:rsidP="00347DAF">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648</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332</w:t>
            </w:r>
          </w:p>
        </w:tc>
        <w:tc>
          <w:tcPr>
            <w:tcW w:w="900" w:type="dxa"/>
            <w:tcBorders>
              <w:top w:val="nil"/>
              <w:bottom w:val="nil"/>
            </w:tcBorders>
            <w:vAlign w:val="center"/>
          </w:tcPr>
          <w:p w:rsidR="00347DAF" w:rsidRDefault="00347DAF" w:rsidP="00347DAF">
            <w:pPr>
              <w:jc w:val="right"/>
              <w:rPr>
                <w:color w:val="000000"/>
                <w:sz w:val="14"/>
                <w:szCs w:val="14"/>
              </w:rPr>
            </w:pPr>
            <w:r>
              <w:rPr>
                <w:color w:val="000000"/>
                <w:sz w:val="14"/>
                <w:szCs w:val="14"/>
              </w:rPr>
              <w:t>574</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156</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77</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40</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46</w:t>
            </w:r>
          </w:p>
        </w:tc>
      </w:tr>
      <w:tr w:rsidR="00347DAF" w:rsidRPr="006D5F74" w:rsidTr="00E66AB1">
        <w:trPr>
          <w:trHeight w:hRule="exact" w:val="216"/>
          <w:jc w:val="center"/>
        </w:trPr>
        <w:tc>
          <w:tcPr>
            <w:tcW w:w="3356" w:type="dxa"/>
            <w:tcBorders>
              <w:top w:val="single" w:sz="8" w:space="0" w:color="auto"/>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3,657</w:t>
            </w:r>
          </w:p>
        </w:tc>
        <w:tc>
          <w:tcPr>
            <w:tcW w:w="810" w:type="dxa"/>
            <w:tcBorders>
              <w:top w:val="single" w:sz="8" w:space="0" w:color="auto"/>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347DAF" w:rsidRDefault="00347DAF" w:rsidP="00347DAF">
            <w:pPr>
              <w:jc w:val="right"/>
              <w:rPr>
                <w:b/>
                <w:bCs/>
                <w:color w:val="000000"/>
                <w:sz w:val="14"/>
                <w:szCs w:val="14"/>
              </w:rPr>
            </w:pPr>
            <w:r>
              <w:rPr>
                <w:b/>
                <w:bCs/>
                <w:color w:val="000000"/>
                <w:sz w:val="14"/>
                <w:szCs w:val="14"/>
              </w:rPr>
              <w:t>-</w:t>
            </w:r>
          </w:p>
        </w:tc>
      </w:tr>
      <w:tr w:rsidR="00347DAF" w:rsidRPr="006D5F74" w:rsidTr="00E66AB1">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E66AB1">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E66AB1">
        <w:trPr>
          <w:trHeight w:hRule="exact" w:val="216"/>
          <w:jc w:val="center"/>
        </w:trPr>
        <w:tc>
          <w:tcPr>
            <w:tcW w:w="3356" w:type="dxa"/>
            <w:tcBorders>
              <w:top w:val="nil"/>
              <w:bottom w:val="nil"/>
            </w:tcBorders>
            <w:shd w:val="clear" w:color="auto" w:fill="auto"/>
            <w:noWrap/>
            <w:vAlign w:val="bottom"/>
            <w:hideMark/>
          </w:tcPr>
          <w:p w:rsidR="00347DAF" w:rsidRPr="006D5F74" w:rsidRDefault="00347DAF" w:rsidP="00347DAF">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E66AB1">
        <w:trPr>
          <w:trHeight w:hRule="exact" w:val="216"/>
          <w:jc w:val="center"/>
        </w:trPr>
        <w:tc>
          <w:tcPr>
            <w:tcW w:w="3356"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700</w:t>
            </w:r>
          </w:p>
        </w:tc>
        <w:tc>
          <w:tcPr>
            <w:tcW w:w="81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E66AB1">
        <w:trPr>
          <w:trHeight w:hRule="exact" w:val="216"/>
          <w:jc w:val="center"/>
        </w:trPr>
        <w:tc>
          <w:tcPr>
            <w:tcW w:w="3356" w:type="dxa"/>
            <w:tcBorders>
              <w:top w:val="nil"/>
              <w:bottom w:val="single" w:sz="8" w:space="0" w:color="auto"/>
            </w:tcBorders>
            <w:shd w:val="clear" w:color="auto" w:fill="auto"/>
            <w:noWrap/>
            <w:vAlign w:val="bottom"/>
            <w:hideMark/>
          </w:tcPr>
          <w:p w:rsidR="00347DAF" w:rsidRPr="006D5F74" w:rsidRDefault="00347DAF" w:rsidP="00347DAF">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347DAF" w:rsidRDefault="00347DAF" w:rsidP="00347DAF">
            <w:pPr>
              <w:jc w:val="right"/>
              <w:rPr>
                <w:color w:val="000000"/>
                <w:sz w:val="14"/>
                <w:szCs w:val="14"/>
              </w:rPr>
            </w:pPr>
            <w:r>
              <w:rPr>
                <w:color w:val="000000"/>
                <w:sz w:val="14"/>
                <w:szCs w:val="14"/>
              </w:rPr>
              <w:t>2,957</w:t>
            </w:r>
          </w:p>
        </w:tc>
        <w:tc>
          <w:tcPr>
            <w:tcW w:w="810" w:type="dxa"/>
            <w:tcBorders>
              <w:top w:val="nil"/>
              <w:bottom w:val="single" w:sz="8" w:space="0" w:color="auto"/>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rsidR="00347DAF" w:rsidRDefault="00347DAF" w:rsidP="00347DAF">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D95BD3">
        <w:trPr>
          <w:trHeight w:hRule="exact" w:val="173"/>
          <w:jc w:val="center"/>
        </w:trPr>
        <w:tc>
          <w:tcPr>
            <w:tcW w:w="9656" w:type="dxa"/>
            <w:gridSpan w:val="8"/>
            <w:tcBorders>
              <w:top w:val="nil"/>
              <w:left w:val="nil"/>
              <w:bottom w:val="nil"/>
              <w:right w:val="nil"/>
            </w:tcBorders>
          </w:tcPr>
          <w:p w:rsidR="00347DAF" w:rsidRPr="006D5F74" w:rsidRDefault="00347DAF" w:rsidP="00347DAF">
            <w:pPr>
              <w:jc w:val="right"/>
              <w:rPr>
                <w:sz w:val="14"/>
                <w:szCs w:val="18"/>
              </w:rPr>
            </w:pPr>
            <w:r w:rsidRPr="00527252">
              <w:rPr>
                <w:sz w:val="14"/>
                <w:szCs w:val="14"/>
              </w:rPr>
              <w:t>Source: Statistics &amp; Data Warehouse Department SBP</w:t>
            </w:r>
          </w:p>
        </w:tc>
      </w:tr>
      <w:tr w:rsidR="00347DAF" w:rsidRPr="006D5F74" w:rsidTr="00D95BD3">
        <w:trPr>
          <w:trHeight w:hRule="exact" w:val="554"/>
          <w:jc w:val="center"/>
        </w:trPr>
        <w:tc>
          <w:tcPr>
            <w:tcW w:w="9656" w:type="dxa"/>
            <w:gridSpan w:val="8"/>
            <w:tcBorders>
              <w:top w:val="nil"/>
              <w:left w:val="nil"/>
              <w:bottom w:val="nil"/>
              <w:right w:val="nil"/>
            </w:tcBorders>
            <w:vAlign w:val="center"/>
          </w:tcPr>
          <w:p w:rsidR="00347DAF" w:rsidRPr="006D5F74" w:rsidRDefault="00347DAF" w:rsidP="00347DAF">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347DAF" w:rsidRPr="00E81106" w:rsidRDefault="009204D3" w:rsidP="00347DAF">
            <w:pPr>
              <w:rPr>
                <w:sz w:val="14"/>
                <w:szCs w:val="14"/>
                <w:u w:val="single"/>
              </w:rPr>
            </w:pPr>
            <w:hyperlink r:id="rId14" w:history="1">
              <w:r w:rsidR="00347DAF" w:rsidRPr="00E81106">
                <w:rPr>
                  <w:rStyle w:val="Hyperlink"/>
                  <w:color w:val="auto"/>
                  <w:sz w:val="14"/>
                  <w:szCs w:val="14"/>
                </w:rPr>
                <w:t>http://www.sbp.org.pk/departments/stats/Notice/Notice-17-May-2012.pdf</w:t>
              </w:r>
            </w:hyperlink>
          </w:p>
          <w:p w:rsidR="00347DAF" w:rsidRPr="006D5F74" w:rsidRDefault="00347DAF" w:rsidP="00347DAF">
            <w:pPr>
              <w:rPr>
                <w:sz w:val="14"/>
                <w:szCs w:val="18"/>
              </w:rPr>
            </w:pPr>
          </w:p>
        </w:tc>
      </w:tr>
      <w:tr w:rsidR="00347DAF" w:rsidRPr="006D5F74" w:rsidTr="00D95BD3">
        <w:trPr>
          <w:trHeight w:hRule="exact" w:val="266"/>
          <w:jc w:val="center"/>
        </w:trPr>
        <w:tc>
          <w:tcPr>
            <w:tcW w:w="9656" w:type="dxa"/>
            <w:gridSpan w:val="8"/>
            <w:tcBorders>
              <w:top w:val="nil"/>
              <w:left w:val="nil"/>
              <w:bottom w:val="nil"/>
              <w:right w:val="nil"/>
            </w:tcBorders>
            <w:vAlign w:val="center"/>
          </w:tcPr>
          <w:p w:rsidR="00347DAF" w:rsidRPr="006D5F74" w:rsidRDefault="00347DAF" w:rsidP="00347DAF">
            <w:pPr>
              <w:rPr>
                <w:sz w:val="14"/>
                <w:szCs w:val="18"/>
              </w:rPr>
            </w:pPr>
            <w:r w:rsidRPr="00E81106">
              <w:rPr>
                <w:sz w:val="14"/>
                <w:szCs w:val="18"/>
              </w:rPr>
              <w:t>2</w:t>
            </w:r>
            <w:r>
              <w:rPr>
                <w:sz w:val="14"/>
                <w:szCs w:val="18"/>
              </w:rPr>
              <w:t xml:space="preserve">. </w:t>
            </w:r>
            <w:r w:rsidRPr="00E81106">
              <w:rPr>
                <w:sz w:val="14"/>
                <w:szCs w:val="18"/>
              </w:rPr>
              <w:t>Net flows of short term borrowings by banks reflect the net increase (+) or decrease  (-) in the stock of short term bank borrowings during the period.</w:t>
            </w:r>
          </w:p>
        </w:tc>
      </w:tr>
      <w:tr w:rsidR="00347DAF" w:rsidRPr="006D5F74" w:rsidTr="00D95BD3">
        <w:trPr>
          <w:trHeight w:hRule="exact" w:val="275"/>
          <w:jc w:val="center"/>
        </w:trPr>
        <w:tc>
          <w:tcPr>
            <w:tcW w:w="9656" w:type="dxa"/>
            <w:gridSpan w:val="8"/>
            <w:tcBorders>
              <w:top w:val="nil"/>
              <w:left w:val="nil"/>
              <w:bottom w:val="nil"/>
              <w:right w:val="nil"/>
            </w:tcBorders>
            <w:vAlign w:val="center"/>
          </w:tcPr>
          <w:p w:rsidR="00347DAF" w:rsidRPr="00E81106" w:rsidRDefault="00347DAF" w:rsidP="00347DAF">
            <w:pPr>
              <w:rPr>
                <w:sz w:val="14"/>
                <w:szCs w:val="18"/>
              </w:rPr>
            </w:pPr>
            <w:r w:rsidRPr="00E81106">
              <w:rPr>
                <w:sz w:val="14"/>
                <w:szCs w:val="18"/>
              </w:rPr>
              <w:t>Note: PIBs-Pakistan Investment Bonds, SAFE-State Administration of Foreign Exchange,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347DAF" w:rsidRPr="006D5F74" w:rsidTr="00D95BD3">
        <w:trPr>
          <w:trHeight w:val="255"/>
          <w:jc w:val="center"/>
        </w:trPr>
        <w:tc>
          <w:tcPr>
            <w:tcW w:w="9656" w:type="dxa"/>
            <w:gridSpan w:val="8"/>
            <w:tcBorders>
              <w:top w:val="nil"/>
              <w:left w:val="nil"/>
              <w:bottom w:val="nil"/>
              <w:right w:val="nil"/>
            </w:tcBorders>
            <w:vAlign w:val="center"/>
          </w:tcPr>
          <w:p w:rsidR="00347DAF" w:rsidRPr="00C447D8" w:rsidRDefault="00347DAF" w:rsidP="00347DAF">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347DAF" w:rsidRPr="006D5F74" w:rsidTr="003F08BA">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347DAF" w:rsidRPr="006D5F74" w:rsidRDefault="00347DAF" w:rsidP="00347DAF">
            <w:pPr>
              <w:jc w:val="right"/>
              <w:rPr>
                <w:b/>
                <w:bCs/>
                <w:sz w:val="15"/>
                <w:szCs w:val="15"/>
              </w:rPr>
            </w:pPr>
            <w:r>
              <w:rPr>
                <w:b/>
                <w:bCs/>
                <w:sz w:val="15"/>
                <w:szCs w:val="15"/>
              </w:rPr>
              <w:t>FY17</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347DAF" w:rsidRPr="006D5F74" w:rsidRDefault="00347DAF" w:rsidP="00347DAF">
            <w:pPr>
              <w:jc w:val="right"/>
              <w:rPr>
                <w:b/>
                <w:bCs/>
                <w:sz w:val="15"/>
                <w:szCs w:val="15"/>
              </w:rPr>
            </w:pPr>
            <w:r>
              <w:rPr>
                <w:b/>
                <w:bCs/>
                <w:sz w:val="15"/>
                <w:szCs w:val="15"/>
              </w:rPr>
              <w:t>FY18</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rsidR="00347DAF" w:rsidRPr="006D5F74" w:rsidRDefault="00347DAF" w:rsidP="00347DAF">
            <w:pPr>
              <w:jc w:val="right"/>
              <w:rPr>
                <w:b/>
                <w:bCs/>
                <w:sz w:val="15"/>
                <w:szCs w:val="15"/>
              </w:rPr>
            </w:pPr>
            <w:r>
              <w:rPr>
                <w:b/>
                <w:bCs/>
                <w:sz w:val="15"/>
                <w:szCs w:val="15"/>
              </w:rPr>
              <w:t>FY19</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347DAF" w:rsidRPr="006D5F74" w:rsidRDefault="00347DAF" w:rsidP="00347DAF">
            <w:pPr>
              <w:jc w:val="right"/>
              <w:rPr>
                <w:b/>
                <w:bCs/>
                <w:sz w:val="15"/>
                <w:szCs w:val="15"/>
              </w:rPr>
            </w:pPr>
            <w:r>
              <w:rPr>
                <w:b/>
                <w:bCs/>
                <w:sz w:val="15"/>
                <w:szCs w:val="15"/>
              </w:rPr>
              <w:t>Oct-Dec-18</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347DAF" w:rsidRPr="006D5F74" w:rsidRDefault="00347DAF" w:rsidP="00347DAF">
            <w:pPr>
              <w:jc w:val="right"/>
              <w:rPr>
                <w:b/>
                <w:bCs/>
                <w:sz w:val="15"/>
                <w:szCs w:val="15"/>
              </w:rPr>
            </w:pPr>
            <w:r>
              <w:rPr>
                <w:b/>
                <w:bCs/>
                <w:sz w:val="15"/>
                <w:szCs w:val="15"/>
              </w:rPr>
              <w:t>Jan-Mar-19</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347DAF" w:rsidRPr="006D5F74" w:rsidRDefault="00347DAF" w:rsidP="00347DAF">
            <w:pPr>
              <w:jc w:val="right"/>
              <w:rPr>
                <w:b/>
                <w:bCs/>
                <w:sz w:val="15"/>
                <w:szCs w:val="15"/>
              </w:rPr>
            </w:pPr>
            <w:r>
              <w:rPr>
                <w:b/>
                <w:bCs/>
                <w:sz w:val="15"/>
                <w:szCs w:val="15"/>
              </w:rPr>
              <w:t>Apr-Jun-19</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347DAF" w:rsidRPr="006D5F74" w:rsidRDefault="00347DAF" w:rsidP="00347DAF">
            <w:pPr>
              <w:jc w:val="right"/>
              <w:rPr>
                <w:b/>
                <w:bCs/>
                <w:sz w:val="15"/>
                <w:szCs w:val="15"/>
              </w:rPr>
            </w:pPr>
            <w:r>
              <w:rPr>
                <w:b/>
                <w:bCs/>
                <w:sz w:val="15"/>
                <w:szCs w:val="15"/>
              </w:rPr>
              <w:t xml:space="preserve">Jul-Sep 19 </w:t>
            </w:r>
            <w:r w:rsidRPr="00AB0881">
              <w:rPr>
                <w:b/>
                <w:bCs/>
                <w:sz w:val="15"/>
                <w:szCs w:val="15"/>
                <w:vertAlign w:val="superscript"/>
              </w:rPr>
              <w:t>P</w:t>
            </w:r>
          </w:p>
        </w:tc>
      </w:tr>
      <w:tr w:rsidR="00347DAF" w:rsidRPr="006D5F74" w:rsidTr="003F08BA">
        <w:trPr>
          <w:trHeight w:hRule="exact" w:val="216"/>
          <w:jc w:val="center"/>
        </w:trPr>
        <w:tc>
          <w:tcPr>
            <w:tcW w:w="3878" w:type="dxa"/>
            <w:tcBorders>
              <w:top w:val="single" w:sz="8" w:space="0" w:color="auto"/>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1. Public debt (a+b+c)</w:t>
            </w:r>
          </w:p>
        </w:tc>
        <w:tc>
          <w:tcPr>
            <w:tcW w:w="843" w:type="dxa"/>
            <w:tcBorders>
              <w:top w:val="single" w:sz="8" w:space="0" w:color="auto"/>
              <w:bottom w:val="nil"/>
            </w:tcBorders>
            <w:vAlign w:val="center"/>
          </w:tcPr>
          <w:p w:rsidR="00347DAF" w:rsidRDefault="00347DAF" w:rsidP="00347DAF">
            <w:pPr>
              <w:jc w:val="right"/>
              <w:rPr>
                <w:b/>
                <w:bCs/>
                <w:color w:val="000000"/>
                <w:sz w:val="14"/>
                <w:szCs w:val="14"/>
              </w:rPr>
            </w:pPr>
            <w:r>
              <w:rPr>
                <w:b/>
                <w:bCs/>
                <w:color w:val="000000"/>
                <w:sz w:val="14"/>
                <w:szCs w:val="14"/>
              </w:rPr>
              <w:t>1,400</w:t>
            </w:r>
          </w:p>
        </w:tc>
        <w:tc>
          <w:tcPr>
            <w:tcW w:w="843" w:type="dxa"/>
            <w:tcBorders>
              <w:top w:val="single" w:sz="8" w:space="0" w:color="auto"/>
              <w:bottom w:val="nil"/>
            </w:tcBorders>
            <w:vAlign w:val="center"/>
          </w:tcPr>
          <w:p w:rsidR="00347DAF" w:rsidRDefault="00347DAF" w:rsidP="00347DAF">
            <w:pPr>
              <w:jc w:val="right"/>
              <w:rPr>
                <w:b/>
                <w:bCs/>
                <w:color w:val="000000"/>
                <w:sz w:val="14"/>
                <w:szCs w:val="14"/>
              </w:rPr>
            </w:pPr>
            <w:r>
              <w:rPr>
                <w:b/>
                <w:bCs/>
                <w:color w:val="000000"/>
                <w:sz w:val="14"/>
                <w:szCs w:val="14"/>
              </w:rPr>
              <w:t>1,787</w:t>
            </w:r>
          </w:p>
        </w:tc>
        <w:tc>
          <w:tcPr>
            <w:tcW w:w="842" w:type="dxa"/>
            <w:tcBorders>
              <w:top w:val="single" w:sz="8" w:space="0" w:color="auto"/>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2,290</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661</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493</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707</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574</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1,228</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1,555</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1,959</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586</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416</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597</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483</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i). Long term (&gt; 1 year )</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1,169</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1,461</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1,896</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562</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408</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583</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465</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Paris club</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242</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240</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231</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110</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108</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7</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Multilateral</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295</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357</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440</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103</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116</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107</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121</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Other Bilateral</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199</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203</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310</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22</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176</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13</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163</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Euro/Sukuk global bonds</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366</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423</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503</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219</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218</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33</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Military</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66</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237</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412</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108</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77</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137</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142</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Saudi fund for development.(SFD)</w:t>
            </w:r>
          </w:p>
        </w:tc>
        <w:tc>
          <w:tcPr>
            <w:tcW w:w="843" w:type="dxa"/>
            <w:tcBorders>
              <w:top w:val="nil"/>
              <w:bottom w:val="nil"/>
            </w:tcBorders>
          </w:tcPr>
          <w:p w:rsidR="00347DAF" w:rsidRDefault="00347DAF" w:rsidP="00347DAF">
            <w:pPr>
              <w:jc w:val="right"/>
            </w:pPr>
            <w:r w:rsidRPr="00271A08">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NBP/BOC deposits</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58</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95</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63</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24</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8</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14</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17</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Multilateral</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51</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52</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17</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14</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8</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7</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33</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9</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C47482" w:rsidRDefault="00347DAF" w:rsidP="00347DAF">
            <w:pPr>
              <w:ind w:left="174"/>
              <w:rPr>
                <w:sz w:val="15"/>
                <w:szCs w:val="15"/>
              </w:rPr>
            </w:pPr>
            <w:r>
              <w:rPr>
                <w:sz w:val="15"/>
                <w:szCs w:val="15"/>
              </w:rPr>
              <w:t xml:space="preserve">        </w:t>
            </w:r>
            <w:r w:rsidRPr="00C47482">
              <w:rPr>
                <w:sz w:val="15"/>
                <w:szCs w:val="15"/>
              </w:rPr>
              <w:t>Local Currency Securities (TBills)</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rFonts w:ascii="Calibri" w:hAnsi="Calibri"/>
                <w:color w:val="000000"/>
              </w:rPr>
            </w:pPr>
            <w:r>
              <w:rPr>
                <w:rFonts w:ascii="Calibri" w:hAnsi="Calibri"/>
                <w:color w:val="000000"/>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p>
        </w:tc>
        <w:tc>
          <w:tcPr>
            <w:tcW w:w="900" w:type="dxa"/>
            <w:tcBorders>
              <w:top w:val="nil"/>
              <w:bottom w:val="nil"/>
            </w:tcBorders>
            <w:shd w:val="clear" w:color="auto" w:fill="auto"/>
            <w:noWrap/>
            <w:vAlign w:val="center"/>
          </w:tcPr>
          <w:p w:rsidR="00347DAF" w:rsidRDefault="00347DAF" w:rsidP="00347DAF">
            <w:pPr>
              <w:jc w:val="right"/>
            </w:pPr>
          </w:p>
        </w:tc>
        <w:tc>
          <w:tcPr>
            <w:tcW w:w="990" w:type="dxa"/>
            <w:tcBorders>
              <w:top w:val="nil"/>
              <w:bottom w:val="nil"/>
            </w:tcBorders>
            <w:shd w:val="clear" w:color="auto" w:fill="auto"/>
            <w:noWrap/>
            <w:vAlign w:val="center"/>
          </w:tcPr>
          <w:p w:rsidR="00347DAF" w:rsidRDefault="00347DAF" w:rsidP="00347DAF">
            <w:pPr>
              <w:jc w:val="right"/>
            </w:pPr>
          </w:p>
        </w:tc>
        <w:tc>
          <w:tcPr>
            <w:tcW w:w="966" w:type="dxa"/>
            <w:tcBorders>
              <w:top w:val="nil"/>
              <w:bottom w:val="nil"/>
            </w:tcBorders>
            <w:vAlign w:val="center"/>
          </w:tcPr>
          <w:p w:rsidR="00347DAF" w:rsidRDefault="00347DAF" w:rsidP="00347DAF">
            <w:pPr>
              <w:jc w:val="right"/>
            </w:pP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b). To IMF</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86</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128</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144</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36</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37</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35</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44</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 Federal government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86</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128</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144</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36</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37</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35</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44</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103</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187</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39</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40</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75</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48</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 Central bank deposits</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11</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21</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9</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43</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iii) Other Liabilities (SWAP)</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76</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89</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166</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37</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31</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72</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5</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18</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105</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10</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45</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10</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47</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Paris Club</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Multilateral</w:t>
            </w:r>
          </w:p>
        </w:tc>
        <w:tc>
          <w:tcPr>
            <w:tcW w:w="843" w:type="dxa"/>
            <w:tcBorders>
              <w:top w:val="nil"/>
              <w:bottom w:val="nil"/>
            </w:tcBorders>
          </w:tcPr>
          <w:p w:rsidR="00347DAF" w:rsidRDefault="00347DAF" w:rsidP="00347DAF">
            <w:pPr>
              <w:jc w:val="right"/>
            </w:pPr>
            <w:r w:rsidRPr="00A95552">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Other bilateral</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18</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47</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85</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45</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47</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Commercial loans</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20</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10</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10</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Sandak Metal Bonds</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3. PSEs non-guaranteed debt</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17</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25</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7</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8</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7</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3</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Long term (&gt; 1 year )</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17</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24</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8</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7</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3</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Short term (&lt; 1 year )</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4. Scheduled banks' borrowing</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23</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15</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15</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23</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22</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Long term (&gt; 1 year )</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Short term (&lt; 1 year )</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23</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71</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14</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15</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23</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22</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5. Private guaranteed debt</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b/>
                <w:bCs/>
                <w:sz w:val="15"/>
                <w:szCs w:val="15"/>
              </w:rPr>
            </w:pPr>
            <w:r w:rsidRPr="006D5F74">
              <w:rPr>
                <w:b/>
                <w:bCs/>
                <w:sz w:val="15"/>
                <w:szCs w:val="15"/>
              </w:rPr>
              <w:t>6. Private non-guaranteed debt</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166</w:t>
            </w:r>
          </w:p>
        </w:tc>
        <w:tc>
          <w:tcPr>
            <w:tcW w:w="843"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391</w:t>
            </w:r>
          </w:p>
        </w:tc>
        <w:tc>
          <w:tcPr>
            <w:tcW w:w="842"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459</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156</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100</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143</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151</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Long term (&gt; 1 year )</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157</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447</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153</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98</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141</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134</w:t>
            </w:r>
          </w:p>
        </w:tc>
      </w:tr>
      <w:tr w:rsidR="00347DAF" w:rsidRPr="006D5F74" w:rsidTr="003F08BA">
        <w:trPr>
          <w:trHeight w:hRule="exact" w:val="216"/>
          <w:jc w:val="center"/>
        </w:trPr>
        <w:tc>
          <w:tcPr>
            <w:tcW w:w="3878" w:type="dxa"/>
            <w:tcBorders>
              <w:top w:val="nil"/>
              <w:bottom w:val="nil"/>
            </w:tcBorders>
            <w:shd w:val="clear" w:color="auto" w:fill="auto"/>
            <w:noWrap/>
            <w:vAlign w:val="center"/>
            <w:hideMark/>
          </w:tcPr>
          <w:p w:rsidR="00347DAF" w:rsidRPr="006D5F74" w:rsidRDefault="00347DAF" w:rsidP="00347DAF">
            <w:pPr>
              <w:rPr>
                <w:sz w:val="15"/>
                <w:szCs w:val="15"/>
              </w:rPr>
            </w:pPr>
            <w:r w:rsidRPr="006D5F74">
              <w:rPr>
                <w:sz w:val="15"/>
                <w:szCs w:val="15"/>
              </w:rPr>
              <w:t xml:space="preserve">         Short term (&lt; 1 year )</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9</w:t>
            </w:r>
          </w:p>
        </w:tc>
        <w:tc>
          <w:tcPr>
            <w:tcW w:w="843" w:type="dxa"/>
            <w:tcBorders>
              <w:top w:val="nil"/>
              <w:bottom w:val="nil"/>
            </w:tcBorders>
            <w:vAlign w:val="center"/>
          </w:tcPr>
          <w:p w:rsidR="00347DAF" w:rsidRDefault="00347DAF" w:rsidP="00347DAF">
            <w:pPr>
              <w:jc w:val="right"/>
              <w:rPr>
                <w:color w:val="000000"/>
                <w:sz w:val="14"/>
                <w:szCs w:val="14"/>
              </w:rPr>
            </w:pPr>
            <w:r>
              <w:rPr>
                <w:color w:val="000000"/>
                <w:sz w:val="14"/>
                <w:szCs w:val="14"/>
              </w:rPr>
              <w:t>25</w:t>
            </w:r>
          </w:p>
        </w:tc>
        <w:tc>
          <w:tcPr>
            <w:tcW w:w="842"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12</w:t>
            </w:r>
          </w:p>
        </w:tc>
        <w:tc>
          <w:tcPr>
            <w:tcW w:w="947" w:type="dxa"/>
            <w:tcBorders>
              <w:top w:val="nil"/>
              <w:bottom w:val="nil"/>
            </w:tcBorders>
            <w:shd w:val="clear" w:color="auto" w:fill="auto"/>
            <w:noWrap/>
            <w:vAlign w:val="center"/>
            <w:hideMark/>
          </w:tcPr>
          <w:p w:rsidR="00347DAF" w:rsidRDefault="00347DAF" w:rsidP="00347DAF">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347DAF" w:rsidRDefault="00347DAF" w:rsidP="00347DAF">
            <w:pPr>
              <w:jc w:val="right"/>
              <w:rPr>
                <w:color w:val="000000"/>
                <w:sz w:val="14"/>
                <w:szCs w:val="14"/>
              </w:rPr>
            </w:pPr>
            <w:r>
              <w:rPr>
                <w:color w:val="000000"/>
                <w:sz w:val="14"/>
                <w:szCs w:val="14"/>
              </w:rPr>
              <w:t>3</w:t>
            </w:r>
          </w:p>
        </w:tc>
        <w:tc>
          <w:tcPr>
            <w:tcW w:w="966" w:type="dxa"/>
            <w:tcBorders>
              <w:top w:val="nil"/>
              <w:bottom w:val="nil"/>
            </w:tcBorders>
            <w:vAlign w:val="center"/>
          </w:tcPr>
          <w:p w:rsidR="00347DAF" w:rsidRDefault="00347DAF" w:rsidP="00347DAF">
            <w:pPr>
              <w:jc w:val="right"/>
              <w:rPr>
                <w:color w:val="000000"/>
                <w:sz w:val="14"/>
                <w:szCs w:val="14"/>
              </w:rPr>
            </w:pPr>
            <w:r>
              <w:rPr>
                <w:color w:val="000000"/>
                <w:sz w:val="14"/>
                <w:szCs w:val="14"/>
              </w:rPr>
              <w:t>17</w:t>
            </w:r>
          </w:p>
        </w:tc>
      </w:tr>
      <w:tr w:rsidR="00347DAF"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347DAF" w:rsidRPr="006D5F74" w:rsidRDefault="00347DAF" w:rsidP="00347DAF">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347DAF" w:rsidRDefault="00347DAF" w:rsidP="00347DAF">
            <w:pPr>
              <w:jc w:val="right"/>
              <w:rPr>
                <w:b/>
                <w:bCs/>
                <w:color w:val="000000"/>
                <w:sz w:val="14"/>
                <w:szCs w:val="14"/>
              </w:rPr>
            </w:pPr>
            <w:r>
              <w:rPr>
                <w:b/>
                <w:bCs/>
                <w:color w:val="000000"/>
                <w:sz w:val="14"/>
                <w:szCs w:val="14"/>
              </w:rPr>
              <w:t>-</w:t>
            </w:r>
          </w:p>
        </w:tc>
      </w:tr>
      <w:tr w:rsidR="00347DAF"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347DAF" w:rsidRPr="006D5F74" w:rsidRDefault="00347DAF" w:rsidP="00347DAF">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1,625</w:t>
            </w:r>
          </w:p>
        </w:tc>
        <w:tc>
          <w:tcPr>
            <w:tcW w:w="843" w:type="dxa"/>
            <w:tcBorders>
              <w:top w:val="nil"/>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2,317</w:t>
            </w:r>
          </w:p>
        </w:tc>
        <w:tc>
          <w:tcPr>
            <w:tcW w:w="842" w:type="dxa"/>
            <w:tcBorders>
              <w:top w:val="nil"/>
              <w:bottom w:val="single" w:sz="8" w:space="0" w:color="auto"/>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2,951</w:t>
            </w:r>
          </w:p>
        </w:tc>
        <w:tc>
          <w:tcPr>
            <w:tcW w:w="947" w:type="dxa"/>
            <w:tcBorders>
              <w:top w:val="single" w:sz="8" w:space="0" w:color="auto"/>
              <w:bottom w:val="single" w:sz="8" w:space="0" w:color="auto"/>
            </w:tcBorders>
            <w:shd w:val="clear" w:color="auto" w:fill="auto"/>
            <w:noWrap/>
            <w:vAlign w:val="center"/>
            <w:hideMark/>
          </w:tcPr>
          <w:p w:rsidR="00347DAF" w:rsidRDefault="00347DAF" w:rsidP="00347DAF">
            <w:pPr>
              <w:jc w:val="right"/>
              <w:rPr>
                <w:b/>
                <w:bCs/>
                <w:color w:val="000000"/>
                <w:sz w:val="14"/>
                <w:szCs w:val="14"/>
              </w:rPr>
            </w:pPr>
            <w:r>
              <w:rPr>
                <w:b/>
                <w:bCs/>
                <w:color w:val="000000"/>
                <w:sz w:val="14"/>
                <w:szCs w:val="14"/>
              </w:rPr>
              <w:t>848</w:t>
            </w:r>
          </w:p>
        </w:tc>
        <w:tc>
          <w:tcPr>
            <w:tcW w:w="900" w:type="dxa"/>
            <w:tcBorders>
              <w:top w:val="single" w:sz="8" w:space="0" w:color="auto"/>
              <w:bottom w:val="single" w:sz="8" w:space="0" w:color="auto"/>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661</w:t>
            </w:r>
          </w:p>
        </w:tc>
        <w:tc>
          <w:tcPr>
            <w:tcW w:w="990" w:type="dxa"/>
            <w:tcBorders>
              <w:top w:val="single" w:sz="8" w:space="0" w:color="auto"/>
              <w:bottom w:val="single" w:sz="8" w:space="0" w:color="auto"/>
            </w:tcBorders>
            <w:shd w:val="clear" w:color="auto" w:fill="auto"/>
            <w:noWrap/>
            <w:vAlign w:val="center"/>
          </w:tcPr>
          <w:p w:rsidR="00347DAF" w:rsidRDefault="00347DAF" w:rsidP="00347DAF">
            <w:pPr>
              <w:jc w:val="right"/>
              <w:rPr>
                <w:b/>
                <w:bCs/>
                <w:color w:val="000000"/>
                <w:sz w:val="14"/>
                <w:szCs w:val="14"/>
              </w:rPr>
            </w:pPr>
            <w:r>
              <w:rPr>
                <w:b/>
                <w:bCs/>
                <w:color w:val="000000"/>
                <w:sz w:val="14"/>
                <w:szCs w:val="14"/>
              </w:rPr>
              <w:t>890</w:t>
            </w:r>
          </w:p>
        </w:tc>
        <w:tc>
          <w:tcPr>
            <w:tcW w:w="966" w:type="dxa"/>
            <w:tcBorders>
              <w:top w:val="single" w:sz="8" w:space="0" w:color="auto"/>
              <w:bottom w:val="single" w:sz="8" w:space="0" w:color="auto"/>
            </w:tcBorders>
            <w:vAlign w:val="center"/>
          </w:tcPr>
          <w:p w:rsidR="00347DAF" w:rsidRDefault="00347DAF" w:rsidP="00347DAF">
            <w:pPr>
              <w:jc w:val="right"/>
              <w:rPr>
                <w:b/>
                <w:bCs/>
                <w:color w:val="000000"/>
                <w:sz w:val="14"/>
                <w:szCs w:val="14"/>
              </w:rPr>
            </w:pPr>
            <w:r>
              <w:rPr>
                <w:b/>
                <w:bCs/>
                <w:color w:val="000000"/>
                <w:sz w:val="14"/>
                <w:szCs w:val="14"/>
              </w:rPr>
              <w:t>798</w:t>
            </w:r>
          </w:p>
        </w:tc>
      </w:tr>
      <w:tr w:rsidR="00347DAF" w:rsidRPr="006D5F74" w:rsidTr="00050BDE">
        <w:trPr>
          <w:trHeight w:val="173"/>
          <w:jc w:val="center"/>
        </w:trPr>
        <w:tc>
          <w:tcPr>
            <w:tcW w:w="10209" w:type="dxa"/>
            <w:gridSpan w:val="8"/>
            <w:tcBorders>
              <w:top w:val="nil"/>
              <w:left w:val="nil"/>
              <w:bottom w:val="nil"/>
              <w:right w:val="nil"/>
            </w:tcBorders>
            <w:vAlign w:val="center"/>
          </w:tcPr>
          <w:p w:rsidR="00347DAF" w:rsidRPr="006D5F74" w:rsidRDefault="00347DAF" w:rsidP="00347DAF">
            <w:pPr>
              <w:jc w:val="right"/>
              <w:rPr>
                <w:sz w:val="14"/>
                <w:szCs w:val="18"/>
              </w:rPr>
            </w:pPr>
            <w:r w:rsidRPr="00527252">
              <w:rPr>
                <w:sz w:val="14"/>
                <w:szCs w:val="14"/>
              </w:rPr>
              <w:t>Source: Statistics &amp; Data Warehouse Department SBP</w:t>
            </w:r>
          </w:p>
        </w:tc>
      </w:tr>
      <w:tr w:rsidR="00347DAF" w:rsidRPr="006D5F74" w:rsidTr="00050BDE">
        <w:trPr>
          <w:trHeight w:val="365"/>
          <w:jc w:val="center"/>
        </w:trPr>
        <w:tc>
          <w:tcPr>
            <w:tcW w:w="10209" w:type="dxa"/>
            <w:gridSpan w:val="8"/>
            <w:tcBorders>
              <w:top w:val="nil"/>
              <w:left w:val="nil"/>
              <w:bottom w:val="nil"/>
              <w:right w:val="nil"/>
            </w:tcBorders>
            <w:vAlign w:val="center"/>
          </w:tcPr>
          <w:p w:rsidR="00347DAF" w:rsidRPr="006D5F74" w:rsidRDefault="00347DAF" w:rsidP="00347DAF">
            <w:pPr>
              <w:rPr>
                <w:sz w:val="14"/>
                <w:szCs w:val="18"/>
              </w:rPr>
            </w:pPr>
            <w:r w:rsidRPr="006D5F74">
              <w:rPr>
                <w:sz w:val="14"/>
                <w:szCs w:val="18"/>
              </w:rPr>
              <w:t>Note: TBills-Treasury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347DAF" w:rsidRPr="006D5F74" w:rsidRDefault="00347DAF" w:rsidP="00347DAF">
            <w:pPr>
              <w:rPr>
                <w:sz w:val="14"/>
                <w:szCs w:val="18"/>
              </w:rPr>
            </w:pPr>
            <w:r w:rsidRPr="006D5F74">
              <w:rPr>
                <w:sz w:val="14"/>
                <w:szCs w:val="18"/>
              </w:rPr>
              <w:t xml:space="preserve">          Construction.</w:t>
            </w:r>
          </w:p>
        </w:tc>
      </w:tr>
      <w:tr w:rsidR="00347DAF" w:rsidRPr="006D5F74" w:rsidTr="00050BDE">
        <w:trPr>
          <w:trHeight w:val="239"/>
          <w:jc w:val="center"/>
        </w:trPr>
        <w:tc>
          <w:tcPr>
            <w:tcW w:w="10209" w:type="dxa"/>
            <w:gridSpan w:val="8"/>
            <w:tcBorders>
              <w:top w:val="nil"/>
              <w:left w:val="nil"/>
              <w:bottom w:val="nil"/>
              <w:right w:val="nil"/>
            </w:tcBorders>
            <w:vAlign w:val="center"/>
          </w:tcPr>
          <w:p w:rsidR="00347DAF" w:rsidRPr="006D5F74" w:rsidRDefault="00347DAF" w:rsidP="00347DAF">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1998</w:t>
            </w:r>
          </w:p>
        </w:tc>
        <w:tc>
          <w:tcPr>
            <w:tcW w:w="810" w:type="dxa"/>
            <w:vAlign w:val="center"/>
          </w:tcPr>
          <w:p w:rsidR="00385FBC" w:rsidRPr="006D5F74" w:rsidRDefault="00385FBC" w:rsidP="00385FBC">
            <w:pPr>
              <w:jc w:val="right"/>
              <w:rPr>
                <w:b/>
                <w:bCs/>
                <w:sz w:val="16"/>
              </w:rPr>
            </w:pPr>
            <w:r w:rsidRPr="006D5F74">
              <w:rPr>
                <w:b/>
                <w:bCs/>
                <w:sz w:val="16"/>
              </w:rPr>
              <w:t>2,094,051</w:t>
            </w:r>
          </w:p>
        </w:tc>
        <w:tc>
          <w:tcPr>
            <w:tcW w:w="888" w:type="dxa"/>
            <w:vAlign w:val="center"/>
          </w:tcPr>
          <w:p w:rsidR="00385FBC" w:rsidRPr="006D5F74" w:rsidRDefault="00385FBC" w:rsidP="00385FBC">
            <w:pPr>
              <w:jc w:val="right"/>
              <w:rPr>
                <w:sz w:val="16"/>
              </w:rPr>
            </w:pPr>
            <w:r w:rsidRPr="006D5F74">
              <w:rPr>
                <w:sz w:val="16"/>
              </w:rPr>
              <w:t>236,909</w:t>
            </w:r>
          </w:p>
        </w:tc>
        <w:tc>
          <w:tcPr>
            <w:tcW w:w="912" w:type="dxa"/>
            <w:vAlign w:val="center"/>
          </w:tcPr>
          <w:p w:rsidR="00385FBC" w:rsidRPr="006D5F74" w:rsidRDefault="00385FBC" w:rsidP="00385FBC">
            <w:pPr>
              <w:jc w:val="right"/>
              <w:rPr>
                <w:sz w:val="16"/>
              </w:rPr>
            </w:pPr>
            <w:r w:rsidRPr="006D5F74">
              <w:rPr>
                <w:sz w:val="16"/>
              </w:rPr>
              <w:t>351,173</w:t>
            </w:r>
          </w:p>
        </w:tc>
        <w:tc>
          <w:tcPr>
            <w:tcW w:w="888" w:type="dxa"/>
            <w:vAlign w:val="center"/>
          </w:tcPr>
          <w:p w:rsidR="00385FBC" w:rsidRPr="006D5F74" w:rsidRDefault="00385FBC" w:rsidP="00385FBC">
            <w:pPr>
              <w:jc w:val="right"/>
              <w:rPr>
                <w:sz w:val="16"/>
              </w:rPr>
            </w:pPr>
            <w:r w:rsidRPr="006D5F74">
              <w:rPr>
                <w:sz w:val="16"/>
              </w:rPr>
              <w:t>54,974</w:t>
            </w:r>
          </w:p>
        </w:tc>
        <w:tc>
          <w:tcPr>
            <w:tcW w:w="977" w:type="dxa"/>
            <w:vAlign w:val="center"/>
          </w:tcPr>
          <w:p w:rsidR="00385FBC" w:rsidRPr="006D5F74" w:rsidRDefault="00385FBC" w:rsidP="00385FBC">
            <w:pPr>
              <w:jc w:val="right"/>
              <w:rPr>
                <w:sz w:val="16"/>
              </w:rPr>
            </w:pPr>
            <w:r w:rsidRPr="006D5F74">
              <w:rPr>
                <w:sz w:val="16"/>
              </w:rPr>
              <w:t>536,930</w:t>
            </w:r>
          </w:p>
        </w:tc>
        <w:tc>
          <w:tcPr>
            <w:tcW w:w="1066" w:type="dxa"/>
            <w:vAlign w:val="center"/>
          </w:tcPr>
          <w:p w:rsidR="00385FBC" w:rsidRPr="006D5F74" w:rsidRDefault="00385FBC" w:rsidP="00385FBC">
            <w:pPr>
              <w:jc w:val="right"/>
              <w:rPr>
                <w:sz w:val="16"/>
              </w:rPr>
            </w:pPr>
            <w:r w:rsidRPr="006D5F74">
              <w:rPr>
                <w:sz w:val="16"/>
              </w:rPr>
              <w:t>397,454</w:t>
            </w:r>
          </w:p>
        </w:tc>
        <w:tc>
          <w:tcPr>
            <w:tcW w:w="929" w:type="dxa"/>
            <w:vAlign w:val="center"/>
          </w:tcPr>
          <w:p w:rsidR="00385FBC" w:rsidRPr="006D5F74" w:rsidRDefault="00385FBC" w:rsidP="00385FBC">
            <w:pPr>
              <w:jc w:val="right"/>
              <w:rPr>
                <w:sz w:val="16"/>
              </w:rPr>
            </w:pPr>
            <w:r w:rsidRPr="006D5F74">
              <w:rPr>
                <w:sz w:val="16"/>
              </w:rPr>
              <w:t>516,611</w:t>
            </w:r>
          </w:p>
        </w:tc>
        <w:tc>
          <w:tcPr>
            <w:tcW w:w="910" w:type="dxa"/>
            <w:vAlign w:val="center"/>
          </w:tcPr>
          <w:p w:rsidR="00385FBC" w:rsidRPr="006D5F74" w:rsidRDefault="00385FBC" w:rsidP="00385FBC">
            <w:pPr>
              <w:jc w:val="right"/>
              <w:rPr>
                <w:sz w:val="16"/>
              </w:rPr>
            </w:pPr>
            <w:r w:rsidRPr="006D5F74">
              <w:rPr>
                <w:sz w:val="16"/>
              </w:rPr>
              <w:t>23,565</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1999</w:t>
            </w:r>
          </w:p>
        </w:tc>
        <w:tc>
          <w:tcPr>
            <w:tcW w:w="810" w:type="dxa"/>
            <w:vAlign w:val="center"/>
          </w:tcPr>
          <w:p w:rsidR="00385FBC" w:rsidRPr="006D5F74" w:rsidRDefault="00385FBC" w:rsidP="00385FBC">
            <w:pPr>
              <w:jc w:val="right"/>
              <w:rPr>
                <w:b/>
                <w:bCs/>
                <w:sz w:val="16"/>
              </w:rPr>
            </w:pPr>
            <w:r w:rsidRPr="006D5F74">
              <w:rPr>
                <w:b/>
                <w:bCs/>
                <w:sz w:val="16"/>
              </w:rPr>
              <w:t>2,463,031</w:t>
            </w:r>
          </w:p>
        </w:tc>
        <w:tc>
          <w:tcPr>
            <w:tcW w:w="888" w:type="dxa"/>
            <w:vAlign w:val="center"/>
          </w:tcPr>
          <w:p w:rsidR="00385FBC" w:rsidRPr="006D5F74" w:rsidRDefault="00385FBC" w:rsidP="00385FBC">
            <w:pPr>
              <w:jc w:val="right"/>
              <w:rPr>
                <w:sz w:val="16"/>
              </w:rPr>
            </w:pPr>
            <w:r w:rsidRPr="006D5F74">
              <w:rPr>
                <w:sz w:val="16"/>
              </w:rPr>
              <w:t>358,320</w:t>
            </w:r>
          </w:p>
        </w:tc>
        <w:tc>
          <w:tcPr>
            <w:tcW w:w="912" w:type="dxa"/>
            <w:vAlign w:val="center"/>
          </w:tcPr>
          <w:p w:rsidR="00385FBC" w:rsidRPr="006D5F74" w:rsidRDefault="00385FBC" w:rsidP="00385FBC">
            <w:pPr>
              <w:jc w:val="right"/>
              <w:rPr>
                <w:sz w:val="16"/>
              </w:rPr>
            </w:pPr>
            <w:r w:rsidRPr="006D5F74">
              <w:rPr>
                <w:sz w:val="16"/>
              </w:rPr>
              <w:t>321,688</w:t>
            </w:r>
          </w:p>
        </w:tc>
        <w:tc>
          <w:tcPr>
            <w:tcW w:w="888" w:type="dxa"/>
            <w:vAlign w:val="center"/>
          </w:tcPr>
          <w:p w:rsidR="00385FBC" w:rsidRPr="006D5F74" w:rsidRDefault="00385FBC" w:rsidP="00385FBC">
            <w:pPr>
              <w:jc w:val="right"/>
              <w:rPr>
                <w:sz w:val="16"/>
              </w:rPr>
            </w:pPr>
            <w:r w:rsidRPr="006D5F74">
              <w:rPr>
                <w:sz w:val="16"/>
              </w:rPr>
              <w:t>56,272</w:t>
            </w:r>
          </w:p>
        </w:tc>
        <w:tc>
          <w:tcPr>
            <w:tcW w:w="977" w:type="dxa"/>
            <w:vAlign w:val="center"/>
          </w:tcPr>
          <w:p w:rsidR="00385FBC" w:rsidRPr="006D5F74" w:rsidRDefault="00385FBC" w:rsidP="00385FBC">
            <w:pPr>
              <w:jc w:val="right"/>
              <w:rPr>
                <w:sz w:val="16"/>
              </w:rPr>
            </w:pPr>
            <w:r w:rsidRPr="006D5F74">
              <w:rPr>
                <w:sz w:val="16"/>
              </w:rPr>
              <w:t>630,551</w:t>
            </w:r>
          </w:p>
        </w:tc>
        <w:tc>
          <w:tcPr>
            <w:tcW w:w="1066" w:type="dxa"/>
            <w:vAlign w:val="center"/>
          </w:tcPr>
          <w:p w:rsidR="00385FBC" w:rsidRPr="006D5F74" w:rsidRDefault="00385FBC" w:rsidP="00385FBC">
            <w:pPr>
              <w:jc w:val="right"/>
              <w:rPr>
                <w:sz w:val="16"/>
              </w:rPr>
            </w:pPr>
            <w:r w:rsidRPr="006D5F74">
              <w:rPr>
                <w:sz w:val="16"/>
              </w:rPr>
              <w:t>471,486</w:t>
            </w:r>
          </w:p>
        </w:tc>
        <w:tc>
          <w:tcPr>
            <w:tcW w:w="929" w:type="dxa"/>
            <w:vAlign w:val="center"/>
          </w:tcPr>
          <w:p w:rsidR="00385FBC" w:rsidRPr="006D5F74" w:rsidRDefault="00385FBC" w:rsidP="00385FBC">
            <w:pPr>
              <w:jc w:val="right"/>
              <w:rPr>
                <w:sz w:val="16"/>
              </w:rPr>
            </w:pPr>
            <w:r w:rsidRPr="006D5F74">
              <w:rPr>
                <w:sz w:val="16"/>
              </w:rPr>
              <w:t>624,714</w:t>
            </w:r>
          </w:p>
        </w:tc>
        <w:tc>
          <w:tcPr>
            <w:tcW w:w="910" w:type="dxa"/>
            <w:vAlign w:val="center"/>
          </w:tcPr>
          <w:p w:rsidR="00385FBC" w:rsidRPr="006D5F74" w:rsidRDefault="00385FBC" w:rsidP="00385FBC">
            <w:pPr>
              <w:jc w:val="right"/>
              <w:rPr>
                <w:sz w:val="16"/>
              </w:rPr>
            </w:pPr>
            <w:r w:rsidRPr="006D5F74">
              <w:rPr>
                <w:sz w:val="16"/>
              </w:rPr>
              <w:t>29,539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2000</w:t>
            </w:r>
          </w:p>
        </w:tc>
        <w:tc>
          <w:tcPr>
            <w:tcW w:w="810" w:type="dxa"/>
            <w:vAlign w:val="center"/>
          </w:tcPr>
          <w:p w:rsidR="00385FBC" w:rsidRPr="006D5F74" w:rsidRDefault="00385FBC" w:rsidP="00385FBC">
            <w:pPr>
              <w:jc w:val="right"/>
              <w:rPr>
                <w:b/>
                <w:bCs/>
                <w:sz w:val="16"/>
              </w:rPr>
            </w:pPr>
            <w:r w:rsidRPr="006D5F74">
              <w:rPr>
                <w:b/>
                <w:bCs/>
                <w:sz w:val="16"/>
              </w:rPr>
              <w:t>2,790,632</w:t>
            </w:r>
          </w:p>
        </w:tc>
        <w:tc>
          <w:tcPr>
            <w:tcW w:w="888" w:type="dxa"/>
            <w:vAlign w:val="center"/>
          </w:tcPr>
          <w:p w:rsidR="00385FBC" w:rsidRPr="006D5F74" w:rsidRDefault="00385FBC" w:rsidP="00385FBC">
            <w:pPr>
              <w:jc w:val="right"/>
              <w:rPr>
                <w:sz w:val="16"/>
              </w:rPr>
            </w:pPr>
            <w:r w:rsidRPr="006D5F74">
              <w:rPr>
                <w:sz w:val="16"/>
              </w:rPr>
              <w:t>540,169</w:t>
            </w:r>
          </w:p>
        </w:tc>
        <w:tc>
          <w:tcPr>
            <w:tcW w:w="912" w:type="dxa"/>
            <w:vAlign w:val="center"/>
          </w:tcPr>
          <w:p w:rsidR="00385FBC" w:rsidRPr="006D5F74" w:rsidRDefault="00385FBC" w:rsidP="00385FBC">
            <w:pPr>
              <w:jc w:val="right"/>
              <w:rPr>
                <w:sz w:val="16"/>
              </w:rPr>
            </w:pPr>
            <w:r w:rsidRPr="006D5F74">
              <w:rPr>
                <w:sz w:val="16"/>
              </w:rPr>
              <w:t>242,548</w:t>
            </w:r>
          </w:p>
        </w:tc>
        <w:tc>
          <w:tcPr>
            <w:tcW w:w="888" w:type="dxa"/>
            <w:vAlign w:val="center"/>
          </w:tcPr>
          <w:p w:rsidR="00385FBC" w:rsidRPr="006D5F74" w:rsidRDefault="00385FBC" w:rsidP="00385FBC">
            <w:pPr>
              <w:jc w:val="right"/>
              <w:rPr>
                <w:sz w:val="16"/>
              </w:rPr>
            </w:pPr>
            <w:r w:rsidRPr="006D5F74">
              <w:rPr>
                <w:sz w:val="16"/>
              </w:rPr>
              <w:t>48,461</w:t>
            </w:r>
          </w:p>
        </w:tc>
        <w:tc>
          <w:tcPr>
            <w:tcW w:w="977" w:type="dxa"/>
            <w:vAlign w:val="center"/>
          </w:tcPr>
          <w:p w:rsidR="00385FBC" w:rsidRPr="006D5F74" w:rsidRDefault="00385FBC" w:rsidP="00385FBC">
            <w:pPr>
              <w:jc w:val="right"/>
              <w:rPr>
                <w:sz w:val="16"/>
              </w:rPr>
            </w:pPr>
            <w:r w:rsidRPr="006D5F74">
              <w:rPr>
                <w:sz w:val="16"/>
              </w:rPr>
              <w:t>656,157</w:t>
            </w:r>
          </w:p>
        </w:tc>
        <w:tc>
          <w:tcPr>
            <w:tcW w:w="1066" w:type="dxa"/>
            <w:vAlign w:val="center"/>
          </w:tcPr>
          <w:p w:rsidR="00385FBC" w:rsidRPr="006D5F74" w:rsidRDefault="00385FBC" w:rsidP="00385FBC">
            <w:pPr>
              <w:jc w:val="right"/>
              <w:rPr>
                <w:sz w:val="16"/>
              </w:rPr>
            </w:pPr>
            <w:r w:rsidRPr="006D5F74">
              <w:rPr>
                <w:sz w:val="16"/>
              </w:rPr>
              <w:t>517,293</w:t>
            </w:r>
          </w:p>
        </w:tc>
        <w:tc>
          <w:tcPr>
            <w:tcW w:w="929" w:type="dxa"/>
            <w:vAlign w:val="center"/>
          </w:tcPr>
          <w:p w:rsidR="00385FBC" w:rsidRPr="006D5F74" w:rsidRDefault="00385FBC" w:rsidP="00385FBC">
            <w:pPr>
              <w:jc w:val="right"/>
              <w:rPr>
                <w:sz w:val="16"/>
              </w:rPr>
            </w:pPr>
            <w:r w:rsidRPr="006D5F74">
              <w:rPr>
                <w:sz w:val="16"/>
              </w:rPr>
              <w:t>786,004</w:t>
            </w:r>
          </w:p>
        </w:tc>
        <w:tc>
          <w:tcPr>
            <w:tcW w:w="910" w:type="dxa"/>
            <w:vAlign w:val="center"/>
          </w:tcPr>
          <w:p w:rsidR="00385FBC" w:rsidRPr="006D5F74" w:rsidRDefault="00385FBC" w:rsidP="00385FBC">
            <w:pPr>
              <w:jc w:val="right"/>
              <w:rPr>
                <w:sz w:val="16"/>
              </w:rPr>
            </w:pPr>
            <w:r w:rsidRPr="006D5F74">
              <w:rPr>
                <w:sz w:val="16"/>
              </w:rPr>
              <w:t>41,939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2001</w:t>
            </w:r>
          </w:p>
        </w:tc>
        <w:tc>
          <w:tcPr>
            <w:tcW w:w="810" w:type="dxa"/>
            <w:vAlign w:val="center"/>
          </w:tcPr>
          <w:p w:rsidR="00385FBC" w:rsidRPr="006D5F74" w:rsidRDefault="00385FBC" w:rsidP="00385FBC">
            <w:pPr>
              <w:jc w:val="right"/>
              <w:rPr>
                <w:b/>
                <w:bCs/>
                <w:sz w:val="16"/>
              </w:rPr>
            </w:pPr>
            <w:r w:rsidRPr="006D5F74">
              <w:rPr>
                <w:b/>
                <w:bCs/>
                <w:sz w:val="16"/>
              </w:rPr>
              <w:t>3,127,300</w:t>
            </w:r>
          </w:p>
        </w:tc>
        <w:tc>
          <w:tcPr>
            <w:tcW w:w="888" w:type="dxa"/>
            <w:vAlign w:val="center"/>
          </w:tcPr>
          <w:p w:rsidR="00385FBC" w:rsidRPr="006D5F74" w:rsidRDefault="00385FBC" w:rsidP="00385FBC">
            <w:pPr>
              <w:jc w:val="right"/>
              <w:rPr>
                <w:sz w:val="16"/>
              </w:rPr>
            </w:pPr>
            <w:r w:rsidRPr="006D5F74">
              <w:rPr>
                <w:sz w:val="16"/>
              </w:rPr>
              <w:t>614,689</w:t>
            </w:r>
          </w:p>
        </w:tc>
        <w:tc>
          <w:tcPr>
            <w:tcW w:w="912" w:type="dxa"/>
            <w:vAlign w:val="center"/>
          </w:tcPr>
          <w:p w:rsidR="00385FBC" w:rsidRPr="006D5F74" w:rsidRDefault="00385FBC" w:rsidP="00385FBC">
            <w:pPr>
              <w:jc w:val="right"/>
              <w:rPr>
                <w:sz w:val="16"/>
              </w:rPr>
            </w:pPr>
            <w:r w:rsidRPr="006D5F74">
              <w:rPr>
                <w:sz w:val="16"/>
              </w:rPr>
              <w:t>249,761</w:t>
            </w:r>
          </w:p>
        </w:tc>
        <w:tc>
          <w:tcPr>
            <w:tcW w:w="888" w:type="dxa"/>
            <w:vAlign w:val="center"/>
          </w:tcPr>
          <w:p w:rsidR="00385FBC" w:rsidRPr="006D5F74" w:rsidRDefault="00385FBC" w:rsidP="00385FBC">
            <w:pPr>
              <w:jc w:val="right"/>
              <w:rPr>
                <w:sz w:val="16"/>
              </w:rPr>
            </w:pPr>
            <w:r w:rsidRPr="006D5F74">
              <w:rPr>
                <w:sz w:val="16"/>
              </w:rPr>
              <w:t>63,335</w:t>
            </w:r>
          </w:p>
        </w:tc>
        <w:tc>
          <w:tcPr>
            <w:tcW w:w="977" w:type="dxa"/>
            <w:vAlign w:val="center"/>
          </w:tcPr>
          <w:p w:rsidR="00385FBC" w:rsidRPr="006D5F74" w:rsidRDefault="00385FBC" w:rsidP="00385FBC">
            <w:pPr>
              <w:jc w:val="right"/>
              <w:rPr>
                <w:sz w:val="16"/>
              </w:rPr>
            </w:pPr>
            <w:r w:rsidRPr="006D5F74">
              <w:rPr>
                <w:sz w:val="16"/>
              </w:rPr>
              <w:t>772,558</w:t>
            </w:r>
          </w:p>
        </w:tc>
        <w:tc>
          <w:tcPr>
            <w:tcW w:w="1066" w:type="dxa"/>
            <w:vAlign w:val="center"/>
          </w:tcPr>
          <w:p w:rsidR="00385FBC" w:rsidRPr="006D5F74" w:rsidRDefault="00385FBC" w:rsidP="00385FBC">
            <w:pPr>
              <w:jc w:val="right"/>
              <w:rPr>
                <w:sz w:val="16"/>
              </w:rPr>
            </w:pPr>
            <w:r w:rsidRPr="006D5F74">
              <w:rPr>
                <w:sz w:val="16"/>
              </w:rPr>
              <w:t>592,503</w:t>
            </w:r>
          </w:p>
        </w:tc>
        <w:tc>
          <w:tcPr>
            <w:tcW w:w="929" w:type="dxa"/>
            <w:vAlign w:val="center"/>
          </w:tcPr>
          <w:p w:rsidR="00385FBC" w:rsidRPr="006D5F74" w:rsidRDefault="00385FBC" w:rsidP="00385FBC">
            <w:pPr>
              <w:jc w:val="right"/>
              <w:rPr>
                <w:sz w:val="16"/>
              </w:rPr>
            </w:pPr>
            <w:r w:rsidRPr="006D5F74">
              <w:rPr>
                <w:sz w:val="16"/>
              </w:rPr>
              <w:t>834,454</w:t>
            </w:r>
          </w:p>
        </w:tc>
        <w:tc>
          <w:tcPr>
            <w:tcW w:w="910" w:type="dxa"/>
            <w:vAlign w:val="center"/>
          </w:tcPr>
          <w:p w:rsidR="00385FBC" w:rsidRPr="006D5F74" w:rsidRDefault="00385FBC" w:rsidP="00385FBC">
            <w:pPr>
              <w:jc w:val="right"/>
              <w:rPr>
                <w:sz w:val="16"/>
              </w:rPr>
            </w:pPr>
            <w:r w:rsidRPr="006D5F74">
              <w:rPr>
                <w:sz w:val="16"/>
              </w:rPr>
              <w:t>45,988</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2002</w:t>
            </w:r>
          </w:p>
        </w:tc>
        <w:tc>
          <w:tcPr>
            <w:tcW w:w="810" w:type="dxa"/>
            <w:vAlign w:val="center"/>
          </w:tcPr>
          <w:p w:rsidR="00385FBC" w:rsidRPr="006D5F74" w:rsidRDefault="00385FBC" w:rsidP="00385FBC">
            <w:pPr>
              <w:jc w:val="right"/>
              <w:rPr>
                <w:b/>
                <w:bCs/>
                <w:sz w:val="16"/>
              </w:rPr>
            </w:pPr>
            <w:r w:rsidRPr="006D5F74">
              <w:rPr>
                <w:b/>
                <w:bCs/>
                <w:sz w:val="16"/>
              </w:rPr>
              <w:t>2,699,897</w:t>
            </w:r>
          </w:p>
        </w:tc>
        <w:tc>
          <w:tcPr>
            <w:tcW w:w="888" w:type="dxa"/>
            <w:vAlign w:val="center"/>
          </w:tcPr>
          <w:p w:rsidR="00385FBC" w:rsidRPr="006D5F74" w:rsidRDefault="00385FBC" w:rsidP="00385FBC">
            <w:pPr>
              <w:jc w:val="right"/>
              <w:rPr>
                <w:sz w:val="16"/>
              </w:rPr>
            </w:pPr>
            <w:r w:rsidRPr="006D5F74">
              <w:rPr>
                <w:sz w:val="16"/>
              </w:rPr>
              <w:t>317,577</w:t>
            </w:r>
          </w:p>
        </w:tc>
        <w:tc>
          <w:tcPr>
            <w:tcW w:w="912" w:type="dxa"/>
            <w:vAlign w:val="center"/>
          </w:tcPr>
          <w:p w:rsidR="00385FBC" w:rsidRPr="006D5F74" w:rsidRDefault="00385FBC" w:rsidP="00385FBC">
            <w:pPr>
              <w:jc w:val="right"/>
              <w:rPr>
                <w:sz w:val="16"/>
              </w:rPr>
            </w:pPr>
            <w:r w:rsidRPr="006D5F74">
              <w:rPr>
                <w:sz w:val="16"/>
              </w:rPr>
              <w:t>416,679</w:t>
            </w:r>
          </w:p>
        </w:tc>
        <w:tc>
          <w:tcPr>
            <w:tcW w:w="888" w:type="dxa"/>
            <w:vAlign w:val="center"/>
          </w:tcPr>
          <w:p w:rsidR="00385FBC" w:rsidRPr="006D5F74" w:rsidRDefault="00385FBC" w:rsidP="00385FBC">
            <w:pPr>
              <w:jc w:val="right"/>
              <w:rPr>
                <w:sz w:val="16"/>
              </w:rPr>
            </w:pPr>
            <w:r w:rsidRPr="006D5F74">
              <w:rPr>
                <w:sz w:val="16"/>
              </w:rPr>
              <w:t>79,453</w:t>
            </w:r>
          </w:p>
        </w:tc>
        <w:tc>
          <w:tcPr>
            <w:tcW w:w="977" w:type="dxa"/>
            <w:vAlign w:val="center"/>
          </w:tcPr>
          <w:p w:rsidR="00385FBC" w:rsidRPr="006D5F74" w:rsidRDefault="00385FBC" w:rsidP="00385FBC">
            <w:pPr>
              <w:jc w:val="right"/>
              <w:rPr>
                <w:sz w:val="16"/>
              </w:rPr>
            </w:pPr>
            <w:r w:rsidRPr="006D5F74">
              <w:rPr>
                <w:sz w:val="16"/>
              </w:rPr>
              <w:t>576,066</w:t>
            </w:r>
          </w:p>
        </w:tc>
        <w:tc>
          <w:tcPr>
            <w:tcW w:w="1066" w:type="dxa"/>
            <w:vAlign w:val="center"/>
          </w:tcPr>
          <w:p w:rsidR="00385FBC" w:rsidRPr="006D5F74" w:rsidRDefault="00385FBC" w:rsidP="00385FBC">
            <w:pPr>
              <w:jc w:val="right"/>
              <w:rPr>
                <w:sz w:val="16"/>
              </w:rPr>
            </w:pPr>
            <w:r w:rsidRPr="006D5F74">
              <w:rPr>
                <w:sz w:val="16"/>
              </w:rPr>
              <w:t>408,868</w:t>
            </w:r>
          </w:p>
        </w:tc>
        <w:tc>
          <w:tcPr>
            <w:tcW w:w="929" w:type="dxa"/>
            <w:vAlign w:val="center"/>
          </w:tcPr>
          <w:p w:rsidR="00385FBC" w:rsidRPr="006D5F74" w:rsidRDefault="00385FBC" w:rsidP="00385FBC">
            <w:pPr>
              <w:jc w:val="right"/>
              <w:rPr>
                <w:sz w:val="16"/>
              </w:rPr>
            </w:pPr>
            <w:r w:rsidRPr="006D5F74">
              <w:rPr>
                <w:sz w:val="16"/>
              </w:rPr>
              <w:t>901,254</w:t>
            </w:r>
          </w:p>
        </w:tc>
        <w:tc>
          <w:tcPr>
            <w:tcW w:w="910" w:type="dxa"/>
            <w:vAlign w:val="center"/>
          </w:tcPr>
          <w:p w:rsidR="00385FBC" w:rsidRPr="006D5F74" w:rsidRDefault="00385FBC" w:rsidP="00385FBC">
            <w:pPr>
              <w:jc w:val="right"/>
              <w:rPr>
                <w:sz w:val="16"/>
              </w:rPr>
            </w:pPr>
            <w:r w:rsidRPr="006D5F74">
              <w:rPr>
                <w:sz w:val="16"/>
              </w:rPr>
              <w:t>56,864</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2003</w:t>
            </w:r>
          </w:p>
        </w:tc>
        <w:tc>
          <w:tcPr>
            <w:tcW w:w="810" w:type="dxa"/>
            <w:vAlign w:val="center"/>
          </w:tcPr>
          <w:p w:rsidR="00385FBC" w:rsidRPr="006D5F74" w:rsidRDefault="00385FBC" w:rsidP="00385FBC">
            <w:pPr>
              <w:jc w:val="right"/>
              <w:rPr>
                <w:b/>
                <w:bCs/>
                <w:sz w:val="16"/>
              </w:rPr>
            </w:pPr>
            <w:r w:rsidRPr="006D5F74">
              <w:rPr>
                <w:b/>
                <w:bCs/>
                <w:sz w:val="16"/>
              </w:rPr>
              <w:t>2,846,031</w:t>
            </w:r>
          </w:p>
        </w:tc>
        <w:tc>
          <w:tcPr>
            <w:tcW w:w="888" w:type="dxa"/>
            <w:vAlign w:val="center"/>
          </w:tcPr>
          <w:p w:rsidR="00385FBC" w:rsidRPr="006D5F74" w:rsidRDefault="00385FBC" w:rsidP="00385FBC">
            <w:pPr>
              <w:jc w:val="right"/>
              <w:rPr>
                <w:sz w:val="16"/>
              </w:rPr>
            </w:pPr>
            <w:r w:rsidRPr="006D5F74">
              <w:rPr>
                <w:sz w:val="16"/>
              </w:rPr>
              <w:t>109,725</w:t>
            </w:r>
          </w:p>
        </w:tc>
        <w:tc>
          <w:tcPr>
            <w:tcW w:w="912" w:type="dxa"/>
            <w:vAlign w:val="center"/>
          </w:tcPr>
          <w:p w:rsidR="00385FBC" w:rsidRPr="006D5F74" w:rsidRDefault="00385FBC" w:rsidP="00385FBC">
            <w:pPr>
              <w:jc w:val="right"/>
              <w:rPr>
                <w:sz w:val="16"/>
              </w:rPr>
            </w:pPr>
            <w:r w:rsidRPr="006D5F74">
              <w:rPr>
                <w:sz w:val="16"/>
              </w:rPr>
              <w:t>599,323</w:t>
            </w:r>
          </w:p>
        </w:tc>
        <w:tc>
          <w:tcPr>
            <w:tcW w:w="888" w:type="dxa"/>
            <w:vAlign w:val="center"/>
          </w:tcPr>
          <w:p w:rsidR="00385FBC" w:rsidRPr="006D5F74" w:rsidRDefault="00385FBC" w:rsidP="00385FBC">
            <w:pPr>
              <w:jc w:val="right"/>
              <w:rPr>
                <w:sz w:val="16"/>
              </w:rPr>
            </w:pPr>
            <w:r w:rsidRPr="006D5F74">
              <w:rPr>
                <w:sz w:val="16"/>
              </w:rPr>
              <w:t>98,793</w:t>
            </w:r>
          </w:p>
        </w:tc>
        <w:tc>
          <w:tcPr>
            <w:tcW w:w="977" w:type="dxa"/>
            <w:vAlign w:val="center"/>
          </w:tcPr>
          <w:p w:rsidR="00385FBC" w:rsidRPr="006D5F74" w:rsidRDefault="00385FBC" w:rsidP="00385FBC">
            <w:pPr>
              <w:jc w:val="right"/>
              <w:rPr>
                <w:sz w:val="16"/>
              </w:rPr>
            </w:pPr>
            <w:r w:rsidRPr="006D5F74">
              <w:rPr>
                <w:sz w:val="16"/>
              </w:rPr>
              <w:t>415,954</w:t>
            </w:r>
          </w:p>
        </w:tc>
        <w:tc>
          <w:tcPr>
            <w:tcW w:w="1066" w:type="dxa"/>
            <w:vAlign w:val="center"/>
          </w:tcPr>
          <w:p w:rsidR="00385FBC" w:rsidRPr="006D5F74" w:rsidRDefault="00385FBC" w:rsidP="00385FBC">
            <w:pPr>
              <w:jc w:val="right"/>
              <w:rPr>
                <w:sz w:val="16"/>
              </w:rPr>
            </w:pPr>
            <w:r w:rsidRPr="006D5F74">
              <w:rPr>
                <w:sz w:val="16"/>
              </w:rPr>
              <w:t>612,774</w:t>
            </w:r>
          </w:p>
        </w:tc>
        <w:tc>
          <w:tcPr>
            <w:tcW w:w="929" w:type="dxa"/>
            <w:vAlign w:val="center"/>
          </w:tcPr>
          <w:p w:rsidR="00385FBC" w:rsidRPr="006D5F74" w:rsidRDefault="00385FBC" w:rsidP="00385FBC">
            <w:pPr>
              <w:jc w:val="right"/>
              <w:rPr>
                <w:sz w:val="16"/>
              </w:rPr>
            </w:pPr>
            <w:r w:rsidRPr="006D5F74">
              <w:rPr>
                <w:sz w:val="16"/>
              </w:rPr>
              <w:t>1,009,462</w:t>
            </w:r>
          </w:p>
        </w:tc>
        <w:tc>
          <w:tcPr>
            <w:tcW w:w="910" w:type="dxa"/>
            <w:vAlign w:val="center"/>
          </w:tcPr>
          <w:p w:rsidR="00385FBC" w:rsidRPr="006D5F74" w:rsidRDefault="00385FBC" w:rsidP="00385FBC">
            <w:pPr>
              <w:jc w:val="right"/>
              <w:rPr>
                <w:sz w:val="16"/>
              </w:rPr>
            </w:pPr>
            <w:r w:rsidRPr="006D5F74">
              <w:rPr>
                <w:sz w:val="16"/>
              </w:rPr>
              <w:t>41,103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2004</w:t>
            </w:r>
          </w:p>
        </w:tc>
        <w:tc>
          <w:tcPr>
            <w:tcW w:w="810" w:type="dxa"/>
            <w:vAlign w:val="center"/>
          </w:tcPr>
          <w:p w:rsidR="00385FBC" w:rsidRPr="006D5F74" w:rsidRDefault="00385FBC" w:rsidP="00385FBC">
            <w:pPr>
              <w:jc w:val="right"/>
              <w:rPr>
                <w:b/>
                <w:bCs/>
                <w:sz w:val="16"/>
              </w:rPr>
            </w:pPr>
            <w:r w:rsidRPr="006D5F74">
              <w:rPr>
                <w:b/>
                <w:bCs/>
                <w:sz w:val="16"/>
              </w:rPr>
              <w:t>3,477,022</w:t>
            </w:r>
          </w:p>
        </w:tc>
        <w:tc>
          <w:tcPr>
            <w:tcW w:w="888" w:type="dxa"/>
            <w:vAlign w:val="center"/>
          </w:tcPr>
          <w:p w:rsidR="00385FBC" w:rsidRPr="006D5F74" w:rsidRDefault="00385FBC" w:rsidP="00385FBC">
            <w:pPr>
              <w:jc w:val="right"/>
              <w:rPr>
                <w:sz w:val="16"/>
              </w:rPr>
            </w:pPr>
            <w:r w:rsidRPr="006D5F74">
              <w:rPr>
                <w:sz w:val="16"/>
              </w:rPr>
              <w:t>133,196</w:t>
            </w:r>
          </w:p>
        </w:tc>
        <w:tc>
          <w:tcPr>
            <w:tcW w:w="912" w:type="dxa"/>
            <w:vAlign w:val="center"/>
          </w:tcPr>
          <w:p w:rsidR="00385FBC" w:rsidRPr="006D5F74" w:rsidRDefault="00385FBC" w:rsidP="00385FBC">
            <w:pPr>
              <w:jc w:val="right"/>
              <w:rPr>
                <w:sz w:val="16"/>
              </w:rPr>
            </w:pPr>
            <w:r w:rsidRPr="006D5F74">
              <w:rPr>
                <w:sz w:val="16"/>
              </w:rPr>
              <w:t>634,213</w:t>
            </w:r>
          </w:p>
        </w:tc>
        <w:tc>
          <w:tcPr>
            <w:tcW w:w="888" w:type="dxa"/>
            <w:vAlign w:val="center"/>
          </w:tcPr>
          <w:p w:rsidR="00385FBC" w:rsidRPr="006D5F74" w:rsidRDefault="00385FBC" w:rsidP="00385FBC">
            <w:pPr>
              <w:jc w:val="right"/>
              <w:rPr>
                <w:sz w:val="16"/>
              </w:rPr>
            </w:pPr>
            <w:r w:rsidRPr="006D5F74">
              <w:rPr>
                <w:sz w:val="16"/>
              </w:rPr>
              <w:t>33,887</w:t>
            </w:r>
          </w:p>
        </w:tc>
        <w:tc>
          <w:tcPr>
            <w:tcW w:w="977" w:type="dxa"/>
            <w:vAlign w:val="center"/>
          </w:tcPr>
          <w:p w:rsidR="00385FBC" w:rsidRPr="006D5F74" w:rsidRDefault="00385FBC" w:rsidP="00385FBC">
            <w:pPr>
              <w:jc w:val="right"/>
              <w:rPr>
                <w:sz w:val="16"/>
              </w:rPr>
            </w:pPr>
            <w:r w:rsidRPr="006D5F74">
              <w:rPr>
                <w:sz w:val="16"/>
              </w:rPr>
              <w:t>809,193</w:t>
            </w:r>
          </w:p>
        </w:tc>
        <w:tc>
          <w:tcPr>
            <w:tcW w:w="1066" w:type="dxa"/>
            <w:vAlign w:val="center"/>
          </w:tcPr>
          <w:p w:rsidR="00385FBC" w:rsidRPr="006D5F74" w:rsidRDefault="00385FBC" w:rsidP="00385FBC">
            <w:pPr>
              <w:jc w:val="right"/>
              <w:rPr>
                <w:sz w:val="16"/>
              </w:rPr>
            </w:pPr>
            <w:r w:rsidRPr="006D5F74">
              <w:rPr>
                <w:sz w:val="16"/>
              </w:rPr>
              <w:t>779,054</w:t>
            </w:r>
          </w:p>
        </w:tc>
        <w:tc>
          <w:tcPr>
            <w:tcW w:w="929" w:type="dxa"/>
            <w:vAlign w:val="center"/>
          </w:tcPr>
          <w:p w:rsidR="00385FBC" w:rsidRPr="006D5F74" w:rsidRDefault="00385FBC" w:rsidP="00385FBC">
            <w:pPr>
              <w:jc w:val="right"/>
              <w:rPr>
                <w:sz w:val="16"/>
              </w:rPr>
            </w:pPr>
            <w:r w:rsidRPr="006D5F74">
              <w:rPr>
                <w:sz w:val="16"/>
              </w:rPr>
              <w:t>1,087,479</w:t>
            </w:r>
          </w:p>
        </w:tc>
        <w:tc>
          <w:tcPr>
            <w:tcW w:w="910" w:type="dxa"/>
            <w:vAlign w:val="center"/>
          </w:tcPr>
          <w:p w:rsidR="00385FBC" w:rsidRPr="006D5F74" w:rsidRDefault="00385FBC" w:rsidP="00385FBC">
            <w:pPr>
              <w:jc w:val="right"/>
              <w:rPr>
                <w:sz w:val="16"/>
              </w:rPr>
            </w:pPr>
            <w:r w:rsidRPr="006D5F74">
              <w:rPr>
                <w:sz w:val="16"/>
              </w:rPr>
              <w:t>49,161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2005</w:t>
            </w:r>
          </w:p>
        </w:tc>
        <w:tc>
          <w:tcPr>
            <w:tcW w:w="810" w:type="dxa"/>
            <w:vAlign w:val="center"/>
          </w:tcPr>
          <w:p w:rsidR="00385FBC" w:rsidRPr="006D5F74" w:rsidRDefault="00385FBC" w:rsidP="00385FBC">
            <w:pPr>
              <w:jc w:val="right"/>
              <w:rPr>
                <w:b/>
                <w:bCs/>
                <w:sz w:val="16"/>
              </w:rPr>
            </w:pPr>
            <w:r w:rsidRPr="006D5F74">
              <w:rPr>
                <w:b/>
                <w:bCs/>
                <w:sz w:val="16"/>
              </w:rPr>
              <w:t>3,758,747</w:t>
            </w:r>
          </w:p>
        </w:tc>
        <w:tc>
          <w:tcPr>
            <w:tcW w:w="888" w:type="dxa"/>
            <w:vAlign w:val="center"/>
          </w:tcPr>
          <w:p w:rsidR="00385FBC" w:rsidRPr="006D5F74" w:rsidRDefault="00385FBC" w:rsidP="00385FBC">
            <w:pPr>
              <w:jc w:val="right"/>
              <w:rPr>
                <w:sz w:val="16"/>
              </w:rPr>
            </w:pPr>
            <w:r w:rsidRPr="006D5F74">
              <w:rPr>
                <w:sz w:val="16"/>
              </w:rPr>
              <w:t>331,195</w:t>
            </w:r>
          </w:p>
        </w:tc>
        <w:tc>
          <w:tcPr>
            <w:tcW w:w="912" w:type="dxa"/>
            <w:vAlign w:val="center"/>
          </w:tcPr>
          <w:p w:rsidR="00385FBC" w:rsidRPr="006D5F74" w:rsidRDefault="00385FBC" w:rsidP="00385FBC">
            <w:pPr>
              <w:jc w:val="right"/>
              <w:rPr>
                <w:sz w:val="16"/>
              </w:rPr>
            </w:pPr>
            <w:r w:rsidRPr="006D5F74">
              <w:rPr>
                <w:sz w:val="16"/>
              </w:rPr>
              <w:t>579,376</w:t>
            </w:r>
          </w:p>
        </w:tc>
        <w:tc>
          <w:tcPr>
            <w:tcW w:w="888" w:type="dxa"/>
            <w:vAlign w:val="center"/>
          </w:tcPr>
          <w:p w:rsidR="00385FBC" w:rsidRPr="006D5F74" w:rsidRDefault="00385FBC" w:rsidP="00385FBC">
            <w:pPr>
              <w:jc w:val="right"/>
              <w:rPr>
                <w:sz w:val="16"/>
              </w:rPr>
            </w:pPr>
            <w:r w:rsidRPr="006D5F74">
              <w:rPr>
                <w:sz w:val="16"/>
              </w:rPr>
              <w:t>120,850</w:t>
            </w:r>
          </w:p>
        </w:tc>
        <w:tc>
          <w:tcPr>
            <w:tcW w:w="977" w:type="dxa"/>
            <w:vAlign w:val="center"/>
          </w:tcPr>
          <w:p w:rsidR="00385FBC" w:rsidRPr="006D5F74" w:rsidRDefault="00385FBC" w:rsidP="00385FBC">
            <w:pPr>
              <w:jc w:val="right"/>
              <w:rPr>
                <w:sz w:val="16"/>
              </w:rPr>
            </w:pPr>
            <w:r w:rsidRPr="006D5F74">
              <w:rPr>
                <w:sz w:val="16"/>
              </w:rPr>
              <w:t>925,933</w:t>
            </w:r>
          </w:p>
        </w:tc>
        <w:tc>
          <w:tcPr>
            <w:tcW w:w="1066" w:type="dxa"/>
            <w:vAlign w:val="center"/>
          </w:tcPr>
          <w:p w:rsidR="00385FBC" w:rsidRPr="006D5F74" w:rsidRDefault="00385FBC" w:rsidP="00385FBC">
            <w:pPr>
              <w:jc w:val="right"/>
              <w:rPr>
                <w:sz w:val="16"/>
              </w:rPr>
            </w:pPr>
            <w:r w:rsidRPr="006D5F74">
              <w:rPr>
                <w:sz w:val="16"/>
              </w:rPr>
              <w:t>873,123</w:t>
            </w:r>
          </w:p>
        </w:tc>
        <w:tc>
          <w:tcPr>
            <w:tcW w:w="929" w:type="dxa"/>
            <w:vAlign w:val="center"/>
          </w:tcPr>
          <w:p w:rsidR="00385FBC" w:rsidRPr="006D5F74" w:rsidRDefault="00385FBC" w:rsidP="00385FBC">
            <w:pPr>
              <w:jc w:val="right"/>
              <w:rPr>
                <w:sz w:val="16"/>
              </w:rPr>
            </w:pPr>
            <w:r w:rsidRPr="006D5F74">
              <w:rPr>
                <w:sz w:val="16"/>
              </w:rPr>
              <w:t>928,270</w:t>
            </w:r>
          </w:p>
        </w:tc>
        <w:tc>
          <w:tcPr>
            <w:tcW w:w="910" w:type="dxa"/>
            <w:vAlign w:val="center"/>
          </w:tcPr>
          <w:p w:rsidR="00385FBC" w:rsidRPr="006D5F74" w:rsidRDefault="00385FBC" w:rsidP="00385FBC">
            <w:pPr>
              <w:jc w:val="right"/>
              <w:rPr>
                <w:sz w:val="16"/>
              </w:rPr>
            </w:pPr>
            <w:r w:rsidRPr="006D5F74">
              <w:rPr>
                <w:sz w:val="16"/>
              </w:rPr>
              <w:t>53,350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2006</w:t>
            </w:r>
          </w:p>
        </w:tc>
        <w:tc>
          <w:tcPr>
            <w:tcW w:w="810" w:type="dxa"/>
            <w:vAlign w:val="center"/>
          </w:tcPr>
          <w:p w:rsidR="00385FBC" w:rsidRPr="006D5F74" w:rsidRDefault="00385FBC" w:rsidP="00385FBC">
            <w:pPr>
              <w:jc w:val="right"/>
              <w:rPr>
                <w:b/>
                <w:bCs/>
                <w:sz w:val="16"/>
              </w:rPr>
            </w:pPr>
            <w:r w:rsidRPr="006D5F74">
              <w:rPr>
                <w:b/>
                <w:bCs/>
                <w:sz w:val="16"/>
              </w:rPr>
              <w:t>4,183,214</w:t>
            </w:r>
          </w:p>
        </w:tc>
        <w:tc>
          <w:tcPr>
            <w:tcW w:w="888" w:type="dxa"/>
            <w:vAlign w:val="center"/>
          </w:tcPr>
          <w:p w:rsidR="00385FBC" w:rsidRPr="006D5F74" w:rsidRDefault="00385FBC" w:rsidP="00385FBC">
            <w:pPr>
              <w:jc w:val="right"/>
              <w:rPr>
                <w:sz w:val="16"/>
              </w:rPr>
            </w:pPr>
            <w:r w:rsidRPr="006D5F74">
              <w:rPr>
                <w:sz w:val="16"/>
              </w:rPr>
              <w:t>516,583</w:t>
            </w:r>
          </w:p>
        </w:tc>
        <w:tc>
          <w:tcPr>
            <w:tcW w:w="912" w:type="dxa"/>
            <w:vAlign w:val="center"/>
          </w:tcPr>
          <w:p w:rsidR="00385FBC" w:rsidRPr="006D5F74" w:rsidRDefault="00385FBC" w:rsidP="00385FBC">
            <w:pPr>
              <w:jc w:val="right"/>
              <w:rPr>
                <w:sz w:val="16"/>
              </w:rPr>
            </w:pPr>
            <w:r w:rsidRPr="006D5F74">
              <w:rPr>
                <w:sz w:val="16"/>
              </w:rPr>
              <w:t>553,147</w:t>
            </w:r>
          </w:p>
        </w:tc>
        <w:tc>
          <w:tcPr>
            <w:tcW w:w="888" w:type="dxa"/>
            <w:vAlign w:val="center"/>
          </w:tcPr>
          <w:p w:rsidR="00385FBC" w:rsidRPr="006D5F74" w:rsidRDefault="00385FBC" w:rsidP="00385FBC">
            <w:pPr>
              <w:jc w:val="right"/>
              <w:rPr>
                <w:sz w:val="16"/>
              </w:rPr>
            </w:pPr>
            <w:r w:rsidRPr="006D5F74">
              <w:rPr>
                <w:sz w:val="16"/>
              </w:rPr>
              <w:t>109,160</w:t>
            </w:r>
          </w:p>
        </w:tc>
        <w:tc>
          <w:tcPr>
            <w:tcW w:w="977" w:type="dxa"/>
            <w:vAlign w:val="center"/>
          </w:tcPr>
          <w:p w:rsidR="00385FBC" w:rsidRPr="006D5F74" w:rsidRDefault="00385FBC" w:rsidP="00385FBC">
            <w:pPr>
              <w:jc w:val="right"/>
              <w:rPr>
                <w:sz w:val="16"/>
              </w:rPr>
            </w:pPr>
            <w:r w:rsidRPr="006D5F74">
              <w:rPr>
                <w:sz w:val="16"/>
              </w:rPr>
              <w:t>1,009,336</w:t>
            </w:r>
          </w:p>
        </w:tc>
        <w:tc>
          <w:tcPr>
            <w:tcW w:w="1066" w:type="dxa"/>
            <w:vAlign w:val="center"/>
          </w:tcPr>
          <w:p w:rsidR="00385FBC" w:rsidRPr="006D5F74" w:rsidRDefault="00385FBC" w:rsidP="00385FBC">
            <w:pPr>
              <w:jc w:val="right"/>
              <w:rPr>
                <w:sz w:val="16"/>
              </w:rPr>
            </w:pPr>
            <w:r w:rsidRPr="006D5F74">
              <w:rPr>
                <w:sz w:val="16"/>
              </w:rPr>
              <w:t>947,448</w:t>
            </w:r>
          </w:p>
        </w:tc>
        <w:tc>
          <w:tcPr>
            <w:tcW w:w="929" w:type="dxa"/>
            <w:vAlign w:val="center"/>
          </w:tcPr>
          <w:p w:rsidR="00385FBC" w:rsidRPr="006D5F74" w:rsidRDefault="00385FBC" w:rsidP="00385FBC">
            <w:pPr>
              <w:jc w:val="right"/>
              <w:rPr>
                <w:sz w:val="16"/>
              </w:rPr>
            </w:pPr>
            <w:r w:rsidRPr="006D5F74">
              <w:rPr>
                <w:sz w:val="16"/>
              </w:rPr>
              <w:t>1,047,540</w:t>
            </w:r>
          </w:p>
        </w:tc>
        <w:tc>
          <w:tcPr>
            <w:tcW w:w="910" w:type="dxa"/>
            <w:vAlign w:val="center"/>
          </w:tcPr>
          <w:p w:rsidR="00385FBC" w:rsidRPr="006D5F74" w:rsidRDefault="00385FBC" w:rsidP="00385FBC">
            <w:pPr>
              <w:jc w:val="right"/>
              <w:rPr>
                <w:sz w:val="16"/>
              </w:rPr>
            </w:pPr>
            <w:r w:rsidRPr="006D5F74">
              <w:rPr>
                <w:sz w:val="16"/>
              </w:rPr>
              <w:t>58,730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2007</w:t>
            </w:r>
          </w:p>
        </w:tc>
        <w:tc>
          <w:tcPr>
            <w:tcW w:w="810" w:type="dxa"/>
            <w:vAlign w:val="center"/>
          </w:tcPr>
          <w:p w:rsidR="00385FBC" w:rsidRPr="006D5F74" w:rsidRDefault="00385FBC" w:rsidP="00385FBC">
            <w:pPr>
              <w:jc w:val="right"/>
              <w:rPr>
                <w:b/>
                <w:bCs/>
                <w:sz w:val="16"/>
              </w:rPr>
            </w:pPr>
            <w:r w:rsidRPr="006D5F74">
              <w:rPr>
                <w:b/>
                <w:bCs/>
                <w:sz w:val="16"/>
              </w:rPr>
              <w:t>4,619,733</w:t>
            </w:r>
          </w:p>
        </w:tc>
        <w:tc>
          <w:tcPr>
            <w:tcW w:w="888" w:type="dxa"/>
            <w:vAlign w:val="center"/>
          </w:tcPr>
          <w:p w:rsidR="00385FBC" w:rsidRPr="006D5F74" w:rsidRDefault="00385FBC" w:rsidP="00385FBC">
            <w:pPr>
              <w:jc w:val="right"/>
              <w:rPr>
                <w:sz w:val="16"/>
              </w:rPr>
            </w:pPr>
            <w:r w:rsidRPr="006D5F74">
              <w:rPr>
                <w:sz w:val="16"/>
              </w:rPr>
              <w:t>397,374</w:t>
            </w:r>
          </w:p>
        </w:tc>
        <w:tc>
          <w:tcPr>
            <w:tcW w:w="912" w:type="dxa"/>
            <w:vAlign w:val="center"/>
          </w:tcPr>
          <w:p w:rsidR="00385FBC" w:rsidRPr="006D5F74" w:rsidRDefault="00385FBC" w:rsidP="00385FBC">
            <w:pPr>
              <w:jc w:val="right"/>
              <w:rPr>
                <w:sz w:val="16"/>
              </w:rPr>
            </w:pPr>
            <w:r w:rsidRPr="006D5F74">
              <w:rPr>
                <w:sz w:val="16"/>
              </w:rPr>
              <w:t>826,518</w:t>
            </w:r>
          </w:p>
        </w:tc>
        <w:tc>
          <w:tcPr>
            <w:tcW w:w="888" w:type="dxa"/>
            <w:vAlign w:val="center"/>
          </w:tcPr>
          <w:p w:rsidR="00385FBC" w:rsidRPr="006D5F74" w:rsidRDefault="00385FBC" w:rsidP="00385FBC">
            <w:pPr>
              <w:jc w:val="right"/>
              <w:rPr>
                <w:sz w:val="16"/>
              </w:rPr>
            </w:pPr>
            <w:r w:rsidRPr="006D5F74">
              <w:rPr>
                <w:sz w:val="16"/>
              </w:rPr>
              <w:t>111,005</w:t>
            </w:r>
          </w:p>
        </w:tc>
        <w:tc>
          <w:tcPr>
            <w:tcW w:w="977" w:type="dxa"/>
            <w:vAlign w:val="center"/>
          </w:tcPr>
          <w:p w:rsidR="00385FBC" w:rsidRPr="006D5F74" w:rsidRDefault="00385FBC" w:rsidP="00385FBC">
            <w:pPr>
              <w:jc w:val="right"/>
              <w:rPr>
                <w:sz w:val="16"/>
              </w:rPr>
            </w:pPr>
            <w:r w:rsidRPr="006D5F74">
              <w:rPr>
                <w:sz w:val="16"/>
              </w:rPr>
              <w:t>1,120,525</w:t>
            </w:r>
          </w:p>
        </w:tc>
        <w:tc>
          <w:tcPr>
            <w:tcW w:w="1066" w:type="dxa"/>
            <w:vAlign w:val="center"/>
          </w:tcPr>
          <w:p w:rsidR="00385FBC" w:rsidRPr="006D5F74" w:rsidRDefault="00385FBC" w:rsidP="00385FBC">
            <w:pPr>
              <w:jc w:val="right"/>
              <w:rPr>
                <w:sz w:val="16"/>
              </w:rPr>
            </w:pPr>
            <w:r w:rsidRPr="006D5F74">
              <w:rPr>
                <w:sz w:val="16"/>
              </w:rPr>
              <w:t>998,166</w:t>
            </w:r>
          </w:p>
        </w:tc>
        <w:tc>
          <w:tcPr>
            <w:tcW w:w="929" w:type="dxa"/>
            <w:vAlign w:val="center"/>
          </w:tcPr>
          <w:p w:rsidR="00385FBC" w:rsidRPr="006D5F74" w:rsidRDefault="00385FBC" w:rsidP="00385FBC">
            <w:pPr>
              <w:jc w:val="right"/>
              <w:rPr>
                <w:sz w:val="16"/>
              </w:rPr>
            </w:pPr>
            <w:r w:rsidRPr="006D5F74">
              <w:rPr>
                <w:sz w:val="16"/>
              </w:rPr>
              <w:t>1,166,145</w:t>
            </w:r>
          </w:p>
        </w:tc>
        <w:tc>
          <w:tcPr>
            <w:tcW w:w="910" w:type="dxa"/>
            <w:vAlign w:val="center"/>
          </w:tcPr>
          <w:p w:rsidR="00385FBC" w:rsidRPr="006D5F74" w:rsidRDefault="00385FBC" w:rsidP="00385FBC">
            <w:pPr>
              <w:jc w:val="right"/>
              <w:rPr>
                <w:sz w:val="16"/>
              </w:rPr>
            </w:pPr>
            <w:r w:rsidRPr="006D5F74">
              <w:rPr>
                <w:sz w:val="16"/>
              </w:rPr>
              <w:t>66,196</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2008</w:t>
            </w:r>
          </w:p>
        </w:tc>
        <w:tc>
          <w:tcPr>
            <w:tcW w:w="810" w:type="dxa"/>
            <w:vAlign w:val="center"/>
          </w:tcPr>
          <w:p w:rsidR="00385FBC" w:rsidRPr="006D5F74" w:rsidRDefault="00385FBC" w:rsidP="00385FBC">
            <w:pPr>
              <w:jc w:val="right"/>
              <w:rPr>
                <w:b/>
                <w:bCs/>
                <w:sz w:val="16"/>
              </w:rPr>
            </w:pPr>
            <w:r w:rsidRPr="006D5F74">
              <w:rPr>
                <w:b/>
                <w:bCs/>
                <w:sz w:val="16"/>
              </w:rPr>
              <w:t>5,847,147</w:t>
            </w:r>
          </w:p>
        </w:tc>
        <w:tc>
          <w:tcPr>
            <w:tcW w:w="888" w:type="dxa"/>
            <w:vAlign w:val="center"/>
          </w:tcPr>
          <w:p w:rsidR="00385FBC" w:rsidRPr="006D5F74" w:rsidRDefault="00385FBC" w:rsidP="00385FBC">
            <w:pPr>
              <w:jc w:val="right"/>
              <w:rPr>
                <w:sz w:val="16"/>
              </w:rPr>
            </w:pPr>
            <w:r w:rsidRPr="006D5F74">
              <w:rPr>
                <w:sz w:val="16"/>
              </w:rPr>
              <w:t>1,056,761</w:t>
            </w:r>
          </w:p>
        </w:tc>
        <w:tc>
          <w:tcPr>
            <w:tcW w:w="912" w:type="dxa"/>
            <w:vAlign w:val="center"/>
          </w:tcPr>
          <w:p w:rsidR="00385FBC" w:rsidRPr="006D5F74" w:rsidRDefault="00385FBC" w:rsidP="00385FBC">
            <w:pPr>
              <w:jc w:val="right"/>
              <w:rPr>
                <w:sz w:val="16"/>
              </w:rPr>
            </w:pPr>
            <w:r w:rsidRPr="006D5F74">
              <w:rPr>
                <w:sz w:val="16"/>
              </w:rPr>
              <w:t>659,942</w:t>
            </w:r>
          </w:p>
        </w:tc>
        <w:tc>
          <w:tcPr>
            <w:tcW w:w="888" w:type="dxa"/>
            <w:vAlign w:val="center"/>
          </w:tcPr>
          <w:p w:rsidR="00385FBC" w:rsidRPr="006D5F74" w:rsidRDefault="00385FBC" w:rsidP="00385FBC">
            <w:pPr>
              <w:jc w:val="right"/>
              <w:rPr>
                <w:sz w:val="16"/>
              </w:rPr>
            </w:pPr>
            <w:r w:rsidRPr="006D5F74">
              <w:rPr>
                <w:sz w:val="16"/>
              </w:rPr>
              <w:t>178,467</w:t>
            </w:r>
          </w:p>
        </w:tc>
        <w:tc>
          <w:tcPr>
            <w:tcW w:w="977" w:type="dxa"/>
            <w:vAlign w:val="center"/>
          </w:tcPr>
          <w:p w:rsidR="00385FBC" w:rsidRPr="006D5F74" w:rsidRDefault="00385FBC" w:rsidP="00385FBC">
            <w:pPr>
              <w:jc w:val="right"/>
              <w:rPr>
                <w:sz w:val="16"/>
              </w:rPr>
            </w:pPr>
            <w:r w:rsidRPr="006D5F74">
              <w:rPr>
                <w:sz w:val="16"/>
              </w:rPr>
              <w:t>1,506,404</w:t>
            </w:r>
          </w:p>
        </w:tc>
        <w:tc>
          <w:tcPr>
            <w:tcW w:w="1066" w:type="dxa"/>
            <w:vAlign w:val="center"/>
          </w:tcPr>
          <w:p w:rsidR="00385FBC" w:rsidRPr="006D5F74" w:rsidRDefault="00385FBC" w:rsidP="00385FBC">
            <w:pPr>
              <w:jc w:val="right"/>
              <w:rPr>
                <w:sz w:val="16"/>
              </w:rPr>
            </w:pPr>
            <w:r w:rsidRPr="006D5F74">
              <w:rPr>
                <w:sz w:val="16"/>
              </w:rPr>
              <w:t>1,216,912</w:t>
            </w:r>
          </w:p>
        </w:tc>
        <w:tc>
          <w:tcPr>
            <w:tcW w:w="929" w:type="dxa"/>
            <w:vAlign w:val="center"/>
          </w:tcPr>
          <w:p w:rsidR="00385FBC" w:rsidRPr="006D5F74" w:rsidRDefault="00385FBC" w:rsidP="00385FBC">
            <w:pPr>
              <w:jc w:val="right"/>
              <w:rPr>
                <w:sz w:val="16"/>
              </w:rPr>
            </w:pPr>
            <w:r w:rsidRPr="006D5F74">
              <w:rPr>
                <w:sz w:val="16"/>
              </w:rPr>
              <w:t>1,228,661</w:t>
            </w:r>
          </w:p>
        </w:tc>
        <w:tc>
          <w:tcPr>
            <w:tcW w:w="910" w:type="dxa"/>
            <w:vAlign w:val="center"/>
          </w:tcPr>
          <w:p w:rsidR="00385FBC" w:rsidRPr="006D5F74" w:rsidRDefault="00385FBC" w:rsidP="00385FBC">
            <w:pPr>
              <w:jc w:val="right"/>
              <w:rPr>
                <w:sz w:val="16"/>
              </w:rPr>
            </w:pPr>
            <w:r w:rsidRPr="006D5F74">
              <w:rPr>
                <w:sz w:val="16"/>
              </w:rPr>
              <w:t>74,413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2009</w:t>
            </w:r>
          </w:p>
        </w:tc>
        <w:tc>
          <w:tcPr>
            <w:tcW w:w="810" w:type="dxa"/>
            <w:vAlign w:val="center"/>
          </w:tcPr>
          <w:p w:rsidR="00385FBC" w:rsidRPr="006D5F74" w:rsidRDefault="00385FBC" w:rsidP="00385FBC">
            <w:pPr>
              <w:jc w:val="right"/>
              <w:rPr>
                <w:b/>
                <w:sz w:val="16"/>
              </w:rPr>
            </w:pPr>
            <w:r w:rsidRPr="006D5F74">
              <w:rPr>
                <w:b/>
                <w:sz w:val="16"/>
              </w:rPr>
              <w:t>7</w:t>
            </w:r>
            <w:r w:rsidRPr="006D5F74">
              <w:rPr>
                <w:b/>
                <w:bCs/>
                <w:sz w:val="16"/>
              </w:rPr>
              <w:t>,180,590</w:t>
            </w:r>
          </w:p>
        </w:tc>
        <w:tc>
          <w:tcPr>
            <w:tcW w:w="888" w:type="dxa"/>
            <w:vAlign w:val="center"/>
          </w:tcPr>
          <w:p w:rsidR="00385FBC" w:rsidRPr="006D5F74" w:rsidRDefault="00385FBC" w:rsidP="00385FBC">
            <w:pPr>
              <w:jc w:val="right"/>
              <w:rPr>
                <w:sz w:val="16"/>
              </w:rPr>
            </w:pPr>
            <w:r w:rsidRPr="006D5F74">
              <w:rPr>
                <w:sz w:val="16"/>
              </w:rPr>
              <w:t>1,145,220</w:t>
            </w:r>
          </w:p>
        </w:tc>
        <w:tc>
          <w:tcPr>
            <w:tcW w:w="912" w:type="dxa"/>
            <w:vAlign w:val="center"/>
          </w:tcPr>
          <w:p w:rsidR="00385FBC" w:rsidRPr="006D5F74" w:rsidRDefault="00385FBC" w:rsidP="00385FBC">
            <w:pPr>
              <w:jc w:val="right"/>
              <w:rPr>
                <w:sz w:val="16"/>
              </w:rPr>
            </w:pPr>
            <w:r w:rsidRPr="006D5F74">
              <w:rPr>
                <w:sz w:val="16"/>
              </w:rPr>
              <w:t>911,741</w:t>
            </w:r>
          </w:p>
        </w:tc>
        <w:tc>
          <w:tcPr>
            <w:tcW w:w="888" w:type="dxa"/>
            <w:vAlign w:val="center"/>
          </w:tcPr>
          <w:p w:rsidR="00385FBC" w:rsidRPr="006D5F74" w:rsidRDefault="00385FBC" w:rsidP="00385FBC">
            <w:pPr>
              <w:jc w:val="right"/>
              <w:rPr>
                <w:sz w:val="16"/>
              </w:rPr>
            </w:pPr>
            <w:r w:rsidRPr="006D5F74">
              <w:rPr>
                <w:sz w:val="16"/>
              </w:rPr>
              <w:t>182,458</w:t>
            </w:r>
          </w:p>
        </w:tc>
        <w:tc>
          <w:tcPr>
            <w:tcW w:w="977" w:type="dxa"/>
            <w:vAlign w:val="center"/>
          </w:tcPr>
          <w:p w:rsidR="00385FBC" w:rsidRPr="006D5F74" w:rsidRDefault="00385FBC" w:rsidP="00385FBC">
            <w:pPr>
              <w:jc w:val="right"/>
              <w:rPr>
                <w:sz w:val="16"/>
              </w:rPr>
            </w:pPr>
            <w:r w:rsidRPr="006D5F74">
              <w:rPr>
                <w:sz w:val="16"/>
              </w:rPr>
              <w:t>1,921,684</w:t>
            </w:r>
          </w:p>
        </w:tc>
        <w:tc>
          <w:tcPr>
            <w:tcW w:w="1066" w:type="dxa"/>
            <w:vAlign w:val="center"/>
          </w:tcPr>
          <w:p w:rsidR="00385FBC" w:rsidRPr="006D5F74" w:rsidRDefault="00385FBC" w:rsidP="00385FBC">
            <w:pPr>
              <w:jc w:val="right"/>
              <w:rPr>
                <w:sz w:val="16"/>
              </w:rPr>
            </w:pPr>
            <w:r w:rsidRPr="006D5F74">
              <w:rPr>
                <w:sz w:val="16"/>
              </w:rPr>
              <w:t>1,506,006</w:t>
            </w:r>
          </w:p>
        </w:tc>
        <w:tc>
          <w:tcPr>
            <w:tcW w:w="929" w:type="dxa"/>
            <w:vAlign w:val="center"/>
          </w:tcPr>
          <w:p w:rsidR="00385FBC" w:rsidRPr="006D5F74" w:rsidRDefault="00385FBC" w:rsidP="00385FBC">
            <w:pPr>
              <w:jc w:val="right"/>
              <w:rPr>
                <w:sz w:val="16"/>
              </w:rPr>
            </w:pPr>
            <w:r w:rsidRPr="006D5F74">
              <w:rPr>
                <w:sz w:val="16"/>
              </w:rPr>
              <w:t>1,513,481</w:t>
            </w:r>
          </w:p>
        </w:tc>
        <w:tc>
          <w:tcPr>
            <w:tcW w:w="910" w:type="dxa"/>
            <w:vAlign w:val="center"/>
          </w:tcPr>
          <w:p w:rsidR="00385FBC" w:rsidRPr="006D5F74" w:rsidRDefault="00385FBC" w:rsidP="00385FBC">
            <w:pPr>
              <w:jc w:val="right"/>
              <w:rPr>
                <w:sz w:val="16"/>
              </w:rPr>
            </w:pPr>
            <w:r w:rsidRPr="006D5F74">
              <w:rPr>
                <w:sz w:val="16"/>
              </w:rPr>
              <w:t>131,623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r w:rsidRPr="006D5F74">
              <w:rPr>
                <w:sz w:val="16"/>
                <w:szCs w:val="16"/>
              </w:rPr>
              <w:t>2010</w:t>
            </w:r>
          </w:p>
        </w:tc>
        <w:tc>
          <w:tcPr>
            <w:tcW w:w="810" w:type="dxa"/>
            <w:vAlign w:val="center"/>
          </w:tcPr>
          <w:p w:rsidR="00385FBC" w:rsidRPr="006D5F74" w:rsidRDefault="00385FBC" w:rsidP="00385FBC">
            <w:pPr>
              <w:jc w:val="right"/>
              <w:rPr>
                <w:b/>
                <w:bCs/>
                <w:sz w:val="16"/>
                <w:szCs w:val="16"/>
              </w:rPr>
            </w:pPr>
            <w:r w:rsidRPr="006D5F74">
              <w:rPr>
                <w:b/>
                <w:bCs/>
                <w:sz w:val="16"/>
                <w:szCs w:val="16"/>
              </w:rPr>
              <w:t>8,691,615</w:t>
            </w:r>
          </w:p>
        </w:tc>
        <w:tc>
          <w:tcPr>
            <w:tcW w:w="888" w:type="dxa"/>
            <w:vAlign w:val="center"/>
          </w:tcPr>
          <w:p w:rsidR="00385FBC" w:rsidRPr="006D5F74" w:rsidRDefault="00385FBC" w:rsidP="00385FBC">
            <w:pPr>
              <w:jc w:val="right"/>
              <w:rPr>
                <w:sz w:val="16"/>
                <w:szCs w:val="16"/>
              </w:rPr>
            </w:pPr>
            <w:r w:rsidRPr="006D5F74">
              <w:rPr>
                <w:sz w:val="16"/>
                <w:szCs w:val="16"/>
              </w:rPr>
              <w:t>1,164,378</w:t>
            </w:r>
          </w:p>
        </w:tc>
        <w:tc>
          <w:tcPr>
            <w:tcW w:w="912" w:type="dxa"/>
            <w:vAlign w:val="center"/>
          </w:tcPr>
          <w:p w:rsidR="00385FBC" w:rsidRPr="006D5F74" w:rsidRDefault="00385FBC" w:rsidP="00385FBC">
            <w:pPr>
              <w:jc w:val="right"/>
              <w:rPr>
                <w:sz w:val="16"/>
                <w:szCs w:val="16"/>
              </w:rPr>
            </w:pPr>
            <w:r w:rsidRPr="006D5F74">
              <w:rPr>
                <w:sz w:val="16"/>
                <w:szCs w:val="16"/>
              </w:rPr>
              <w:t>1,476,283</w:t>
            </w:r>
          </w:p>
        </w:tc>
        <w:tc>
          <w:tcPr>
            <w:tcW w:w="888" w:type="dxa"/>
            <w:vAlign w:val="center"/>
          </w:tcPr>
          <w:p w:rsidR="00385FBC" w:rsidRPr="006D5F74" w:rsidRDefault="00385FBC" w:rsidP="00385FBC">
            <w:pPr>
              <w:jc w:val="right"/>
              <w:rPr>
                <w:sz w:val="16"/>
                <w:szCs w:val="16"/>
              </w:rPr>
            </w:pPr>
            <w:r w:rsidRPr="006D5F74">
              <w:rPr>
                <w:sz w:val="16"/>
                <w:szCs w:val="16"/>
              </w:rPr>
              <w:t>253,463</w:t>
            </w:r>
          </w:p>
        </w:tc>
        <w:tc>
          <w:tcPr>
            <w:tcW w:w="977" w:type="dxa"/>
            <w:vAlign w:val="center"/>
          </w:tcPr>
          <w:p w:rsidR="00385FBC" w:rsidRPr="006D5F74" w:rsidRDefault="00385FBC" w:rsidP="00385FBC">
            <w:pPr>
              <w:jc w:val="right"/>
              <w:rPr>
                <w:sz w:val="16"/>
                <w:szCs w:val="16"/>
              </w:rPr>
            </w:pPr>
            <w:r w:rsidRPr="006D5F74">
              <w:rPr>
                <w:sz w:val="16"/>
                <w:szCs w:val="16"/>
              </w:rPr>
              <w:t>2,182,905</w:t>
            </w:r>
          </w:p>
        </w:tc>
        <w:tc>
          <w:tcPr>
            <w:tcW w:w="1066" w:type="dxa"/>
            <w:vAlign w:val="center"/>
          </w:tcPr>
          <w:p w:rsidR="00385FBC" w:rsidRPr="006D5F74" w:rsidRDefault="00385FBC" w:rsidP="00385FBC">
            <w:pPr>
              <w:jc w:val="right"/>
              <w:rPr>
                <w:sz w:val="16"/>
                <w:szCs w:val="16"/>
              </w:rPr>
            </w:pPr>
            <w:r w:rsidRPr="006D5F74">
              <w:rPr>
                <w:sz w:val="16"/>
                <w:szCs w:val="16"/>
              </w:rPr>
              <w:t>1,574,303</w:t>
            </w:r>
          </w:p>
        </w:tc>
        <w:tc>
          <w:tcPr>
            <w:tcW w:w="929" w:type="dxa"/>
            <w:vAlign w:val="center"/>
          </w:tcPr>
          <w:p w:rsidR="00385FBC" w:rsidRPr="006D5F74" w:rsidRDefault="00385FBC" w:rsidP="00385FBC">
            <w:pPr>
              <w:jc w:val="right"/>
              <w:rPr>
                <w:sz w:val="16"/>
                <w:szCs w:val="16"/>
              </w:rPr>
            </w:pPr>
            <w:r w:rsidRPr="006D5F74">
              <w:rPr>
                <w:sz w:val="16"/>
                <w:szCs w:val="16"/>
              </w:rPr>
              <w:t>2,040,283</w:t>
            </w:r>
          </w:p>
        </w:tc>
        <w:tc>
          <w:tcPr>
            <w:tcW w:w="910" w:type="dxa"/>
            <w:vAlign w:val="center"/>
          </w:tcPr>
          <w:p w:rsidR="00385FBC" w:rsidRPr="006D5F74" w:rsidRDefault="00385FBC" w:rsidP="00385FBC">
            <w:pPr>
              <w:jc w:val="right"/>
              <w:rPr>
                <w:sz w:val="16"/>
                <w:szCs w:val="16"/>
              </w:rPr>
            </w:pPr>
            <w:r w:rsidRPr="006D5F74">
              <w:rPr>
                <w:sz w:val="16"/>
                <w:szCs w:val="16"/>
              </w:rPr>
              <w:t>138,061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p>
        </w:tc>
        <w:tc>
          <w:tcPr>
            <w:tcW w:w="810" w:type="dxa"/>
            <w:vAlign w:val="center"/>
          </w:tcPr>
          <w:p w:rsidR="00385FBC" w:rsidRPr="006D5F74" w:rsidRDefault="00385FBC" w:rsidP="00385FBC">
            <w:pPr>
              <w:jc w:val="right"/>
              <w:rPr>
                <w:b/>
                <w:bCs/>
                <w:sz w:val="16"/>
                <w:szCs w:val="16"/>
              </w:rPr>
            </w:pPr>
          </w:p>
        </w:tc>
        <w:tc>
          <w:tcPr>
            <w:tcW w:w="888" w:type="dxa"/>
            <w:vAlign w:val="center"/>
          </w:tcPr>
          <w:p w:rsidR="00385FBC" w:rsidRPr="006D5F74" w:rsidRDefault="00385FBC" w:rsidP="00385FBC">
            <w:pPr>
              <w:jc w:val="right"/>
              <w:rPr>
                <w:sz w:val="16"/>
                <w:szCs w:val="16"/>
              </w:rPr>
            </w:pPr>
          </w:p>
        </w:tc>
        <w:tc>
          <w:tcPr>
            <w:tcW w:w="912" w:type="dxa"/>
            <w:vAlign w:val="center"/>
          </w:tcPr>
          <w:p w:rsidR="00385FBC" w:rsidRPr="006D5F74" w:rsidRDefault="00385FBC" w:rsidP="00385FBC">
            <w:pPr>
              <w:jc w:val="right"/>
              <w:rPr>
                <w:sz w:val="16"/>
                <w:szCs w:val="16"/>
              </w:rPr>
            </w:pPr>
          </w:p>
        </w:tc>
        <w:tc>
          <w:tcPr>
            <w:tcW w:w="888" w:type="dxa"/>
            <w:vAlign w:val="center"/>
          </w:tcPr>
          <w:p w:rsidR="00385FBC" w:rsidRPr="006D5F74" w:rsidRDefault="00385FBC" w:rsidP="00385FBC">
            <w:pPr>
              <w:jc w:val="right"/>
              <w:rPr>
                <w:sz w:val="16"/>
                <w:szCs w:val="16"/>
              </w:rPr>
            </w:pPr>
          </w:p>
        </w:tc>
        <w:tc>
          <w:tcPr>
            <w:tcW w:w="977" w:type="dxa"/>
            <w:vAlign w:val="center"/>
          </w:tcPr>
          <w:p w:rsidR="00385FBC" w:rsidRPr="006D5F74" w:rsidRDefault="00385FBC" w:rsidP="00385FBC">
            <w:pPr>
              <w:jc w:val="right"/>
              <w:rPr>
                <w:sz w:val="16"/>
                <w:szCs w:val="16"/>
              </w:rPr>
            </w:pPr>
          </w:p>
        </w:tc>
        <w:tc>
          <w:tcPr>
            <w:tcW w:w="1066" w:type="dxa"/>
            <w:vAlign w:val="center"/>
          </w:tcPr>
          <w:p w:rsidR="00385FBC" w:rsidRPr="006D5F74" w:rsidRDefault="00385FBC" w:rsidP="00385FBC">
            <w:pPr>
              <w:jc w:val="right"/>
              <w:rPr>
                <w:sz w:val="16"/>
                <w:szCs w:val="16"/>
              </w:rPr>
            </w:pPr>
          </w:p>
        </w:tc>
        <w:tc>
          <w:tcPr>
            <w:tcW w:w="929" w:type="dxa"/>
            <w:vAlign w:val="center"/>
          </w:tcPr>
          <w:p w:rsidR="00385FBC" w:rsidRPr="006D5F74" w:rsidRDefault="00385FBC" w:rsidP="00385FBC">
            <w:pPr>
              <w:jc w:val="right"/>
              <w:rPr>
                <w:sz w:val="16"/>
                <w:szCs w:val="16"/>
              </w:rPr>
            </w:pPr>
          </w:p>
        </w:tc>
        <w:tc>
          <w:tcPr>
            <w:tcW w:w="910" w:type="dxa"/>
            <w:vAlign w:val="center"/>
          </w:tcPr>
          <w:p w:rsidR="00385FBC" w:rsidRPr="006D5F74" w:rsidRDefault="00385FBC" w:rsidP="00385FBC">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2011</w:t>
            </w:r>
          </w:p>
        </w:tc>
        <w:tc>
          <w:tcPr>
            <w:tcW w:w="810" w:type="dxa"/>
            <w:vAlign w:val="center"/>
          </w:tcPr>
          <w:p w:rsidR="00515311" w:rsidRPr="006D5F74" w:rsidRDefault="00515311" w:rsidP="00515311">
            <w:pPr>
              <w:jc w:val="right"/>
              <w:rPr>
                <w:b/>
                <w:bCs/>
                <w:sz w:val="16"/>
                <w:szCs w:val="16"/>
              </w:rPr>
            </w:pPr>
            <w:r w:rsidRPr="006D5F74">
              <w:rPr>
                <w:b/>
                <w:bCs/>
                <w:sz w:val="16"/>
                <w:szCs w:val="16"/>
              </w:rPr>
              <w:t>10,352,245</w:t>
            </w:r>
          </w:p>
        </w:tc>
        <w:tc>
          <w:tcPr>
            <w:tcW w:w="888" w:type="dxa"/>
            <w:vAlign w:val="center"/>
          </w:tcPr>
          <w:p w:rsidR="00515311" w:rsidRPr="006D5F74" w:rsidRDefault="00515311" w:rsidP="00515311">
            <w:pPr>
              <w:jc w:val="right"/>
              <w:rPr>
                <w:sz w:val="16"/>
                <w:szCs w:val="16"/>
              </w:rPr>
            </w:pPr>
            <w:r w:rsidRPr="006D5F74">
              <w:rPr>
                <w:sz w:val="16"/>
                <w:szCs w:val="16"/>
              </w:rPr>
              <w:t>1,365,857</w:t>
            </w:r>
          </w:p>
        </w:tc>
        <w:tc>
          <w:tcPr>
            <w:tcW w:w="912" w:type="dxa"/>
            <w:vAlign w:val="center"/>
          </w:tcPr>
          <w:p w:rsidR="00515311" w:rsidRPr="006D5F74" w:rsidRDefault="00515311" w:rsidP="00515311">
            <w:pPr>
              <w:jc w:val="right"/>
              <w:rPr>
                <w:sz w:val="16"/>
                <w:szCs w:val="16"/>
              </w:rPr>
            </w:pPr>
            <w:r w:rsidRPr="006D5F74">
              <w:rPr>
                <w:sz w:val="16"/>
                <w:szCs w:val="16"/>
              </w:rPr>
              <w:t>2,214,190</w:t>
            </w:r>
          </w:p>
        </w:tc>
        <w:tc>
          <w:tcPr>
            <w:tcW w:w="888" w:type="dxa"/>
            <w:vAlign w:val="center"/>
          </w:tcPr>
          <w:p w:rsidR="00515311" w:rsidRPr="006D5F74" w:rsidRDefault="00515311" w:rsidP="00515311">
            <w:pPr>
              <w:jc w:val="right"/>
              <w:rPr>
                <w:sz w:val="16"/>
                <w:szCs w:val="16"/>
              </w:rPr>
            </w:pPr>
            <w:r w:rsidRPr="006D5F74">
              <w:rPr>
                <w:sz w:val="16"/>
                <w:szCs w:val="16"/>
              </w:rPr>
              <w:t>322,469</w:t>
            </w:r>
          </w:p>
        </w:tc>
        <w:tc>
          <w:tcPr>
            <w:tcW w:w="977" w:type="dxa"/>
            <w:vAlign w:val="center"/>
          </w:tcPr>
          <w:p w:rsidR="00515311" w:rsidRPr="006D5F74" w:rsidRDefault="00515311" w:rsidP="00515311">
            <w:pPr>
              <w:jc w:val="right"/>
              <w:rPr>
                <w:sz w:val="16"/>
                <w:szCs w:val="16"/>
              </w:rPr>
            </w:pPr>
            <w:r w:rsidRPr="006D5F74">
              <w:rPr>
                <w:sz w:val="16"/>
                <w:szCs w:val="16"/>
              </w:rPr>
              <w:t>2,445,711</w:t>
            </w:r>
          </w:p>
        </w:tc>
        <w:tc>
          <w:tcPr>
            <w:tcW w:w="1066" w:type="dxa"/>
            <w:vAlign w:val="center"/>
          </w:tcPr>
          <w:p w:rsidR="00515311" w:rsidRPr="006D5F74" w:rsidRDefault="00515311" w:rsidP="00515311">
            <w:pPr>
              <w:jc w:val="right"/>
              <w:rPr>
                <w:sz w:val="16"/>
                <w:szCs w:val="16"/>
              </w:rPr>
            </w:pPr>
            <w:r w:rsidRPr="006D5F74">
              <w:rPr>
                <w:sz w:val="16"/>
                <w:szCs w:val="16"/>
              </w:rPr>
              <w:t>1,713,683</w:t>
            </w:r>
          </w:p>
        </w:tc>
        <w:tc>
          <w:tcPr>
            <w:tcW w:w="929" w:type="dxa"/>
            <w:vAlign w:val="center"/>
          </w:tcPr>
          <w:p w:rsidR="00515311" w:rsidRPr="006D5F74" w:rsidRDefault="00515311" w:rsidP="00515311">
            <w:pPr>
              <w:jc w:val="right"/>
              <w:rPr>
                <w:sz w:val="16"/>
                <w:szCs w:val="16"/>
              </w:rPr>
            </w:pPr>
            <w:r w:rsidRPr="006D5F74">
              <w:rPr>
                <w:sz w:val="16"/>
                <w:szCs w:val="16"/>
              </w:rPr>
              <w:t>2,290,335</w:t>
            </w:r>
          </w:p>
        </w:tc>
        <w:tc>
          <w:tcPr>
            <w:tcW w:w="910" w:type="dxa"/>
            <w:vAlign w:val="center"/>
          </w:tcPr>
          <w:p w:rsidR="00515311" w:rsidRPr="006D5F74" w:rsidRDefault="00515311" w:rsidP="00515311">
            <w:pPr>
              <w:jc w:val="right"/>
              <w:rPr>
                <w:sz w:val="16"/>
                <w:szCs w:val="16"/>
              </w:rPr>
            </w:pPr>
            <w:r w:rsidRPr="006D5F74">
              <w:rPr>
                <w:sz w:val="16"/>
                <w:szCs w:val="16"/>
              </w:rPr>
              <w:t>146,907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2012</w:t>
            </w:r>
          </w:p>
        </w:tc>
        <w:tc>
          <w:tcPr>
            <w:tcW w:w="810" w:type="dxa"/>
            <w:vAlign w:val="center"/>
          </w:tcPr>
          <w:p w:rsidR="00515311" w:rsidRPr="006D5F74" w:rsidRDefault="00515311" w:rsidP="00515311">
            <w:pPr>
              <w:jc w:val="right"/>
              <w:rPr>
                <w:b/>
                <w:bCs/>
                <w:sz w:val="16"/>
                <w:szCs w:val="16"/>
              </w:rPr>
            </w:pPr>
            <w:r w:rsidRPr="006D5F74">
              <w:rPr>
                <w:b/>
                <w:bCs/>
                <w:sz w:val="16"/>
                <w:szCs w:val="16"/>
              </w:rPr>
              <w:t>12,059,939</w:t>
            </w:r>
          </w:p>
        </w:tc>
        <w:tc>
          <w:tcPr>
            <w:tcW w:w="888" w:type="dxa"/>
            <w:vAlign w:val="center"/>
          </w:tcPr>
          <w:p w:rsidR="00515311" w:rsidRPr="006D5F74" w:rsidRDefault="00515311" w:rsidP="00515311">
            <w:pPr>
              <w:jc w:val="right"/>
              <w:rPr>
                <w:sz w:val="16"/>
                <w:szCs w:val="16"/>
              </w:rPr>
            </w:pPr>
            <w:r w:rsidRPr="006D5F74">
              <w:rPr>
                <w:sz w:val="16"/>
                <w:szCs w:val="16"/>
              </w:rPr>
              <w:t>1,805,289</w:t>
            </w:r>
          </w:p>
        </w:tc>
        <w:tc>
          <w:tcPr>
            <w:tcW w:w="912" w:type="dxa"/>
            <w:vAlign w:val="center"/>
          </w:tcPr>
          <w:p w:rsidR="00515311" w:rsidRPr="006D5F74" w:rsidRDefault="00515311" w:rsidP="00515311">
            <w:pPr>
              <w:jc w:val="right"/>
              <w:rPr>
                <w:sz w:val="16"/>
                <w:szCs w:val="16"/>
              </w:rPr>
            </w:pPr>
            <w:r w:rsidRPr="006D5F74">
              <w:rPr>
                <w:sz w:val="16"/>
                <w:szCs w:val="16"/>
              </w:rPr>
              <w:t>2,829,795</w:t>
            </w:r>
          </w:p>
        </w:tc>
        <w:tc>
          <w:tcPr>
            <w:tcW w:w="888" w:type="dxa"/>
            <w:vAlign w:val="center"/>
          </w:tcPr>
          <w:p w:rsidR="00515311" w:rsidRPr="006D5F74" w:rsidRDefault="00515311" w:rsidP="00515311">
            <w:pPr>
              <w:jc w:val="right"/>
              <w:rPr>
                <w:sz w:val="16"/>
                <w:szCs w:val="16"/>
              </w:rPr>
            </w:pPr>
            <w:r w:rsidRPr="006D5F74">
              <w:rPr>
                <w:sz w:val="16"/>
                <w:szCs w:val="16"/>
              </w:rPr>
              <w:t>433,524</w:t>
            </w:r>
          </w:p>
        </w:tc>
        <w:tc>
          <w:tcPr>
            <w:tcW w:w="977" w:type="dxa"/>
            <w:vAlign w:val="center"/>
          </w:tcPr>
          <w:p w:rsidR="00515311" w:rsidRPr="006D5F74" w:rsidRDefault="00515311" w:rsidP="00515311">
            <w:pPr>
              <w:jc w:val="right"/>
              <w:rPr>
                <w:sz w:val="16"/>
                <w:szCs w:val="16"/>
              </w:rPr>
            </w:pPr>
            <w:r w:rsidRPr="006D5F74">
              <w:rPr>
                <w:sz w:val="16"/>
                <w:szCs w:val="16"/>
              </w:rPr>
              <w:t>2,618,991</w:t>
            </w:r>
          </w:p>
        </w:tc>
        <w:tc>
          <w:tcPr>
            <w:tcW w:w="1066" w:type="dxa"/>
            <w:vAlign w:val="center"/>
          </w:tcPr>
          <w:p w:rsidR="00515311" w:rsidRPr="006D5F74" w:rsidRDefault="00515311" w:rsidP="00515311">
            <w:pPr>
              <w:jc w:val="right"/>
              <w:rPr>
                <w:sz w:val="16"/>
                <w:szCs w:val="16"/>
              </w:rPr>
            </w:pPr>
            <w:r w:rsidRPr="006D5F74">
              <w:rPr>
                <w:sz w:val="16"/>
                <w:szCs w:val="16"/>
              </w:rPr>
              <w:t>1,924,725</w:t>
            </w:r>
          </w:p>
        </w:tc>
        <w:tc>
          <w:tcPr>
            <w:tcW w:w="929" w:type="dxa"/>
            <w:vAlign w:val="center"/>
          </w:tcPr>
          <w:p w:rsidR="00515311" w:rsidRPr="006D5F74" w:rsidRDefault="00515311" w:rsidP="00515311">
            <w:pPr>
              <w:jc w:val="right"/>
              <w:rPr>
                <w:sz w:val="16"/>
                <w:szCs w:val="16"/>
              </w:rPr>
            </w:pPr>
            <w:r w:rsidRPr="006D5F74">
              <w:rPr>
                <w:sz w:val="16"/>
                <w:szCs w:val="16"/>
              </w:rPr>
              <w:t>2,447,615</w:t>
            </w:r>
          </w:p>
        </w:tc>
        <w:tc>
          <w:tcPr>
            <w:tcW w:w="910" w:type="dxa"/>
            <w:vAlign w:val="center"/>
          </w:tcPr>
          <w:p w:rsidR="00515311" w:rsidRPr="006D5F74" w:rsidRDefault="00515311" w:rsidP="00515311">
            <w:pPr>
              <w:jc w:val="right"/>
              <w:rPr>
                <w:sz w:val="16"/>
                <w:szCs w:val="16"/>
              </w:rPr>
            </w:pPr>
            <w:r w:rsidRPr="006D5F74">
              <w:rPr>
                <w:sz w:val="16"/>
                <w:szCs w:val="16"/>
              </w:rPr>
              <w:t>152,999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2013</w:t>
            </w:r>
          </w:p>
        </w:tc>
        <w:tc>
          <w:tcPr>
            <w:tcW w:w="810" w:type="dxa"/>
            <w:vAlign w:val="center"/>
          </w:tcPr>
          <w:p w:rsidR="00515311" w:rsidRDefault="00515311" w:rsidP="00515311">
            <w:pPr>
              <w:jc w:val="right"/>
              <w:rPr>
                <w:b/>
                <w:bCs/>
                <w:sz w:val="16"/>
                <w:szCs w:val="16"/>
              </w:rPr>
            </w:pPr>
            <w:r>
              <w:rPr>
                <w:b/>
                <w:bCs/>
                <w:sz w:val="16"/>
                <w:szCs w:val="16"/>
              </w:rPr>
              <w:t>13,842,361</w:t>
            </w:r>
          </w:p>
        </w:tc>
        <w:tc>
          <w:tcPr>
            <w:tcW w:w="888" w:type="dxa"/>
            <w:vAlign w:val="center"/>
          </w:tcPr>
          <w:p w:rsidR="00515311" w:rsidRDefault="00515311" w:rsidP="00515311">
            <w:pPr>
              <w:jc w:val="right"/>
              <w:rPr>
                <w:sz w:val="16"/>
                <w:szCs w:val="16"/>
              </w:rPr>
            </w:pPr>
            <w:r>
              <w:rPr>
                <w:sz w:val="16"/>
                <w:szCs w:val="16"/>
              </w:rPr>
              <w:t>2,322,373</w:t>
            </w:r>
          </w:p>
        </w:tc>
        <w:tc>
          <w:tcPr>
            <w:tcW w:w="912" w:type="dxa"/>
            <w:vAlign w:val="center"/>
          </w:tcPr>
          <w:p w:rsidR="00515311" w:rsidRDefault="00515311" w:rsidP="00515311">
            <w:pPr>
              <w:jc w:val="right"/>
              <w:rPr>
                <w:sz w:val="16"/>
                <w:szCs w:val="16"/>
              </w:rPr>
            </w:pPr>
            <w:r>
              <w:rPr>
                <w:sz w:val="16"/>
                <w:szCs w:val="16"/>
              </w:rPr>
              <w:t>3,829,262</w:t>
            </w:r>
          </w:p>
        </w:tc>
        <w:tc>
          <w:tcPr>
            <w:tcW w:w="888" w:type="dxa"/>
            <w:vAlign w:val="center"/>
          </w:tcPr>
          <w:p w:rsidR="00515311" w:rsidRDefault="00515311" w:rsidP="00515311">
            <w:pPr>
              <w:jc w:val="right"/>
              <w:rPr>
                <w:sz w:val="16"/>
                <w:szCs w:val="16"/>
              </w:rPr>
            </w:pPr>
            <w:r>
              <w:rPr>
                <w:sz w:val="16"/>
                <w:szCs w:val="16"/>
              </w:rPr>
              <w:t>419,224</w:t>
            </w:r>
          </w:p>
        </w:tc>
        <w:tc>
          <w:tcPr>
            <w:tcW w:w="977" w:type="dxa"/>
            <w:vAlign w:val="center"/>
          </w:tcPr>
          <w:p w:rsidR="00515311" w:rsidRDefault="00515311" w:rsidP="00515311">
            <w:pPr>
              <w:jc w:val="right"/>
              <w:rPr>
                <w:sz w:val="16"/>
                <w:szCs w:val="16"/>
              </w:rPr>
            </w:pPr>
            <w:r>
              <w:rPr>
                <w:sz w:val="16"/>
                <w:szCs w:val="16"/>
              </w:rPr>
              <w:t>2,548,941</w:t>
            </w:r>
          </w:p>
        </w:tc>
        <w:tc>
          <w:tcPr>
            <w:tcW w:w="1066" w:type="dxa"/>
            <w:vAlign w:val="center"/>
          </w:tcPr>
          <w:p w:rsidR="00515311" w:rsidRDefault="00515311" w:rsidP="00515311">
            <w:pPr>
              <w:jc w:val="right"/>
              <w:rPr>
                <w:sz w:val="16"/>
                <w:szCs w:val="16"/>
              </w:rPr>
            </w:pPr>
            <w:r>
              <w:rPr>
                <w:sz w:val="16"/>
                <w:szCs w:val="16"/>
              </w:rPr>
              <w:t>1,912,733</w:t>
            </w:r>
          </w:p>
        </w:tc>
        <w:tc>
          <w:tcPr>
            <w:tcW w:w="929" w:type="dxa"/>
            <w:vAlign w:val="center"/>
          </w:tcPr>
          <w:p w:rsidR="00515311" w:rsidRDefault="00515311" w:rsidP="00515311">
            <w:pPr>
              <w:jc w:val="right"/>
              <w:rPr>
                <w:sz w:val="16"/>
                <w:szCs w:val="16"/>
              </w:rPr>
            </w:pPr>
            <w:r>
              <w:rPr>
                <w:sz w:val="16"/>
                <w:szCs w:val="16"/>
              </w:rPr>
              <w:t>2,809,828</w:t>
            </w:r>
          </w:p>
        </w:tc>
        <w:tc>
          <w:tcPr>
            <w:tcW w:w="910" w:type="dxa"/>
            <w:vAlign w:val="center"/>
          </w:tcPr>
          <w:p w:rsidR="00515311" w:rsidRDefault="00515311" w:rsidP="00515311">
            <w:pPr>
              <w:jc w:val="right"/>
              <w:rPr>
                <w:sz w:val="16"/>
                <w:szCs w:val="16"/>
              </w:rPr>
            </w:pPr>
            <w:r>
              <w:rPr>
                <w:sz w:val="16"/>
                <w:szCs w:val="16"/>
              </w:rPr>
              <w:t>140,259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2014</w:t>
            </w:r>
          </w:p>
        </w:tc>
        <w:tc>
          <w:tcPr>
            <w:tcW w:w="810" w:type="dxa"/>
            <w:vAlign w:val="center"/>
          </w:tcPr>
          <w:p w:rsidR="00515311" w:rsidRDefault="00515311" w:rsidP="00515311">
            <w:pPr>
              <w:jc w:val="right"/>
              <w:rPr>
                <w:b/>
                <w:bCs/>
                <w:sz w:val="16"/>
                <w:szCs w:val="16"/>
              </w:rPr>
            </w:pPr>
            <w:r>
              <w:rPr>
                <w:b/>
                <w:bCs/>
                <w:sz w:val="16"/>
                <w:szCs w:val="16"/>
              </w:rPr>
              <w:t>15,610,328</w:t>
            </w:r>
          </w:p>
        </w:tc>
        <w:tc>
          <w:tcPr>
            <w:tcW w:w="888" w:type="dxa"/>
            <w:vAlign w:val="center"/>
          </w:tcPr>
          <w:p w:rsidR="00515311" w:rsidRDefault="00515311" w:rsidP="00515311">
            <w:pPr>
              <w:jc w:val="right"/>
              <w:rPr>
                <w:sz w:val="16"/>
                <w:szCs w:val="16"/>
              </w:rPr>
            </w:pPr>
            <w:r>
              <w:rPr>
                <w:sz w:val="16"/>
                <w:szCs w:val="16"/>
              </w:rPr>
              <w:t>2,936,575</w:t>
            </w:r>
          </w:p>
        </w:tc>
        <w:tc>
          <w:tcPr>
            <w:tcW w:w="912" w:type="dxa"/>
            <w:vAlign w:val="center"/>
          </w:tcPr>
          <w:p w:rsidR="00515311" w:rsidRDefault="00515311" w:rsidP="00515311">
            <w:pPr>
              <w:jc w:val="right"/>
              <w:rPr>
                <w:sz w:val="16"/>
                <w:szCs w:val="16"/>
              </w:rPr>
            </w:pPr>
            <w:r>
              <w:rPr>
                <w:sz w:val="16"/>
                <w:szCs w:val="16"/>
              </w:rPr>
              <w:t>4,034,757</w:t>
            </w:r>
          </w:p>
        </w:tc>
        <w:tc>
          <w:tcPr>
            <w:tcW w:w="888" w:type="dxa"/>
            <w:vAlign w:val="center"/>
          </w:tcPr>
          <w:p w:rsidR="00515311" w:rsidRDefault="00515311" w:rsidP="00515311">
            <w:pPr>
              <w:jc w:val="right"/>
              <w:rPr>
                <w:sz w:val="16"/>
                <w:szCs w:val="16"/>
              </w:rPr>
            </w:pPr>
            <w:r>
              <w:rPr>
                <w:sz w:val="16"/>
                <w:szCs w:val="16"/>
              </w:rPr>
              <w:t>551,812</w:t>
            </w:r>
          </w:p>
        </w:tc>
        <w:tc>
          <w:tcPr>
            <w:tcW w:w="977" w:type="dxa"/>
            <w:vAlign w:val="center"/>
          </w:tcPr>
          <w:p w:rsidR="00515311" w:rsidRDefault="00515311" w:rsidP="00515311">
            <w:pPr>
              <w:jc w:val="right"/>
              <w:rPr>
                <w:sz w:val="16"/>
                <w:szCs w:val="16"/>
              </w:rPr>
            </w:pPr>
            <w:r>
              <w:rPr>
                <w:sz w:val="16"/>
                <w:szCs w:val="16"/>
              </w:rPr>
              <w:t>2,660,255</w:t>
            </w:r>
          </w:p>
        </w:tc>
        <w:tc>
          <w:tcPr>
            <w:tcW w:w="1066" w:type="dxa"/>
            <w:vAlign w:val="center"/>
          </w:tcPr>
          <w:p w:rsidR="00515311" w:rsidRDefault="00515311" w:rsidP="00515311">
            <w:pPr>
              <w:jc w:val="right"/>
              <w:rPr>
                <w:sz w:val="16"/>
                <w:szCs w:val="16"/>
              </w:rPr>
            </w:pPr>
            <w:r>
              <w:rPr>
                <w:sz w:val="16"/>
                <w:szCs w:val="16"/>
              </w:rPr>
              <w:t>2,190,734</w:t>
            </w:r>
          </w:p>
        </w:tc>
        <w:tc>
          <w:tcPr>
            <w:tcW w:w="929" w:type="dxa"/>
            <w:vAlign w:val="center"/>
          </w:tcPr>
          <w:p w:rsidR="00515311" w:rsidRDefault="00515311" w:rsidP="00515311">
            <w:pPr>
              <w:jc w:val="right"/>
              <w:rPr>
                <w:sz w:val="16"/>
                <w:szCs w:val="16"/>
              </w:rPr>
            </w:pPr>
            <w:r>
              <w:rPr>
                <w:sz w:val="16"/>
                <w:szCs w:val="16"/>
              </w:rPr>
              <w:t>3,236,195</w:t>
            </w:r>
          </w:p>
        </w:tc>
        <w:tc>
          <w:tcPr>
            <w:tcW w:w="910" w:type="dxa"/>
            <w:vAlign w:val="center"/>
          </w:tcPr>
          <w:p w:rsidR="00515311" w:rsidRDefault="00515311" w:rsidP="00515311">
            <w:pPr>
              <w:jc w:val="right"/>
              <w:rPr>
                <w:sz w:val="16"/>
                <w:szCs w:val="16"/>
              </w:rPr>
            </w:pPr>
            <w:r>
              <w:rPr>
                <w:sz w:val="16"/>
                <w:szCs w:val="16"/>
              </w:rPr>
              <w:t>147,622</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2015</w:t>
            </w:r>
          </w:p>
        </w:tc>
        <w:tc>
          <w:tcPr>
            <w:tcW w:w="810" w:type="dxa"/>
            <w:vAlign w:val="center"/>
          </w:tcPr>
          <w:p w:rsidR="00515311" w:rsidRDefault="00515311" w:rsidP="00515311">
            <w:pPr>
              <w:jc w:val="right"/>
              <w:rPr>
                <w:b/>
                <w:bCs/>
                <w:sz w:val="16"/>
                <w:szCs w:val="16"/>
              </w:rPr>
            </w:pPr>
            <w:r>
              <w:rPr>
                <w:b/>
                <w:bCs/>
                <w:sz w:val="16"/>
                <w:szCs w:val="16"/>
              </w:rPr>
              <w:t>16,814,814</w:t>
            </w:r>
          </w:p>
        </w:tc>
        <w:tc>
          <w:tcPr>
            <w:tcW w:w="888" w:type="dxa"/>
            <w:vAlign w:val="center"/>
          </w:tcPr>
          <w:p w:rsidR="00515311" w:rsidRDefault="00515311" w:rsidP="00515311">
            <w:pPr>
              <w:jc w:val="right"/>
              <w:rPr>
                <w:sz w:val="16"/>
                <w:szCs w:val="16"/>
              </w:rPr>
            </w:pPr>
            <w:r>
              <w:rPr>
                <w:sz w:val="16"/>
                <w:szCs w:val="16"/>
              </w:rPr>
              <w:t>2,325,787</w:t>
            </w:r>
          </w:p>
        </w:tc>
        <w:tc>
          <w:tcPr>
            <w:tcW w:w="912" w:type="dxa"/>
            <w:vAlign w:val="center"/>
          </w:tcPr>
          <w:p w:rsidR="00515311" w:rsidRDefault="00515311" w:rsidP="00515311">
            <w:pPr>
              <w:jc w:val="right"/>
              <w:rPr>
                <w:sz w:val="16"/>
                <w:szCs w:val="16"/>
              </w:rPr>
            </w:pPr>
            <w:r>
              <w:rPr>
                <w:sz w:val="16"/>
                <w:szCs w:val="16"/>
              </w:rPr>
              <w:t>5,681,232</w:t>
            </w:r>
          </w:p>
        </w:tc>
        <w:tc>
          <w:tcPr>
            <w:tcW w:w="888" w:type="dxa"/>
            <w:vAlign w:val="center"/>
          </w:tcPr>
          <w:p w:rsidR="00515311" w:rsidRDefault="00515311" w:rsidP="00515311">
            <w:pPr>
              <w:jc w:val="right"/>
              <w:rPr>
                <w:sz w:val="16"/>
                <w:szCs w:val="16"/>
              </w:rPr>
            </w:pPr>
            <w:r>
              <w:rPr>
                <w:sz w:val="16"/>
                <w:szCs w:val="16"/>
              </w:rPr>
              <w:t>604,198</w:t>
            </w:r>
          </w:p>
        </w:tc>
        <w:tc>
          <w:tcPr>
            <w:tcW w:w="977" w:type="dxa"/>
            <w:vAlign w:val="center"/>
          </w:tcPr>
          <w:p w:rsidR="00515311" w:rsidRDefault="00515311" w:rsidP="00515311">
            <w:pPr>
              <w:jc w:val="right"/>
              <w:rPr>
                <w:sz w:val="16"/>
                <w:szCs w:val="16"/>
              </w:rPr>
            </w:pPr>
            <w:r>
              <w:rPr>
                <w:sz w:val="16"/>
                <w:szCs w:val="16"/>
              </w:rPr>
              <w:t>2,574,919</w:t>
            </w:r>
          </w:p>
        </w:tc>
        <w:tc>
          <w:tcPr>
            <w:tcW w:w="1066" w:type="dxa"/>
            <w:vAlign w:val="center"/>
          </w:tcPr>
          <w:p w:rsidR="00515311" w:rsidRDefault="00515311" w:rsidP="00515311">
            <w:pPr>
              <w:jc w:val="right"/>
              <w:rPr>
                <w:sz w:val="16"/>
                <w:szCs w:val="16"/>
              </w:rPr>
            </w:pPr>
            <w:r>
              <w:rPr>
                <w:sz w:val="16"/>
                <w:szCs w:val="16"/>
              </w:rPr>
              <w:t>2,200,356</w:t>
            </w:r>
          </w:p>
        </w:tc>
        <w:tc>
          <w:tcPr>
            <w:tcW w:w="929" w:type="dxa"/>
            <w:vAlign w:val="center"/>
          </w:tcPr>
          <w:p w:rsidR="00515311" w:rsidRDefault="00515311" w:rsidP="00515311">
            <w:pPr>
              <w:jc w:val="right"/>
              <w:rPr>
                <w:sz w:val="16"/>
                <w:szCs w:val="16"/>
              </w:rPr>
            </w:pPr>
            <w:r>
              <w:rPr>
                <w:sz w:val="16"/>
                <w:szCs w:val="16"/>
              </w:rPr>
              <w:t>3,428,322</w:t>
            </w:r>
          </w:p>
        </w:tc>
        <w:tc>
          <w:tcPr>
            <w:tcW w:w="910" w:type="dxa"/>
            <w:vAlign w:val="center"/>
          </w:tcPr>
          <w:p w:rsidR="00515311" w:rsidRDefault="00515311" w:rsidP="00515311">
            <w:pPr>
              <w:jc w:val="right"/>
              <w:rPr>
                <w:sz w:val="16"/>
                <w:szCs w:val="16"/>
              </w:rPr>
            </w:pPr>
            <w:r>
              <w:rPr>
                <w:sz w:val="16"/>
                <w:szCs w:val="16"/>
              </w:rPr>
              <w:t>152,967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2016</w:t>
            </w:r>
          </w:p>
        </w:tc>
        <w:tc>
          <w:tcPr>
            <w:tcW w:w="810" w:type="dxa"/>
            <w:vAlign w:val="center"/>
          </w:tcPr>
          <w:p w:rsidR="00515311" w:rsidRPr="00CE448F" w:rsidRDefault="00515311" w:rsidP="00515311">
            <w:pPr>
              <w:jc w:val="right"/>
              <w:rPr>
                <w:b/>
                <w:bCs/>
                <w:sz w:val="16"/>
                <w:szCs w:val="16"/>
              </w:rPr>
            </w:pPr>
            <w:r w:rsidRPr="00CE448F">
              <w:rPr>
                <w:b/>
                <w:bCs/>
                <w:sz w:val="16"/>
                <w:szCs w:val="16"/>
              </w:rPr>
              <w:t>18,886,342</w:t>
            </w:r>
          </w:p>
        </w:tc>
        <w:tc>
          <w:tcPr>
            <w:tcW w:w="888" w:type="dxa"/>
            <w:vAlign w:val="center"/>
          </w:tcPr>
          <w:p w:rsidR="00515311" w:rsidRPr="00CE448F" w:rsidRDefault="00515311" w:rsidP="00515311">
            <w:pPr>
              <w:jc w:val="right"/>
              <w:rPr>
                <w:sz w:val="16"/>
                <w:szCs w:val="16"/>
              </w:rPr>
            </w:pPr>
            <w:r w:rsidRPr="00CE448F">
              <w:rPr>
                <w:sz w:val="16"/>
                <w:szCs w:val="16"/>
              </w:rPr>
              <w:t>2,050,313</w:t>
            </w:r>
          </w:p>
        </w:tc>
        <w:tc>
          <w:tcPr>
            <w:tcW w:w="912" w:type="dxa"/>
            <w:vAlign w:val="center"/>
          </w:tcPr>
          <w:p w:rsidR="00515311" w:rsidRPr="00CE448F" w:rsidRDefault="00515311" w:rsidP="00515311">
            <w:pPr>
              <w:jc w:val="right"/>
              <w:rPr>
                <w:sz w:val="16"/>
                <w:szCs w:val="16"/>
              </w:rPr>
            </w:pPr>
            <w:r w:rsidRPr="00CE448F">
              <w:rPr>
                <w:sz w:val="16"/>
                <w:szCs w:val="16"/>
              </w:rPr>
              <w:t>7,036,747</w:t>
            </w:r>
          </w:p>
        </w:tc>
        <w:tc>
          <w:tcPr>
            <w:tcW w:w="888" w:type="dxa"/>
            <w:vAlign w:val="center"/>
          </w:tcPr>
          <w:p w:rsidR="00515311" w:rsidRPr="00CE448F" w:rsidRDefault="00515311" w:rsidP="00515311">
            <w:pPr>
              <w:jc w:val="right"/>
              <w:rPr>
                <w:sz w:val="16"/>
                <w:szCs w:val="16"/>
              </w:rPr>
            </w:pPr>
            <w:r w:rsidRPr="00CE448F">
              <w:rPr>
                <w:sz w:val="16"/>
                <w:szCs w:val="16"/>
              </w:rPr>
              <w:t>659,295</w:t>
            </w:r>
          </w:p>
        </w:tc>
        <w:tc>
          <w:tcPr>
            <w:tcW w:w="977" w:type="dxa"/>
            <w:vAlign w:val="center"/>
          </w:tcPr>
          <w:p w:rsidR="00515311" w:rsidRPr="00CE448F" w:rsidRDefault="00515311" w:rsidP="00515311">
            <w:pPr>
              <w:jc w:val="right"/>
              <w:rPr>
                <w:sz w:val="16"/>
                <w:szCs w:val="16"/>
              </w:rPr>
            </w:pPr>
            <w:r w:rsidRPr="00CE448F">
              <w:rPr>
                <w:sz w:val="16"/>
                <w:szCs w:val="16"/>
              </w:rPr>
              <w:t>2,879,698</w:t>
            </w:r>
          </w:p>
        </w:tc>
        <w:tc>
          <w:tcPr>
            <w:tcW w:w="1066" w:type="dxa"/>
            <w:vAlign w:val="center"/>
          </w:tcPr>
          <w:p w:rsidR="00515311" w:rsidRPr="00CE448F" w:rsidRDefault="00515311" w:rsidP="00515311">
            <w:pPr>
              <w:jc w:val="right"/>
              <w:rPr>
                <w:sz w:val="16"/>
                <w:szCs w:val="16"/>
              </w:rPr>
            </w:pPr>
            <w:r w:rsidRPr="00CE448F">
              <w:rPr>
                <w:sz w:val="16"/>
                <w:szCs w:val="16"/>
              </w:rPr>
              <w:t>2,537,926</w:t>
            </w:r>
          </w:p>
        </w:tc>
        <w:tc>
          <w:tcPr>
            <w:tcW w:w="929" w:type="dxa"/>
            <w:vAlign w:val="center"/>
          </w:tcPr>
          <w:p w:rsidR="00515311" w:rsidRPr="00CE448F" w:rsidRDefault="00515311" w:rsidP="00515311">
            <w:pPr>
              <w:jc w:val="right"/>
              <w:rPr>
                <w:sz w:val="16"/>
                <w:szCs w:val="16"/>
              </w:rPr>
            </w:pPr>
            <w:r w:rsidRPr="00CE448F">
              <w:rPr>
                <w:sz w:val="16"/>
                <w:szCs w:val="16"/>
              </w:rPr>
              <w:t>3,722,362</w:t>
            </w:r>
          </w:p>
        </w:tc>
        <w:tc>
          <w:tcPr>
            <w:tcW w:w="910" w:type="dxa"/>
            <w:vAlign w:val="center"/>
          </w:tcPr>
          <w:p w:rsidR="00515311" w:rsidRPr="00CE448F" w:rsidRDefault="00515311" w:rsidP="00515311">
            <w:pPr>
              <w:jc w:val="right"/>
              <w:rPr>
                <w:sz w:val="16"/>
                <w:szCs w:val="16"/>
              </w:rPr>
            </w:pPr>
            <w:r w:rsidRPr="00CE448F">
              <w:rPr>
                <w:sz w:val="16"/>
                <w:szCs w:val="16"/>
              </w:rPr>
              <w:t>157,137</w:t>
            </w:r>
          </w:p>
        </w:tc>
      </w:tr>
      <w:tr w:rsidR="00515311" w:rsidRPr="006D5F74" w:rsidTr="00CE448F">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color w:val="000000"/>
                <w:sz w:val="16"/>
                <w:szCs w:val="16"/>
              </w:rPr>
            </w:pPr>
          </w:p>
        </w:tc>
        <w:tc>
          <w:tcPr>
            <w:tcW w:w="888" w:type="dxa"/>
            <w:vAlign w:val="center"/>
          </w:tcPr>
          <w:p w:rsidR="00515311" w:rsidRDefault="00515311" w:rsidP="00515311">
            <w:pPr>
              <w:jc w:val="right"/>
              <w:rPr>
                <w:color w:val="000000"/>
                <w:sz w:val="16"/>
                <w:szCs w:val="16"/>
              </w:rPr>
            </w:pPr>
          </w:p>
        </w:tc>
        <w:tc>
          <w:tcPr>
            <w:tcW w:w="912" w:type="dxa"/>
            <w:vAlign w:val="center"/>
          </w:tcPr>
          <w:p w:rsidR="00515311" w:rsidRDefault="00515311" w:rsidP="00515311">
            <w:pPr>
              <w:jc w:val="right"/>
              <w:rPr>
                <w:color w:val="000000"/>
                <w:sz w:val="16"/>
                <w:szCs w:val="16"/>
              </w:rPr>
            </w:pPr>
          </w:p>
        </w:tc>
        <w:tc>
          <w:tcPr>
            <w:tcW w:w="888" w:type="dxa"/>
            <w:vAlign w:val="center"/>
          </w:tcPr>
          <w:p w:rsidR="00515311" w:rsidRDefault="00515311" w:rsidP="00515311">
            <w:pPr>
              <w:jc w:val="right"/>
              <w:rPr>
                <w:color w:val="000000"/>
                <w:sz w:val="16"/>
                <w:szCs w:val="16"/>
              </w:rPr>
            </w:pPr>
          </w:p>
        </w:tc>
        <w:tc>
          <w:tcPr>
            <w:tcW w:w="977" w:type="dxa"/>
            <w:vAlign w:val="center"/>
          </w:tcPr>
          <w:p w:rsidR="00515311" w:rsidRDefault="00515311" w:rsidP="00515311">
            <w:pPr>
              <w:jc w:val="right"/>
              <w:rPr>
                <w:color w:val="000000"/>
                <w:sz w:val="16"/>
                <w:szCs w:val="16"/>
              </w:rPr>
            </w:pPr>
          </w:p>
        </w:tc>
        <w:tc>
          <w:tcPr>
            <w:tcW w:w="1066" w:type="dxa"/>
            <w:vAlign w:val="center"/>
          </w:tcPr>
          <w:p w:rsidR="00515311" w:rsidRDefault="00515311" w:rsidP="00515311">
            <w:pPr>
              <w:jc w:val="right"/>
              <w:rPr>
                <w:color w:val="000000"/>
                <w:sz w:val="16"/>
                <w:szCs w:val="16"/>
              </w:rPr>
            </w:pPr>
          </w:p>
        </w:tc>
        <w:tc>
          <w:tcPr>
            <w:tcW w:w="929" w:type="dxa"/>
            <w:vAlign w:val="center"/>
          </w:tcPr>
          <w:p w:rsidR="00515311" w:rsidRDefault="00515311" w:rsidP="00515311">
            <w:pPr>
              <w:jc w:val="right"/>
              <w:rPr>
                <w:color w:val="000000"/>
                <w:sz w:val="16"/>
                <w:szCs w:val="16"/>
              </w:rPr>
            </w:pPr>
          </w:p>
        </w:tc>
        <w:tc>
          <w:tcPr>
            <w:tcW w:w="910" w:type="dxa"/>
            <w:vAlign w:val="center"/>
          </w:tcPr>
          <w:p w:rsidR="00515311" w:rsidRDefault="00515311" w:rsidP="00515311">
            <w:pPr>
              <w:jc w:val="right"/>
              <w:rPr>
                <w:color w:val="000000"/>
                <w:sz w:val="16"/>
                <w:szCs w:val="16"/>
              </w:rPr>
            </w:pPr>
          </w:p>
        </w:tc>
      </w:tr>
      <w:tr w:rsidR="001D1172" w:rsidRPr="006D5F74" w:rsidTr="001D1172">
        <w:trPr>
          <w:trHeight w:hRule="exact" w:val="260"/>
          <w:jc w:val="center"/>
        </w:trPr>
        <w:tc>
          <w:tcPr>
            <w:tcW w:w="930" w:type="dxa"/>
            <w:vAlign w:val="center"/>
          </w:tcPr>
          <w:p w:rsidR="001D1172" w:rsidRDefault="00787AAD" w:rsidP="001D1172">
            <w:pPr>
              <w:jc w:val="center"/>
              <w:rPr>
                <w:color w:val="000000"/>
                <w:sz w:val="16"/>
                <w:szCs w:val="16"/>
              </w:rPr>
            </w:pPr>
            <w:r>
              <w:rPr>
                <w:color w:val="000000"/>
                <w:sz w:val="16"/>
                <w:szCs w:val="16"/>
              </w:rPr>
              <w:t xml:space="preserve"> </w:t>
            </w:r>
            <w:r w:rsidR="001D1172">
              <w:rPr>
                <w:color w:val="000000"/>
                <w:sz w:val="16"/>
                <w:szCs w:val="16"/>
              </w:rPr>
              <w:t xml:space="preserve">2017 </w:t>
            </w:r>
            <w:r w:rsidR="001D1172">
              <w:rPr>
                <w:color w:val="000000"/>
                <w:sz w:val="16"/>
                <w:szCs w:val="16"/>
                <w:vertAlign w:val="superscript"/>
              </w:rPr>
              <w:t>R</w:t>
            </w:r>
          </w:p>
        </w:tc>
        <w:tc>
          <w:tcPr>
            <w:tcW w:w="810" w:type="dxa"/>
            <w:vAlign w:val="center"/>
          </w:tcPr>
          <w:p w:rsidR="001D1172" w:rsidRDefault="001D1172" w:rsidP="001D1172">
            <w:pPr>
              <w:jc w:val="right"/>
              <w:rPr>
                <w:b/>
                <w:bCs/>
                <w:color w:val="000000"/>
                <w:sz w:val="16"/>
                <w:szCs w:val="16"/>
              </w:rPr>
            </w:pPr>
            <w:r>
              <w:rPr>
                <w:b/>
                <w:bCs/>
                <w:color w:val="000000"/>
                <w:sz w:val="16"/>
                <w:szCs w:val="16"/>
              </w:rPr>
              <w:t>20,633,290</w:t>
            </w:r>
          </w:p>
        </w:tc>
        <w:tc>
          <w:tcPr>
            <w:tcW w:w="888" w:type="dxa"/>
            <w:vAlign w:val="center"/>
          </w:tcPr>
          <w:p w:rsidR="001D1172" w:rsidRDefault="001D1172" w:rsidP="001D1172">
            <w:pPr>
              <w:jc w:val="right"/>
              <w:rPr>
                <w:color w:val="000000"/>
                <w:sz w:val="16"/>
                <w:szCs w:val="16"/>
              </w:rPr>
            </w:pPr>
            <w:r>
              <w:rPr>
                <w:color w:val="000000"/>
                <w:sz w:val="16"/>
                <w:szCs w:val="16"/>
              </w:rPr>
              <w:t>2,471,747</w:t>
            </w:r>
          </w:p>
        </w:tc>
        <w:tc>
          <w:tcPr>
            <w:tcW w:w="912" w:type="dxa"/>
            <w:vAlign w:val="center"/>
          </w:tcPr>
          <w:p w:rsidR="001D1172" w:rsidRDefault="001D1172" w:rsidP="001D1172">
            <w:pPr>
              <w:jc w:val="right"/>
              <w:rPr>
                <w:color w:val="000000"/>
                <w:sz w:val="16"/>
                <w:szCs w:val="16"/>
              </w:rPr>
            </w:pPr>
            <w:r>
              <w:rPr>
                <w:color w:val="000000"/>
                <w:sz w:val="16"/>
                <w:szCs w:val="16"/>
              </w:rPr>
              <w:t>7,437,548</w:t>
            </w:r>
          </w:p>
        </w:tc>
        <w:tc>
          <w:tcPr>
            <w:tcW w:w="888" w:type="dxa"/>
            <w:vAlign w:val="center"/>
          </w:tcPr>
          <w:p w:rsidR="001D1172" w:rsidRDefault="001D1172" w:rsidP="001D1172">
            <w:pPr>
              <w:jc w:val="right"/>
              <w:rPr>
                <w:color w:val="000000"/>
                <w:sz w:val="16"/>
                <w:szCs w:val="16"/>
              </w:rPr>
            </w:pPr>
            <w:r>
              <w:rPr>
                <w:color w:val="000000"/>
                <w:sz w:val="16"/>
                <w:szCs w:val="16"/>
              </w:rPr>
              <w:t>647,383</w:t>
            </w:r>
          </w:p>
        </w:tc>
        <w:tc>
          <w:tcPr>
            <w:tcW w:w="977" w:type="dxa"/>
            <w:vAlign w:val="center"/>
          </w:tcPr>
          <w:p w:rsidR="001D1172" w:rsidRDefault="001D1172" w:rsidP="001D1172">
            <w:pPr>
              <w:jc w:val="right"/>
              <w:rPr>
                <w:color w:val="000000"/>
                <w:sz w:val="16"/>
                <w:szCs w:val="16"/>
              </w:rPr>
            </w:pPr>
            <w:r>
              <w:rPr>
                <w:color w:val="000000"/>
                <w:sz w:val="16"/>
                <w:szCs w:val="16"/>
              </w:rPr>
              <w:t>2,982,634</w:t>
            </w:r>
          </w:p>
        </w:tc>
        <w:tc>
          <w:tcPr>
            <w:tcW w:w="1066" w:type="dxa"/>
            <w:vAlign w:val="center"/>
          </w:tcPr>
          <w:p w:rsidR="001D1172" w:rsidRDefault="001D1172" w:rsidP="001D1172">
            <w:pPr>
              <w:jc w:val="right"/>
              <w:rPr>
                <w:color w:val="000000"/>
                <w:sz w:val="16"/>
                <w:szCs w:val="16"/>
              </w:rPr>
            </w:pPr>
            <w:r>
              <w:rPr>
                <w:color w:val="000000"/>
                <w:sz w:val="16"/>
                <w:szCs w:val="16"/>
              </w:rPr>
              <w:t>2,936,049</w:t>
            </w:r>
          </w:p>
        </w:tc>
        <w:tc>
          <w:tcPr>
            <w:tcW w:w="929" w:type="dxa"/>
            <w:vAlign w:val="center"/>
          </w:tcPr>
          <w:p w:rsidR="001D1172" w:rsidRDefault="001D1172" w:rsidP="001D1172">
            <w:pPr>
              <w:jc w:val="right"/>
              <w:rPr>
                <w:color w:val="000000"/>
                <w:sz w:val="16"/>
                <w:szCs w:val="16"/>
              </w:rPr>
            </w:pPr>
            <w:r>
              <w:rPr>
                <w:color w:val="000000"/>
                <w:sz w:val="16"/>
                <w:szCs w:val="16"/>
              </w:rPr>
              <w:t>4,157,929</w:t>
            </w:r>
          </w:p>
        </w:tc>
        <w:tc>
          <w:tcPr>
            <w:tcW w:w="910" w:type="dxa"/>
            <w:vAlign w:val="center"/>
          </w:tcPr>
          <w:p w:rsidR="001D1172" w:rsidRDefault="001D1172" w:rsidP="001D1172">
            <w:pPr>
              <w:jc w:val="right"/>
              <w:rPr>
                <w:color w:val="000000"/>
                <w:sz w:val="16"/>
                <w:szCs w:val="16"/>
              </w:rPr>
            </w:pPr>
            <w:r>
              <w:rPr>
                <w:color w:val="000000"/>
                <w:sz w:val="16"/>
                <w:szCs w:val="16"/>
              </w:rPr>
              <w:t>134,617</w:t>
            </w:r>
          </w:p>
        </w:tc>
      </w:tr>
      <w:tr w:rsidR="001D1172" w:rsidRPr="006D5F74" w:rsidTr="001D1172">
        <w:trPr>
          <w:trHeight w:hRule="exact" w:val="260"/>
          <w:jc w:val="center"/>
        </w:trPr>
        <w:tc>
          <w:tcPr>
            <w:tcW w:w="930" w:type="dxa"/>
            <w:vAlign w:val="center"/>
          </w:tcPr>
          <w:p w:rsidR="001D1172" w:rsidRDefault="001D1172" w:rsidP="00787AAD">
            <w:pPr>
              <w:jc w:val="center"/>
              <w:rPr>
                <w:color w:val="000000"/>
                <w:sz w:val="16"/>
                <w:szCs w:val="16"/>
              </w:rPr>
            </w:pPr>
            <w:r>
              <w:rPr>
                <w:color w:val="000000"/>
                <w:sz w:val="16"/>
                <w:szCs w:val="16"/>
              </w:rPr>
              <w:t>2018</w:t>
            </w:r>
          </w:p>
        </w:tc>
        <w:tc>
          <w:tcPr>
            <w:tcW w:w="810" w:type="dxa"/>
            <w:vAlign w:val="center"/>
          </w:tcPr>
          <w:p w:rsidR="001D1172" w:rsidRDefault="001D1172" w:rsidP="001D1172">
            <w:pPr>
              <w:jc w:val="right"/>
              <w:rPr>
                <w:b/>
                <w:bCs/>
                <w:color w:val="000000"/>
                <w:sz w:val="16"/>
                <w:szCs w:val="16"/>
              </w:rPr>
            </w:pPr>
            <w:r>
              <w:rPr>
                <w:b/>
                <w:bCs/>
                <w:color w:val="000000"/>
                <w:sz w:val="16"/>
                <w:szCs w:val="16"/>
              </w:rPr>
              <w:t>24,073,706</w:t>
            </w:r>
          </w:p>
        </w:tc>
        <w:tc>
          <w:tcPr>
            <w:tcW w:w="888" w:type="dxa"/>
            <w:vAlign w:val="center"/>
          </w:tcPr>
          <w:p w:rsidR="001D1172" w:rsidRDefault="001D1172" w:rsidP="001D1172">
            <w:pPr>
              <w:jc w:val="right"/>
              <w:rPr>
                <w:color w:val="000000"/>
                <w:sz w:val="16"/>
                <w:szCs w:val="16"/>
              </w:rPr>
            </w:pPr>
            <w:r>
              <w:rPr>
                <w:color w:val="000000"/>
                <w:sz w:val="16"/>
                <w:szCs w:val="16"/>
              </w:rPr>
              <w:t>3,597,065</w:t>
            </w:r>
          </w:p>
        </w:tc>
        <w:tc>
          <w:tcPr>
            <w:tcW w:w="912" w:type="dxa"/>
            <w:vAlign w:val="center"/>
          </w:tcPr>
          <w:p w:rsidR="001D1172" w:rsidRDefault="001D1172" w:rsidP="001D1172">
            <w:pPr>
              <w:jc w:val="right"/>
              <w:rPr>
                <w:color w:val="000000"/>
                <w:sz w:val="16"/>
                <w:szCs w:val="16"/>
              </w:rPr>
            </w:pPr>
            <w:r>
              <w:rPr>
                <w:color w:val="000000"/>
                <w:sz w:val="16"/>
                <w:szCs w:val="16"/>
              </w:rPr>
              <w:t>7,569,680</w:t>
            </w:r>
          </w:p>
        </w:tc>
        <w:tc>
          <w:tcPr>
            <w:tcW w:w="888" w:type="dxa"/>
            <w:vAlign w:val="center"/>
          </w:tcPr>
          <w:p w:rsidR="001D1172" w:rsidRDefault="001D1172" w:rsidP="001D1172">
            <w:pPr>
              <w:jc w:val="right"/>
              <w:rPr>
                <w:color w:val="000000"/>
                <w:sz w:val="16"/>
                <w:szCs w:val="16"/>
              </w:rPr>
            </w:pPr>
            <w:r>
              <w:rPr>
                <w:color w:val="000000"/>
                <w:sz w:val="16"/>
                <w:szCs w:val="16"/>
              </w:rPr>
              <w:t>675,468</w:t>
            </w:r>
          </w:p>
        </w:tc>
        <w:tc>
          <w:tcPr>
            <w:tcW w:w="977" w:type="dxa"/>
            <w:vAlign w:val="center"/>
          </w:tcPr>
          <w:p w:rsidR="001D1172" w:rsidRDefault="001D1172" w:rsidP="001D1172">
            <w:pPr>
              <w:jc w:val="right"/>
              <w:rPr>
                <w:color w:val="000000"/>
                <w:sz w:val="16"/>
                <w:szCs w:val="16"/>
              </w:rPr>
            </w:pPr>
            <w:r>
              <w:rPr>
                <w:color w:val="000000"/>
                <w:sz w:val="16"/>
                <w:szCs w:val="16"/>
              </w:rPr>
              <w:t>3,532,342</w:t>
            </w:r>
          </w:p>
        </w:tc>
        <w:tc>
          <w:tcPr>
            <w:tcW w:w="1066" w:type="dxa"/>
            <w:vAlign w:val="center"/>
          </w:tcPr>
          <w:p w:rsidR="001D1172" w:rsidRDefault="001D1172" w:rsidP="001D1172">
            <w:pPr>
              <w:jc w:val="right"/>
              <w:rPr>
                <w:color w:val="000000"/>
                <w:sz w:val="16"/>
                <w:szCs w:val="16"/>
              </w:rPr>
            </w:pPr>
            <w:r>
              <w:rPr>
                <w:color w:val="000000"/>
                <w:sz w:val="16"/>
                <w:szCs w:val="16"/>
              </w:rPr>
              <w:t>4,263,463</w:t>
            </w:r>
          </w:p>
        </w:tc>
        <w:tc>
          <w:tcPr>
            <w:tcW w:w="929" w:type="dxa"/>
            <w:vAlign w:val="center"/>
          </w:tcPr>
          <w:p w:rsidR="001D1172" w:rsidRDefault="001D1172" w:rsidP="001D1172">
            <w:pPr>
              <w:jc w:val="right"/>
              <w:rPr>
                <w:color w:val="000000"/>
                <w:sz w:val="16"/>
                <w:szCs w:val="16"/>
              </w:rPr>
            </w:pPr>
            <w:r>
              <w:rPr>
                <w:color w:val="000000"/>
                <w:sz w:val="16"/>
                <w:szCs w:val="16"/>
              </w:rPr>
              <w:t>4,435,688</w:t>
            </w:r>
          </w:p>
        </w:tc>
        <w:tc>
          <w:tcPr>
            <w:tcW w:w="910" w:type="dxa"/>
            <w:vAlign w:val="center"/>
          </w:tcPr>
          <w:p w:rsidR="001D1172" w:rsidRDefault="001D1172" w:rsidP="001D1172">
            <w:pPr>
              <w:jc w:val="right"/>
              <w:rPr>
                <w:color w:val="000000"/>
                <w:sz w:val="16"/>
                <w:szCs w:val="16"/>
              </w:rPr>
            </w:pPr>
            <w:r>
              <w:rPr>
                <w:color w:val="000000"/>
                <w:sz w:val="16"/>
                <w:szCs w:val="16"/>
              </w:rPr>
              <w:t>138,374</w:t>
            </w:r>
          </w:p>
        </w:tc>
      </w:tr>
      <w:tr w:rsidR="00515311" w:rsidRPr="006D5F74" w:rsidTr="00596843">
        <w:trPr>
          <w:trHeight w:hRule="exact" w:val="87"/>
          <w:jc w:val="center"/>
        </w:trPr>
        <w:tc>
          <w:tcPr>
            <w:tcW w:w="930" w:type="dxa"/>
            <w:tcBorders>
              <w:bottom w:val="single" w:sz="12" w:space="0" w:color="000000"/>
            </w:tcBorders>
          </w:tcPr>
          <w:p w:rsidR="00515311" w:rsidRPr="006D5F74" w:rsidRDefault="00515311" w:rsidP="00515311">
            <w:pPr>
              <w:jc w:val="right"/>
              <w:rPr>
                <w:sz w:val="16"/>
              </w:rPr>
            </w:pPr>
          </w:p>
        </w:tc>
        <w:tc>
          <w:tcPr>
            <w:tcW w:w="810"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12"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77" w:type="dxa"/>
            <w:tcBorders>
              <w:bottom w:val="single" w:sz="12" w:space="0" w:color="000000"/>
            </w:tcBorders>
          </w:tcPr>
          <w:p w:rsidR="00515311" w:rsidRPr="006D5F74" w:rsidRDefault="00515311" w:rsidP="00515311">
            <w:pPr>
              <w:jc w:val="right"/>
              <w:rPr>
                <w:sz w:val="16"/>
              </w:rPr>
            </w:pPr>
          </w:p>
        </w:tc>
        <w:tc>
          <w:tcPr>
            <w:tcW w:w="1066" w:type="dxa"/>
            <w:tcBorders>
              <w:bottom w:val="single" w:sz="12" w:space="0" w:color="000000"/>
            </w:tcBorders>
          </w:tcPr>
          <w:p w:rsidR="00515311" w:rsidRPr="006D5F74" w:rsidRDefault="00515311" w:rsidP="00515311">
            <w:pPr>
              <w:jc w:val="right"/>
              <w:rPr>
                <w:sz w:val="16"/>
              </w:rPr>
            </w:pPr>
          </w:p>
        </w:tc>
        <w:tc>
          <w:tcPr>
            <w:tcW w:w="929" w:type="dxa"/>
            <w:tcBorders>
              <w:bottom w:val="single" w:sz="12" w:space="0" w:color="000000"/>
            </w:tcBorders>
          </w:tcPr>
          <w:p w:rsidR="00515311" w:rsidRPr="006D5F74" w:rsidRDefault="00515311" w:rsidP="00515311">
            <w:pPr>
              <w:jc w:val="right"/>
              <w:rPr>
                <w:sz w:val="16"/>
              </w:rPr>
            </w:pPr>
          </w:p>
        </w:tc>
        <w:tc>
          <w:tcPr>
            <w:tcW w:w="910" w:type="dxa"/>
            <w:tcBorders>
              <w:bottom w:val="single" w:sz="12" w:space="0" w:color="000000"/>
            </w:tcBorders>
          </w:tcPr>
          <w:p w:rsidR="00515311" w:rsidRPr="006D5F74" w:rsidRDefault="00515311" w:rsidP="00515311">
            <w:pPr>
              <w:jc w:val="right"/>
              <w:rPr>
                <w:sz w:val="16"/>
              </w:rPr>
            </w:pPr>
          </w:p>
        </w:tc>
      </w:tr>
      <w:tr w:rsidR="00515311" w:rsidRPr="006D5F74" w:rsidTr="00527252">
        <w:trPr>
          <w:trHeight w:hRule="exact" w:val="201"/>
          <w:jc w:val="center"/>
        </w:trPr>
        <w:tc>
          <w:tcPr>
            <w:tcW w:w="8310" w:type="dxa"/>
            <w:gridSpan w:val="9"/>
            <w:tcBorders>
              <w:top w:val="single" w:sz="12" w:space="0" w:color="000000"/>
            </w:tcBorders>
            <w:vAlign w:val="center"/>
          </w:tcPr>
          <w:p w:rsidR="00515311" w:rsidRPr="006D5F74" w:rsidRDefault="00515311" w:rsidP="00515311">
            <w:pPr>
              <w:jc w:val="right"/>
              <w:rPr>
                <w:sz w:val="13"/>
                <w:szCs w:val="13"/>
              </w:rPr>
            </w:pPr>
            <w:r w:rsidRPr="00527252">
              <w:rPr>
                <w:sz w:val="14"/>
                <w:szCs w:val="14"/>
              </w:rPr>
              <w:t>Source: Statistics &amp; Data Warehouse Department SBP</w:t>
            </w:r>
          </w:p>
        </w:tc>
      </w:tr>
      <w:tr w:rsidR="00515311" w:rsidRPr="006D5F74" w:rsidTr="00527252">
        <w:trPr>
          <w:trHeight w:hRule="exact" w:val="201"/>
          <w:jc w:val="center"/>
        </w:trPr>
        <w:tc>
          <w:tcPr>
            <w:tcW w:w="8310" w:type="dxa"/>
            <w:gridSpan w:val="9"/>
            <w:vAlign w:val="center"/>
          </w:tcPr>
          <w:p w:rsidR="00515311" w:rsidRPr="006D5F74" w:rsidRDefault="00515311" w:rsidP="00515311">
            <w:pPr>
              <w:rPr>
                <w:sz w:val="13"/>
                <w:szCs w:val="13"/>
              </w:rPr>
            </w:pPr>
            <w:r w:rsidRPr="006D5F74">
              <w:rPr>
                <w:sz w:val="13"/>
                <w:szCs w:val="13"/>
              </w:rPr>
              <w:t>1. Total Debt does not include loans guaranteed by the Federal Government.</w:t>
            </w:r>
          </w:p>
        </w:tc>
      </w:tr>
      <w:tr w:rsidR="00515311" w:rsidRPr="006D5F74" w:rsidTr="00ED413B">
        <w:trPr>
          <w:trHeight w:hRule="exact" w:val="453"/>
          <w:jc w:val="center"/>
        </w:trPr>
        <w:tc>
          <w:tcPr>
            <w:tcW w:w="8310" w:type="dxa"/>
            <w:gridSpan w:val="9"/>
            <w:vAlign w:val="center"/>
          </w:tcPr>
          <w:p w:rsidR="00515311" w:rsidRPr="006D5F74" w:rsidRDefault="00515311" w:rsidP="00515311">
            <w:pPr>
              <w:ind w:left="180" w:hanging="180"/>
              <w:rPr>
                <w:sz w:val="13"/>
                <w:szCs w:val="13"/>
              </w:rPr>
            </w:pPr>
            <w:r w:rsidRPr="006D5F74">
              <w:rPr>
                <w:sz w:val="13"/>
                <w:szCs w:val="13"/>
              </w:rPr>
              <w:t>2. PSEs and private sector’s domestic &amp; exter</w:t>
            </w:r>
            <w:r>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AB3480" w:rsidRPr="006D5F74" w:rsidTr="009C351B">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AB3480" w:rsidRPr="006D5F74" w:rsidRDefault="00AB3480" w:rsidP="00AB3480">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AB3480" w:rsidRPr="006D5F74" w:rsidRDefault="00AB3480" w:rsidP="00AB3480">
            <w:pPr>
              <w:jc w:val="right"/>
              <w:rPr>
                <w:b/>
                <w:bCs/>
                <w:sz w:val="15"/>
                <w:szCs w:val="15"/>
              </w:rPr>
            </w:pPr>
            <w:r>
              <w:rPr>
                <w:b/>
                <w:bCs/>
                <w:sz w:val="15"/>
                <w:szCs w:val="15"/>
              </w:rPr>
              <w:t>Jun</w:t>
            </w:r>
            <w:r w:rsidRPr="006D5F74">
              <w:rPr>
                <w:b/>
                <w:bCs/>
                <w:sz w:val="15"/>
                <w:szCs w:val="15"/>
              </w:rPr>
              <w:t>-1</w:t>
            </w:r>
            <w:r>
              <w:rPr>
                <w:b/>
                <w:bCs/>
                <w:sz w:val="15"/>
                <w:szCs w:val="15"/>
              </w:rPr>
              <w:t>8</w:t>
            </w:r>
          </w:p>
        </w:tc>
        <w:tc>
          <w:tcPr>
            <w:tcW w:w="897" w:type="dxa"/>
            <w:tcBorders>
              <w:top w:val="nil"/>
              <w:left w:val="nil"/>
              <w:bottom w:val="single" w:sz="8" w:space="0" w:color="000000"/>
            </w:tcBorders>
            <w:shd w:val="clear" w:color="auto" w:fill="auto"/>
            <w:vAlign w:val="center"/>
          </w:tcPr>
          <w:p w:rsidR="00AB3480" w:rsidRPr="006D5F74" w:rsidRDefault="00AB3480" w:rsidP="00AB3480">
            <w:pPr>
              <w:jc w:val="right"/>
              <w:rPr>
                <w:b/>
                <w:bCs/>
                <w:sz w:val="15"/>
                <w:szCs w:val="15"/>
              </w:rPr>
            </w:pPr>
            <w:r>
              <w:rPr>
                <w:b/>
                <w:bCs/>
                <w:sz w:val="15"/>
                <w:szCs w:val="15"/>
              </w:rPr>
              <w:t>Sep</w:t>
            </w:r>
            <w:r w:rsidRPr="006D5F74">
              <w:rPr>
                <w:b/>
                <w:bCs/>
                <w:sz w:val="15"/>
                <w:szCs w:val="15"/>
              </w:rPr>
              <w:t>-1</w:t>
            </w:r>
            <w:r>
              <w:rPr>
                <w:b/>
                <w:bCs/>
                <w:sz w:val="15"/>
                <w:szCs w:val="15"/>
              </w:rPr>
              <w:t>8</w:t>
            </w:r>
          </w:p>
        </w:tc>
        <w:tc>
          <w:tcPr>
            <w:tcW w:w="900" w:type="dxa"/>
            <w:tcBorders>
              <w:top w:val="nil"/>
              <w:left w:val="nil"/>
              <w:bottom w:val="single" w:sz="8" w:space="0" w:color="auto"/>
            </w:tcBorders>
            <w:shd w:val="clear" w:color="auto" w:fill="auto"/>
            <w:vAlign w:val="center"/>
          </w:tcPr>
          <w:p w:rsidR="00AB3480" w:rsidRPr="006D5F74" w:rsidRDefault="00AB3480" w:rsidP="00AB3480">
            <w:pPr>
              <w:jc w:val="right"/>
              <w:rPr>
                <w:b/>
                <w:bCs/>
                <w:sz w:val="15"/>
                <w:szCs w:val="15"/>
              </w:rPr>
            </w:pPr>
            <w:r>
              <w:rPr>
                <w:b/>
                <w:bCs/>
                <w:sz w:val="15"/>
                <w:szCs w:val="15"/>
              </w:rPr>
              <w:t xml:space="preserve">Dec-18 </w:t>
            </w:r>
          </w:p>
        </w:tc>
        <w:tc>
          <w:tcPr>
            <w:tcW w:w="990" w:type="dxa"/>
            <w:tcBorders>
              <w:top w:val="nil"/>
              <w:left w:val="nil"/>
              <w:bottom w:val="single" w:sz="8" w:space="0" w:color="auto"/>
            </w:tcBorders>
            <w:shd w:val="clear" w:color="auto" w:fill="auto"/>
            <w:vAlign w:val="center"/>
          </w:tcPr>
          <w:p w:rsidR="00AB3480" w:rsidRPr="006D5F74" w:rsidRDefault="00AB3480" w:rsidP="00AB3480">
            <w:pPr>
              <w:jc w:val="right"/>
              <w:rPr>
                <w:b/>
                <w:bCs/>
                <w:sz w:val="15"/>
                <w:szCs w:val="15"/>
              </w:rPr>
            </w:pPr>
            <w:r>
              <w:rPr>
                <w:b/>
                <w:bCs/>
                <w:sz w:val="15"/>
                <w:szCs w:val="15"/>
              </w:rPr>
              <w:t>Mar-19</w:t>
            </w:r>
          </w:p>
        </w:tc>
        <w:tc>
          <w:tcPr>
            <w:tcW w:w="990" w:type="dxa"/>
            <w:tcBorders>
              <w:top w:val="nil"/>
              <w:left w:val="nil"/>
              <w:bottom w:val="single" w:sz="8" w:space="0" w:color="auto"/>
            </w:tcBorders>
            <w:shd w:val="clear" w:color="auto" w:fill="auto"/>
            <w:vAlign w:val="center"/>
          </w:tcPr>
          <w:p w:rsidR="00AB3480" w:rsidRPr="006D5F74" w:rsidRDefault="00AB3480" w:rsidP="00AB3480">
            <w:pPr>
              <w:jc w:val="right"/>
              <w:rPr>
                <w:b/>
                <w:bCs/>
                <w:sz w:val="15"/>
                <w:szCs w:val="15"/>
              </w:rPr>
            </w:pPr>
            <w:r>
              <w:rPr>
                <w:b/>
                <w:bCs/>
                <w:sz w:val="15"/>
                <w:szCs w:val="15"/>
              </w:rPr>
              <w:t>Jun-19</w:t>
            </w:r>
          </w:p>
        </w:tc>
        <w:tc>
          <w:tcPr>
            <w:tcW w:w="990" w:type="dxa"/>
            <w:tcBorders>
              <w:top w:val="nil"/>
              <w:left w:val="nil"/>
              <w:bottom w:val="single" w:sz="8" w:space="0" w:color="auto"/>
            </w:tcBorders>
            <w:shd w:val="clear" w:color="auto" w:fill="auto"/>
            <w:vAlign w:val="center"/>
          </w:tcPr>
          <w:p w:rsidR="00AB3480" w:rsidRPr="006D5F74" w:rsidRDefault="00AB3480" w:rsidP="00AB3480">
            <w:pPr>
              <w:jc w:val="right"/>
              <w:rPr>
                <w:b/>
                <w:bCs/>
                <w:sz w:val="15"/>
                <w:szCs w:val="15"/>
              </w:rPr>
            </w:pPr>
            <w:r>
              <w:rPr>
                <w:b/>
                <w:bCs/>
                <w:sz w:val="15"/>
                <w:szCs w:val="15"/>
              </w:rPr>
              <w:t xml:space="preserve">Sep </w:t>
            </w:r>
            <w:r w:rsidRPr="00C84615">
              <w:rPr>
                <w:b/>
                <w:bCs/>
                <w:sz w:val="15"/>
                <w:szCs w:val="15"/>
                <w:vertAlign w:val="superscript"/>
              </w:rPr>
              <w:t>P</w:t>
            </w:r>
          </w:p>
        </w:tc>
      </w:tr>
      <w:tr w:rsidR="00AB3480" w:rsidRPr="006D5F74" w:rsidTr="009C351B">
        <w:trPr>
          <w:trHeight w:val="432"/>
        </w:trPr>
        <w:tc>
          <w:tcPr>
            <w:tcW w:w="3525" w:type="dxa"/>
            <w:tcBorders>
              <w:top w:val="nil"/>
              <w:left w:val="nil"/>
              <w:bottom w:val="nil"/>
              <w:right w:val="nil"/>
            </w:tcBorders>
            <w:shd w:val="clear" w:color="auto" w:fill="auto"/>
            <w:vAlign w:val="bottom"/>
            <w:hideMark/>
          </w:tcPr>
          <w:p w:rsidR="00AB3480" w:rsidRPr="00C84615" w:rsidRDefault="00AB3480" w:rsidP="00AB3480">
            <w:pPr>
              <w:rPr>
                <w:rFonts w:ascii="Calibri" w:hAnsi="Calibri"/>
                <w:sz w:val="22"/>
                <w:szCs w:val="22"/>
                <w:vertAlign w:val="superscript"/>
              </w:rPr>
            </w:pPr>
          </w:p>
        </w:tc>
        <w:tc>
          <w:tcPr>
            <w:tcW w:w="813" w:type="dxa"/>
            <w:tcBorders>
              <w:top w:val="nil"/>
              <w:left w:val="nil"/>
              <w:bottom w:val="nil"/>
              <w:right w:val="nil"/>
            </w:tcBorders>
            <w:shd w:val="clear" w:color="auto" w:fill="auto"/>
            <w:hideMark/>
          </w:tcPr>
          <w:p w:rsidR="00AB3480" w:rsidRPr="006D5F74" w:rsidRDefault="00AB3480" w:rsidP="00AB3480">
            <w:pPr>
              <w:jc w:val="right"/>
              <w:rPr>
                <w:sz w:val="16"/>
                <w:szCs w:val="16"/>
              </w:rPr>
            </w:pPr>
          </w:p>
        </w:tc>
        <w:tc>
          <w:tcPr>
            <w:tcW w:w="897" w:type="dxa"/>
            <w:tcBorders>
              <w:top w:val="nil"/>
              <w:left w:val="nil"/>
              <w:bottom w:val="nil"/>
              <w:right w:val="nil"/>
            </w:tcBorders>
            <w:shd w:val="clear" w:color="auto" w:fill="auto"/>
          </w:tcPr>
          <w:p w:rsidR="00AB3480" w:rsidRPr="006D5F74" w:rsidRDefault="00AB3480" w:rsidP="00AB3480">
            <w:pPr>
              <w:jc w:val="right"/>
              <w:rPr>
                <w:sz w:val="16"/>
                <w:szCs w:val="16"/>
              </w:rPr>
            </w:pPr>
          </w:p>
        </w:tc>
        <w:tc>
          <w:tcPr>
            <w:tcW w:w="900" w:type="dxa"/>
            <w:tcBorders>
              <w:top w:val="single" w:sz="8" w:space="0" w:color="auto"/>
              <w:left w:val="nil"/>
              <w:bottom w:val="nil"/>
              <w:right w:val="nil"/>
            </w:tcBorders>
            <w:shd w:val="clear" w:color="auto" w:fill="auto"/>
          </w:tcPr>
          <w:p w:rsidR="00AB3480" w:rsidRPr="006D5F74" w:rsidRDefault="00AB3480" w:rsidP="00AB3480">
            <w:pPr>
              <w:jc w:val="right"/>
              <w:rPr>
                <w:sz w:val="16"/>
                <w:szCs w:val="16"/>
              </w:rPr>
            </w:pPr>
          </w:p>
        </w:tc>
        <w:tc>
          <w:tcPr>
            <w:tcW w:w="990" w:type="dxa"/>
            <w:tcBorders>
              <w:top w:val="single" w:sz="8" w:space="0" w:color="auto"/>
              <w:left w:val="nil"/>
              <w:bottom w:val="nil"/>
              <w:right w:val="nil"/>
            </w:tcBorders>
            <w:shd w:val="clear" w:color="auto" w:fill="auto"/>
          </w:tcPr>
          <w:p w:rsidR="00AB3480" w:rsidRPr="006D5F74" w:rsidRDefault="00AB3480" w:rsidP="00AB3480">
            <w:pPr>
              <w:jc w:val="right"/>
              <w:rPr>
                <w:sz w:val="16"/>
                <w:szCs w:val="16"/>
              </w:rPr>
            </w:pPr>
          </w:p>
        </w:tc>
        <w:tc>
          <w:tcPr>
            <w:tcW w:w="990" w:type="dxa"/>
            <w:tcBorders>
              <w:top w:val="single" w:sz="8" w:space="0" w:color="auto"/>
              <w:left w:val="nil"/>
              <w:bottom w:val="nil"/>
              <w:right w:val="nil"/>
            </w:tcBorders>
            <w:shd w:val="clear" w:color="auto" w:fill="auto"/>
          </w:tcPr>
          <w:p w:rsidR="00AB3480" w:rsidRPr="006D5F74" w:rsidRDefault="00AB3480" w:rsidP="00AB3480">
            <w:pPr>
              <w:jc w:val="right"/>
              <w:rPr>
                <w:sz w:val="16"/>
                <w:szCs w:val="16"/>
              </w:rPr>
            </w:pPr>
          </w:p>
        </w:tc>
        <w:tc>
          <w:tcPr>
            <w:tcW w:w="990" w:type="dxa"/>
            <w:tcBorders>
              <w:top w:val="single" w:sz="8" w:space="0" w:color="auto"/>
              <w:left w:val="nil"/>
              <w:bottom w:val="nil"/>
              <w:right w:val="nil"/>
            </w:tcBorders>
            <w:shd w:val="clear" w:color="auto" w:fill="auto"/>
          </w:tcPr>
          <w:p w:rsidR="00AB3480" w:rsidRPr="006D5F74" w:rsidRDefault="00AB3480" w:rsidP="00AB3480">
            <w:pPr>
              <w:jc w:val="right"/>
              <w:rPr>
                <w:sz w:val="16"/>
                <w:szCs w:val="16"/>
              </w:rPr>
            </w:pP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AB3480" w:rsidRDefault="00AB3480" w:rsidP="00AB3480">
            <w:pPr>
              <w:jc w:val="right"/>
              <w:rPr>
                <w:b/>
                <w:bCs/>
                <w:sz w:val="14"/>
                <w:szCs w:val="14"/>
              </w:rPr>
            </w:pPr>
            <w:r>
              <w:rPr>
                <w:b/>
                <w:bCs/>
                <w:sz w:val="14"/>
                <w:szCs w:val="14"/>
              </w:rPr>
              <w:t>1,299.5</w:t>
            </w:r>
          </w:p>
        </w:tc>
        <w:tc>
          <w:tcPr>
            <w:tcW w:w="897"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1,359.7</w:t>
            </w:r>
          </w:p>
        </w:tc>
        <w:tc>
          <w:tcPr>
            <w:tcW w:w="90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1,443.2</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1,593.3</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1,621.9</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1,618.8</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AB3480" w:rsidRDefault="00AB3480" w:rsidP="00AB3480">
            <w:pPr>
              <w:jc w:val="right"/>
              <w:rPr>
                <w:i/>
                <w:iCs/>
                <w:sz w:val="14"/>
                <w:szCs w:val="14"/>
              </w:rPr>
            </w:pPr>
            <w:r>
              <w:rPr>
                <w:i/>
                <w:iCs/>
                <w:sz w:val="14"/>
                <w:szCs w:val="14"/>
              </w:rPr>
              <w:t>23.5</w:t>
            </w:r>
          </w:p>
        </w:tc>
        <w:tc>
          <w:tcPr>
            <w:tcW w:w="897"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31.5</w:t>
            </w:r>
          </w:p>
        </w:tc>
        <w:tc>
          <w:tcPr>
            <w:tcW w:w="90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30.2</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33.1</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24.8</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19.1</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AB3480" w:rsidRDefault="00AB3480" w:rsidP="00AB3480">
            <w:pPr>
              <w:jc w:val="right"/>
              <w:rPr>
                <w:i/>
                <w:iCs/>
                <w:sz w:val="14"/>
                <w:szCs w:val="14"/>
              </w:rPr>
            </w:pPr>
            <w:r>
              <w:rPr>
                <w:i/>
                <w:iCs/>
                <w:sz w:val="14"/>
                <w:szCs w:val="14"/>
              </w:rPr>
              <w:t>3.8</w:t>
            </w:r>
          </w:p>
        </w:tc>
        <w:tc>
          <w:tcPr>
            <w:tcW w:w="897"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3.5</w:t>
            </w:r>
          </w:p>
        </w:tc>
        <w:tc>
          <w:tcPr>
            <w:tcW w:w="90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3.7</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4.1</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4.2</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3.7</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AB3480" w:rsidRDefault="00AB3480" w:rsidP="00AB3480">
            <w:pPr>
              <w:jc w:val="right"/>
              <w:rPr>
                <w:i/>
                <w:iCs/>
                <w:sz w:val="14"/>
                <w:szCs w:val="14"/>
              </w:rPr>
            </w:pPr>
          </w:p>
        </w:tc>
        <w:tc>
          <w:tcPr>
            <w:tcW w:w="897" w:type="dxa"/>
            <w:tcBorders>
              <w:top w:val="nil"/>
              <w:left w:val="nil"/>
              <w:bottom w:val="nil"/>
              <w:right w:val="nil"/>
            </w:tcBorders>
            <w:shd w:val="clear" w:color="auto" w:fill="auto"/>
            <w:vAlign w:val="center"/>
          </w:tcPr>
          <w:p w:rsidR="00AB3480" w:rsidRDefault="00AB3480" w:rsidP="00AB3480">
            <w:pPr>
              <w:jc w:val="right"/>
            </w:pPr>
          </w:p>
        </w:tc>
        <w:tc>
          <w:tcPr>
            <w:tcW w:w="900" w:type="dxa"/>
            <w:tcBorders>
              <w:top w:val="nil"/>
              <w:left w:val="nil"/>
              <w:bottom w:val="nil"/>
              <w:right w:val="nil"/>
            </w:tcBorders>
            <w:shd w:val="clear" w:color="auto" w:fill="auto"/>
            <w:vAlign w:val="center"/>
          </w:tcPr>
          <w:p w:rsidR="00AB3480" w:rsidRDefault="00AB3480" w:rsidP="00AB3480">
            <w:pPr>
              <w:jc w:val="right"/>
            </w:pPr>
          </w:p>
        </w:tc>
        <w:tc>
          <w:tcPr>
            <w:tcW w:w="990" w:type="dxa"/>
            <w:tcBorders>
              <w:top w:val="nil"/>
              <w:left w:val="nil"/>
              <w:bottom w:val="nil"/>
              <w:right w:val="nil"/>
            </w:tcBorders>
            <w:shd w:val="clear" w:color="auto" w:fill="auto"/>
            <w:vAlign w:val="center"/>
          </w:tcPr>
          <w:p w:rsidR="00AB3480" w:rsidRDefault="00AB3480" w:rsidP="00AB3480">
            <w:pPr>
              <w:jc w:val="right"/>
            </w:pPr>
          </w:p>
        </w:tc>
        <w:tc>
          <w:tcPr>
            <w:tcW w:w="990" w:type="dxa"/>
            <w:tcBorders>
              <w:top w:val="nil"/>
              <w:left w:val="nil"/>
              <w:bottom w:val="nil"/>
              <w:right w:val="nil"/>
            </w:tcBorders>
            <w:shd w:val="clear" w:color="auto" w:fill="auto"/>
            <w:vAlign w:val="center"/>
          </w:tcPr>
          <w:p w:rsidR="00AB3480" w:rsidRDefault="00AB3480" w:rsidP="00AB3480">
            <w:pPr>
              <w:jc w:val="right"/>
            </w:pP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AB3480" w:rsidRDefault="00AB3480" w:rsidP="00AB3480">
            <w:pPr>
              <w:jc w:val="right"/>
              <w:rPr>
                <w:b/>
                <w:bCs/>
                <w:sz w:val="14"/>
                <w:szCs w:val="14"/>
              </w:rPr>
            </w:pPr>
            <w:r>
              <w:rPr>
                <w:b/>
                <w:bCs/>
                <w:sz w:val="14"/>
                <w:szCs w:val="14"/>
              </w:rPr>
              <w:t>1,068.2</w:t>
            </w:r>
          </w:p>
        </w:tc>
        <w:tc>
          <w:tcPr>
            <w:tcW w:w="897"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1,128.9</w:t>
            </w:r>
          </w:p>
        </w:tc>
        <w:tc>
          <w:tcPr>
            <w:tcW w:w="90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1,213.3</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1,378.4</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1,394.2</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1,392.2</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AB3480" w:rsidRDefault="00AB3480" w:rsidP="00AB3480">
            <w:pPr>
              <w:jc w:val="right"/>
              <w:rPr>
                <w:i/>
                <w:iCs/>
                <w:sz w:val="14"/>
                <w:szCs w:val="14"/>
              </w:rPr>
            </w:pPr>
            <w:r>
              <w:rPr>
                <w:i/>
                <w:iCs/>
                <w:sz w:val="14"/>
                <w:szCs w:val="14"/>
              </w:rPr>
              <w:t>29.8</w:t>
            </w:r>
          </w:p>
        </w:tc>
        <w:tc>
          <w:tcPr>
            <w:tcW w:w="897"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36.4</w:t>
            </w:r>
          </w:p>
        </w:tc>
        <w:tc>
          <w:tcPr>
            <w:tcW w:w="90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36.5</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38.3</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30.5</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23.3</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AB3480" w:rsidRDefault="00AB3480" w:rsidP="00AB3480">
            <w:pPr>
              <w:jc w:val="right"/>
              <w:rPr>
                <w:i/>
                <w:iCs/>
                <w:sz w:val="14"/>
                <w:szCs w:val="14"/>
              </w:rPr>
            </w:pPr>
            <w:r>
              <w:rPr>
                <w:i/>
                <w:iCs/>
                <w:sz w:val="14"/>
                <w:szCs w:val="14"/>
              </w:rPr>
              <w:t>3.1</w:t>
            </w:r>
          </w:p>
        </w:tc>
        <w:tc>
          <w:tcPr>
            <w:tcW w:w="897"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2.9</w:t>
            </w:r>
          </w:p>
        </w:tc>
        <w:tc>
          <w:tcPr>
            <w:tcW w:w="90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3.6</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3.6</w:t>
            </w:r>
          </w:p>
        </w:tc>
        <w:tc>
          <w:tcPr>
            <w:tcW w:w="990" w:type="dxa"/>
            <w:tcBorders>
              <w:top w:val="nil"/>
              <w:left w:val="nil"/>
              <w:bottom w:val="nil"/>
              <w:right w:val="nil"/>
            </w:tcBorders>
            <w:shd w:val="clear" w:color="auto" w:fill="auto"/>
            <w:vAlign w:val="center"/>
          </w:tcPr>
          <w:p w:rsidR="00AB3480" w:rsidRDefault="00AB3480" w:rsidP="00AB3480">
            <w:pPr>
              <w:jc w:val="right"/>
              <w:rPr>
                <w:i/>
                <w:iCs/>
                <w:sz w:val="14"/>
                <w:szCs w:val="14"/>
              </w:rPr>
            </w:pPr>
            <w:r>
              <w:rPr>
                <w:i/>
                <w:iCs/>
                <w:sz w:val="14"/>
                <w:szCs w:val="14"/>
              </w:rPr>
              <w:t>3.2</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AB3480" w:rsidRDefault="00AB3480" w:rsidP="00AB3480">
            <w:pPr>
              <w:jc w:val="right"/>
              <w:rPr>
                <w:sz w:val="14"/>
                <w:szCs w:val="14"/>
              </w:rPr>
            </w:pPr>
            <w:r>
              <w:rPr>
                <w:sz w:val="14"/>
                <w:szCs w:val="14"/>
              </w:rPr>
              <w:t>131.2</w:t>
            </w:r>
          </w:p>
        </w:tc>
        <w:tc>
          <w:tcPr>
            <w:tcW w:w="897"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131.7</w:t>
            </w:r>
          </w:p>
        </w:tc>
        <w:tc>
          <w:tcPr>
            <w:tcW w:w="90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130.0</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88.0</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86.4</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108.4</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AB3480" w:rsidRDefault="00AB3480" w:rsidP="00AB3480">
            <w:pPr>
              <w:jc w:val="right"/>
              <w:rPr>
                <w:sz w:val="14"/>
                <w:szCs w:val="14"/>
              </w:rPr>
            </w:pPr>
            <w:r>
              <w:rPr>
                <w:sz w:val="14"/>
                <w:szCs w:val="14"/>
              </w:rPr>
              <w:t>4.3</w:t>
            </w:r>
          </w:p>
        </w:tc>
        <w:tc>
          <w:tcPr>
            <w:tcW w:w="897"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4.7</w:t>
            </w:r>
          </w:p>
        </w:tc>
        <w:tc>
          <w:tcPr>
            <w:tcW w:w="90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4.9</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5.5</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6.3</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6.6</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AB3480" w:rsidRDefault="00AB3480" w:rsidP="00AB3480">
            <w:pPr>
              <w:jc w:val="right"/>
              <w:rPr>
                <w:sz w:val="14"/>
                <w:szCs w:val="14"/>
              </w:rPr>
            </w:pPr>
            <w:r>
              <w:rPr>
                <w:sz w:val="14"/>
                <w:szCs w:val="14"/>
              </w:rPr>
              <w:t>146.0</w:t>
            </w:r>
          </w:p>
        </w:tc>
        <w:tc>
          <w:tcPr>
            <w:tcW w:w="897"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145.0</w:t>
            </w:r>
          </w:p>
        </w:tc>
        <w:tc>
          <w:tcPr>
            <w:tcW w:w="90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149.0</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156.9</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149.8</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151.1</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AB3480" w:rsidRDefault="00AB3480" w:rsidP="00AB3480">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43.2</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AB3480" w:rsidRDefault="00AB3480" w:rsidP="00AB3480">
            <w:pPr>
              <w:jc w:val="right"/>
              <w:rPr>
                <w:sz w:val="14"/>
                <w:szCs w:val="14"/>
              </w:rPr>
            </w:pPr>
            <w:r>
              <w:rPr>
                <w:sz w:val="14"/>
                <w:szCs w:val="14"/>
              </w:rPr>
              <w:t>743.4</w:t>
            </w:r>
          </w:p>
        </w:tc>
        <w:tc>
          <w:tcPr>
            <w:tcW w:w="897"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804.4</w:t>
            </w:r>
          </w:p>
        </w:tc>
        <w:tc>
          <w:tcPr>
            <w:tcW w:w="90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886.2</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1,084.8</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1,108.5</w:t>
            </w: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r>
              <w:rPr>
                <w:sz w:val="14"/>
                <w:szCs w:val="14"/>
              </w:rPr>
              <w:t>1,082.9</w:t>
            </w: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AB3480" w:rsidRDefault="00AB3480" w:rsidP="00AB3480">
            <w:pPr>
              <w:jc w:val="right"/>
              <w:rPr>
                <w:sz w:val="14"/>
                <w:szCs w:val="14"/>
              </w:rPr>
            </w:pPr>
          </w:p>
        </w:tc>
        <w:tc>
          <w:tcPr>
            <w:tcW w:w="897" w:type="dxa"/>
            <w:tcBorders>
              <w:top w:val="nil"/>
              <w:left w:val="nil"/>
              <w:bottom w:val="nil"/>
              <w:right w:val="nil"/>
            </w:tcBorders>
            <w:shd w:val="clear" w:color="auto" w:fill="auto"/>
            <w:vAlign w:val="center"/>
          </w:tcPr>
          <w:p w:rsidR="00AB3480" w:rsidRDefault="00AB3480" w:rsidP="00AB3480">
            <w:pPr>
              <w:jc w:val="right"/>
            </w:pPr>
          </w:p>
        </w:tc>
        <w:tc>
          <w:tcPr>
            <w:tcW w:w="900" w:type="dxa"/>
            <w:tcBorders>
              <w:top w:val="nil"/>
              <w:left w:val="nil"/>
              <w:bottom w:val="nil"/>
              <w:right w:val="nil"/>
            </w:tcBorders>
            <w:shd w:val="clear" w:color="auto" w:fill="auto"/>
            <w:vAlign w:val="center"/>
          </w:tcPr>
          <w:p w:rsidR="00AB3480" w:rsidRDefault="00AB3480" w:rsidP="00AB3480">
            <w:pPr>
              <w:jc w:val="right"/>
            </w:pPr>
          </w:p>
        </w:tc>
        <w:tc>
          <w:tcPr>
            <w:tcW w:w="990" w:type="dxa"/>
            <w:tcBorders>
              <w:top w:val="nil"/>
              <w:left w:val="nil"/>
              <w:bottom w:val="nil"/>
              <w:right w:val="nil"/>
            </w:tcBorders>
            <w:shd w:val="clear" w:color="auto" w:fill="auto"/>
            <w:vAlign w:val="center"/>
          </w:tcPr>
          <w:p w:rsidR="00AB3480" w:rsidRDefault="00AB3480" w:rsidP="00AB3480">
            <w:pPr>
              <w:jc w:val="right"/>
            </w:pPr>
          </w:p>
        </w:tc>
        <w:tc>
          <w:tcPr>
            <w:tcW w:w="990" w:type="dxa"/>
            <w:tcBorders>
              <w:top w:val="nil"/>
              <w:left w:val="nil"/>
              <w:bottom w:val="nil"/>
              <w:right w:val="nil"/>
            </w:tcBorders>
            <w:shd w:val="clear" w:color="auto" w:fill="auto"/>
            <w:vAlign w:val="center"/>
          </w:tcPr>
          <w:p w:rsidR="00AB3480" w:rsidRDefault="00AB3480" w:rsidP="00AB3480">
            <w:pPr>
              <w:jc w:val="right"/>
            </w:pPr>
          </w:p>
        </w:tc>
        <w:tc>
          <w:tcPr>
            <w:tcW w:w="990" w:type="dxa"/>
            <w:tcBorders>
              <w:top w:val="nil"/>
              <w:left w:val="nil"/>
              <w:bottom w:val="nil"/>
              <w:right w:val="nil"/>
            </w:tcBorders>
            <w:shd w:val="clear" w:color="auto" w:fill="auto"/>
            <w:vAlign w:val="center"/>
          </w:tcPr>
          <w:p w:rsidR="00AB3480" w:rsidRDefault="00AB3480" w:rsidP="00AB3480">
            <w:pPr>
              <w:jc w:val="right"/>
              <w:rPr>
                <w:sz w:val="14"/>
                <w:szCs w:val="14"/>
              </w:rPr>
            </w:pP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AB3480" w:rsidRDefault="00AB3480" w:rsidP="00AB3480">
            <w:pPr>
              <w:jc w:val="right"/>
              <w:rPr>
                <w:b/>
                <w:bCs/>
                <w:sz w:val="14"/>
                <w:szCs w:val="14"/>
              </w:rPr>
            </w:pPr>
            <w:r>
              <w:rPr>
                <w:b/>
                <w:bCs/>
                <w:sz w:val="14"/>
                <w:szCs w:val="14"/>
              </w:rPr>
              <w:t>231.3</w:t>
            </w:r>
          </w:p>
        </w:tc>
        <w:tc>
          <w:tcPr>
            <w:tcW w:w="897"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230.8</w:t>
            </w:r>
          </w:p>
        </w:tc>
        <w:tc>
          <w:tcPr>
            <w:tcW w:w="90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229.9</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214.9</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227.7</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4"/>
                <w:szCs w:val="14"/>
              </w:rPr>
            </w:pPr>
            <w:r>
              <w:rPr>
                <w:b/>
                <w:bCs/>
                <w:sz w:val="14"/>
                <w:szCs w:val="14"/>
              </w:rPr>
              <w:t>226.6</w:t>
            </w:r>
          </w:p>
        </w:tc>
      </w:tr>
      <w:tr w:rsidR="00AB3480"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AB3480" w:rsidRPr="006D5F74" w:rsidRDefault="00AB3480" w:rsidP="00AB3480">
            <w:r w:rsidRPr="006D5F74">
              <w:rPr>
                <w:szCs w:val="22"/>
              </w:rPr>
              <w:t> </w:t>
            </w:r>
          </w:p>
        </w:tc>
        <w:tc>
          <w:tcPr>
            <w:tcW w:w="813" w:type="dxa"/>
            <w:tcBorders>
              <w:top w:val="nil"/>
              <w:left w:val="nil"/>
              <w:bottom w:val="single" w:sz="8" w:space="0" w:color="auto"/>
              <w:right w:val="nil"/>
            </w:tcBorders>
            <w:shd w:val="clear" w:color="auto" w:fill="auto"/>
            <w:vAlign w:val="center"/>
            <w:hideMark/>
          </w:tcPr>
          <w:p w:rsidR="00AB3480" w:rsidRDefault="00AB3480" w:rsidP="00AB3480">
            <w:pPr>
              <w:jc w:val="right"/>
              <w:rPr>
                <w:rFonts w:ascii="Arial" w:hAnsi="Arial" w:cs="Arial"/>
              </w:rPr>
            </w:pPr>
          </w:p>
        </w:tc>
        <w:tc>
          <w:tcPr>
            <w:tcW w:w="897" w:type="dxa"/>
            <w:tcBorders>
              <w:top w:val="nil"/>
              <w:left w:val="nil"/>
              <w:bottom w:val="single" w:sz="8" w:space="0" w:color="auto"/>
              <w:right w:val="nil"/>
            </w:tcBorders>
            <w:shd w:val="clear" w:color="auto" w:fill="auto"/>
            <w:vAlign w:val="center"/>
          </w:tcPr>
          <w:p w:rsidR="00AB3480" w:rsidRDefault="00AB3480" w:rsidP="00AB3480">
            <w:pPr>
              <w:jc w:val="right"/>
              <w:rPr>
                <w:rFonts w:ascii="Arial" w:hAnsi="Arial" w:cs="Arial"/>
              </w:rPr>
            </w:pPr>
          </w:p>
        </w:tc>
        <w:tc>
          <w:tcPr>
            <w:tcW w:w="900" w:type="dxa"/>
            <w:tcBorders>
              <w:top w:val="nil"/>
              <w:left w:val="nil"/>
              <w:bottom w:val="single" w:sz="8" w:space="0" w:color="auto"/>
              <w:right w:val="nil"/>
            </w:tcBorders>
            <w:shd w:val="clear" w:color="auto" w:fill="auto"/>
            <w:vAlign w:val="center"/>
          </w:tcPr>
          <w:p w:rsidR="00AB3480" w:rsidRDefault="00AB3480" w:rsidP="00AB3480">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AB3480" w:rsidRDefault="00AB3480" w:rsidP="00AB3480">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AB3480" w:rsidRDefault="00AB3480" w:rsidP="00AB3480">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AB3480" w:rsidRDefault="00AB3480" w:rsidP="00AB3480">
            <w:pPr>
              <w:jc w:val="right"/>
              <w:rPr>
                <w:rFonts w:ascii="Arial" w:hAnsi="Arial" w:cs="Arial"/>
              </w:rPr>
            </w:pPr>
          </w:p>
        </w:tc>
      </w:tr>
      <w:tr w:rsidR="00AB3480" w:rsidRPr="006D5F74" w:rsidTr="009C351B">
        <w:trPr>
          <w:trHeight w:val="432"/>
        </w:trPr>
        <w:tc>
          <w:tcPr>
            <w:tcW w:w="3525" w:type="dxa"/>
            <w:tcBorders>
              <w:top w:val="nil"/>
              <w:left w:val="nil"/>
              <w:bottom w:val="nil"/>
              <w:right w:val="nil"/>
            </w:tcBorders>
            <w:shd w:val="clear" w:color="auto" w:fill="auto"/>
            <w:vAlign w:val="center"/>
            <w:hideMark/>
          </w:tcPr>
          <w:p w:rsidR="00AB3480" w:rsidRPr="006D5F74" w:rsidRDefault="00AB3480" w:rsidP="00AB3480">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AB3480" w:rsidRDefault="00AB3480" w:rsidP="00AB3480">
            <w:pPr>
              <w:jc w:val="right"/>
              <w:rPr>
                <w:b/>
                <w:bCs/>
                <w:sz w:val="15"/>
                <w:szCs w:val="15"/>
              </w:rPr>
            </w:pPr>
            <w:r>
              <w:rPr>
                <w:b/>
                <w:bCs/>
                <w:sz w:val="15"/>
                <w:szCs w:val="15"/>
              </w:rPr>
              <w:t xml:space="preserve">FY18 </w:t>
            </w:r>
            <w:r>
              <w:rPr>
                <w:b/>
                <w:bCs/>
                <w:sz w:val="15"/>
                <w:szCs w:val="15"/>
                <w:vertAlign w:val="superscript"/>
              </w:rPr>
              <w:t>R</w:t>
            </w:r>
          </w:p>
        </w:tc>
        <w:tc>
          <w:tcPr>
            <w:tcW w:w="897" w:type="dxa"/>
            <w:tcBorders>
              <w:top w:val="nil"/>
              <w:left w:val="nil"/>
              <w:bottom w:val="nil"/>
              <w:right w:val="nil"/>
            </w:tcBorders>
            <w:shd w:val="clear" w:color="auto" w:fill="auto"/>
            <w:vAlign w:val="center"/>
          </w:tcPr>
          <w:p w:rsidR="00AB3480" w:rsidRDefault="00AB3480" w:rsidP="00AB3480">
            <w:pPr>
              <w:jc w:val="right"/>
              <w:rPr>
                <w:b/>
                <w:bCs/>
                <w:sz w:val="15"/>
                <w:szCs w:val="15"/>
              </w:rPr>
            </w:pPr>
            <w:r>
              <w:rPr>
                <w:b/>
                <w:bCs/>
                <w:sz w:val="15"/>
                <w:szCs w:val="15"/>
              </w:rPr>
              <w:t>FY19</w:t>
            </w:r>
            <w:r>
              <w:rPr>
                <w:b/>
                <w:bCs/>
                <w:sz w:val="15"/>
                <w:szCs w:val="15"/>
                <w:vertAlign w:val="superscript"/>
              </w:rPr>
              <w:t xml:space="preserve"> P</w:t>
            </w:r>
          </w:p>
        </w:tc>
        <w:tc>
          <w:tcPr>
            <w:tcW w:w="900" w:type="dxa"/>
            <w:tcBorders>
              <w:top w:val="nil"/>
              <w:left w:val="nil"/>
              <w:bottom w:val="nil"/>
              <w:right w:val="nil"/>
            </w:tcBorders>
            <w:shd w:val="clear" w:color="auto" w:fill="auto"/>
            <w:vAlign w:val="center"/>
          </w:tcPr>
          <w:p w:rsidR="00AB3480" w:rsidRDefault="00AB3480" w:rsidP="00AB3480">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tcMar>
              <w:left w:w="43" w:type="dxa"/>
              <w:right w:w="43" w:type="dxa"/>
            </w:tcMar>
            <w:vAlign w:val="center"/>
          </w:tcPr>
          <w:p w:rsidR="00AB3480" w:rsidRDefault="00AB3480" w:rsidP="00AB3480">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vAlign w:val="center"/>
          </w:tcPr>
          <w:p w:rsidR="00AB3480" w:rsidRDefault="00AB3480" w:rsidP="00AB3480">
            <w:pPr>
              <w:jc w:val="right"/>
              <w:rPr>
                <w:b/>
                <w:bCs/>
                <w:sz w:val="15"/>
                <w:szCs w:val="15"/>
              </w:rPr>
            </w:pPr>
            <w:r>
              <w:rPr>
                <w:b/>
                <w:bCs/>
                <w:sz w:val="15"/>
                <w:szCs w:val="15"/>
              </w:rPr>
              <w:t>FY20</w:t>
            </w:r>
            <w:r w:rsidRPr="00AB3480">
              <w:rPr>
                <w:rFonts w:asciiTheme="majorBidi" w:hAnsiTheme="majorBidi" w:cstheme="majorBidi"/>
                <w:b/>
                <w:bCs/>
                <w:sz w:val="15"/>
                <w:szCs w:val="15"/>
                <w:vertAlign w:val="superscript"/>
              </w:rPr>
              <w:t>T</w:t>
            </w:r>
          </w:p>
        </w:tc>
      </w:tr>
      <w:tr w:rsidR="00AB3480"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AB3480" w:rsidRPr="006D5F74" w:rsidRDefault="00AB3480" w:rsidP="00AB3480">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AB3480" w:rsidRDefault="00AB3480" w:rsidP="00AB3480">
            <w:pPr>
              <w:jc w:val="right"/>
              <w:rPr>
                <w:sz w:val="14"/>
                <w:szCs w:val="14"/>
              </w:rPr>
            </w:pPr>
            <w:r>
              <w:rPr>
                <w:sz w:val="14"/>
                <w:szCs w:val="14"/>
              </w:rPr>
              <w:t>34,618.6</w:t>
            </w:r>
          </w:p>
        </w:tc>
        <w:tc>
          <w:tcPr>
            <w:tcW w:w="897" w:type="dxa"/>
            <w:tcBorders>
              <w:top w:val="nil"/>
              <w:left w:val="nil"/>
              <w:bottom w:val="single" w:sz="8" w:space="0" w:color="auto"/>
              <w:right w:val="nil"/>
            </w:tcBorders>
            <w:shd w:val="clear" w:color="auto" w:fill="auto"/>
            <w:vAlign w:val="center"/>
          </w:tcPr>
          <w:p w:rsidR="00AB3480" w:rsidRDefault="00AB3480" w:rsidP="00AB3480">
            <w:pPr>
              <w:jc w:val="right"/>
              <w:rPr>
                <w:sz w:val="14"/>
                <w:szCs w:val="14"/>
              </w:rPr>
            </w:pPr>
            <w:r>
              <w:rPr>
                <w:sz w:val="14"/>
                <w:szCs w:val="14"/>
              </w:rPr>
              <w:t>38,558.8</w:t>
            </w:r>
          </w:p>
        </w:tc>
        <w:tc>
          <w:tcPr>
            <w:tcW w:w="900" w:type="dxa"/>
            <w:tcBorders>
              <w:top w:val="nil"/>
              <w:left w:val="nil"/>
              <w:bottom w:val="single" w:sz="8" w:space="0" w:color="auto"/>
              <w:right w:val="nil"/>
            </w:tcBorders>
            <w:shd w:val="clear" w:color="auto" w:fill="auto"/>
            <w:vAlign w:val="center"/>
          </w:tcPr>
          <w:p w:rsidR="00AB3480" w:rsidRDefault="00AB3480" w:rsidP="00AB3480">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AB3480" w:rsidRDefault="00AB3480" w:rsidP="00AB3480">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AB3480" w:rsidRDefault="00AB3480" w:rsidP="00AB3480">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AB3480" w:rsidRDefault="00AB3480" w:rsidP="00AB3480">
            <w:pPr>
              <w:jc w:val="right"/>
              <w:rPr>
                <w:sz w:val="14"/>
                <w:szCs w:val="14"/>
              </w:rPr>
            </w:pPr>
            <w:r>
              <w:rPr>
                <w:sz w:val="14"/>
                <w:szCs w:val="14"/>
              </w:rPr>
              <w:t>43,585.0</w:t>
            </w:r>
          </w:p>
        </w:tc>
      </w:tr>
      <w:tr w:rsidR="00AB3480"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AB3480" w:rsidRPr="006D5F74" w:rsidRDefault="00AB3480" w:rsidP="00AB3480">
            <w:pPr>
              <w:jc w:val="right"/>
              <w:rPr>
                <w:sz w:val="13"/>
                <w:szCs w:val="13"/>
              </w:rPr>
            </w:pPr>
            <w:r w:rsidRPr="00527252">
              <w:rPr>
                <w:sz w:val="14"/>
                <w:szCs w:val="14"/>
              </w:rPr>
              <w:t>Source: Statistics &amp; Data Warehouse Department SBP</w:t>
            </w:r>
          </w:p>
        </w:tc>
      </w:tr>
      <w:tr w:rsidR="00AB3480" w:rsidRPr="006D5F74" w:rsidTr="00527252">
        <w:trPr>
          <w:trHeight w:hRule="exact" w:val="300"/>
        </w:trPr>
        <w:tc>
          <w:tcPr>
            <w:tcW w:w="9105" w:type="dxa"/>
            <w:gridSpan w:val="7"/>
            <w:tcBorders>
              <w:left w:val="nil"/>
              <w:bottom w:val="nil"/>
              <w:right w:val="nil"/>
            </w:tcBorders>
            <w:shd w:val="clear" w:color="auto" w:fill="auto"/>
            <w:vAlign w:val="center"/>
            <w:hideMark/>
          </w:tcPr>
          <w:p w:rsidR="00AB3480" w:rsidRPr="006D5F74" w:rsidRDefault="00AB3480" w:rsidP="00AB3480">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AB3480" w:rsidRPr="006D5F74" w:rsidTr="00840969">
        <w:trPr>
          <w:trHeight w:val="86"/>
        </w:trPr>
        <w:tc>
          <w:tcPr>
            <w:tcW w:w="9105" w:type="dxa"/>
            <w:gridSpan w:val="7"/>
            <w:tcBorders>
              <w:top w:val="nil"/>
              <w:left w:val="nil"/>
              <w:bottom w:val="nil"/>
              <w:right w:val="nil"/>
            </w:tcBorders>
            <w:shd w:val="clear" w:color="auto" w:fill="auto"/>
            <w:vAlign w:val="center"/>
            <w:hideMark/>
          </w:tcPr>
          <w:p w:rsidR="00AB3480" w:rsidRPr="006D5F74" w:rsidRDefault="00AB3480" w:rsidP="00AB3480">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051334">
        <w:trPr>
          <w:trHeight w:val="273"/>
        </w:trPr>
        <w:tc>
          <w:tcPr>
            <w:tcW w:w="10728" w:type="dxa"/>
            <w:gridSpan w:val="10"/>
            <w:tcBorders>
              <w:bottom w:val="single" w:sz="12" w:space="0" w:color="auto"/>
            </w:tcBorders>
            <w:vAlign w:val="center"/>
          </w:tcPr>
          <w:p w:rsidR="008A6E5D" w:rsidRPr="006D5F74" w:rsidRDefault="008A6E5D" w:rsidP="0027730F">
            <w:pPr>
              <w:jc w:val="right"/>
              <w:rPr>
                <w:sz w:val="16"/>
              </w:rPr>
            </w:pPr>
            <w:bookmarkStart w:id="0" w:name="OLE_LINK2"/>
            <w:r w:rsidRPr="006D5F74">
              <w:rPr>
                <w:sz w:val="16"/>
              </w:rPr>
              <w:t>(Million Rupees)</w:t>
            </w:r>
          </w:p>
        </w:tc>
      </w:tr>
      <w:tr w:rsidR="00BD0B6B" w:rsidRPr="006D5F74" w:rsidTr="00F3165F">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BD0B6B" w:rsidRPr="00D57B9B" w:rsidRDefault="00BD0B6B" w:rsidP="00BD0B6B">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BD0B6B" w:rsidRPr="00D57B9B" w:rsidRDefault="00BD0B6B" w:rsidP="00BD0B6B">
            <w:pPr>
              <w:jc w:val="right"/>
              <w:rPr>
                <w:b/>
                <w:bCs/>
                <w:sz w:val="16"/>
                <w:szCs w:val="16"/>
              </w:rPr>
            </w:pPr>
            <w:r>
              <w:rPr>
                <w:b/>
                <w:bCs/>
                <w:sz w:val="16"/>
                <w:szCs w:val="16"/>
              </w:rPr>
              <w:t>FY18</w:t>
            </w:r>
          </w:p>
        </w:tc>
        <w:tc>
          <w:tcPr>
            <w:tcW w:w="846" w:type="dxa"/>
            <w:vMerge w:val="restart"/>
            <w:tcBorders>
              <w:top w:val="nil"/>
              <w:left w:val="single" w:sz="4" w:space="0" w:color="auto"/>
              <w:right w:val="single" w:sz="4" w:space="0" w:color="auto"/>
            </w:tcBorders>
            <w:tcMar>
              <w:left w:w="43" w:type="dxa"/>
              <w:right w:w="43" w:type="dxa"/>
            </w:tcMar>
            <w:vAlign w:val="center"/>
          </w:tcPr>
          <w:p w:rsidR="00BD0B6B" w:rsidRPr="00D57B9B" w:rsidRDefault="00BD0B6B" w:rsidP="009B1359">
            <w:pPr>
              <w:jc w:val="right"/>
              <w:rPr>
                <w:b/>
                <w:bCs/>
                <w:sz w:val="16"/>
                <w:szCs w:val="16"/>
              </w:rPr>
            </w:pPr>
            <w:r>
              <w:rPr>
                <w:b/>
                <w:bCs/>
                <w:sz w:val="16"/>
                <w:szCs w:val="16"/>
              </w:rPr>
              <w:t>FY19</w:t>
            </w:r>
          </w:p>
        </w:tc>
        <w:tc>
          <w:tcPr>
            <w:tcW w:w="1800" w:type="dxa"/>
            <w:gridSpan w:val="2"/>
            <w:tcBorders>
              <w:top w:val="nil"/>
              <w:left w:val="single" w:sz="4" w:space="0" w:color="auto"/>
              <w:bottom w:val="single" w:sz="4" w:space="0" w:color="auto"/>
            </w:tcBorders>
            <w:tcMar>
              <w:left w:w="43" w:type="dxa"/>
              <w:right w:w="43" w:type="dxa"/>
            </w:tcMar>
            <w:vAlign w:val="center"/>
          </w:tcPr>
          <w:p w:rsidR="00BD0B6B" w:rsidRPr="00D57B9B" w:rsidRDefault="00BD0B6B" w:rsidP="00BD0B6B">
            <w:pPr>
              <w:jc w:val="center"/>
              <w:rPr>
                <w:b/>
                <w:bCs/>
                <w:sz w:val="16"/>
                <w:szCs w:val="16"/>
              </w:rPr>
            </w:pPr>
            <w:r>
              <w:rPr>
                <w:b/>
                <w:bCs/>
                <w:sz w:val="16"/>
                <w:szCs w:val="16"/>
              </w:rPr>
              <w:t>2018</w:t>
            </w:r>
          </w:p>
        </w:tc>
        <w:tc>
          <w:tcPr>
            <w:tcW w:w="4140" w:type="dxa"/>
            <w:gridSpan w:val="5"/>
            <w:tcBorders>
              <w:top w:val="nil"/>
              <w:left w:val="single" w:sz="4" w:space="0" w:color="auto"/>
              <w:bottom w:val="single" w:sz="4" w:space="0" w:color="auto"/>
            </w:tcBorders>
            <w:vAlign w:val="center"/>
          </w:tcPr>
          <w:p w:rsidR="00BD0B6B" w:rsidRPr="00D57B9B" w:rsidRDefault="00BD0B6B" w:rsidP="00BD0B6B">
            <w:pPr>
              <w:jc w:val="center"/>
              <w:rPr>
                <w:b/>
                <w:bCs/>
                <w:sz w:val="16"/>
                <w:szCs w:val="16"/>
              </w:rPr>
            </w:pPr>
            <w:r>
              <w:rPr>
                <w:b/>
                <w:bCs/>
                <w:sz w:val="16"/>
                <w:szCs w:val="16"/>
              </w:rPr>
              <w:t>2019</w:t>
            </w:r>
          </w:p>
        </w:tc>
      </w:tr>
      <w:tr w:rsidR="009204D3" w:rsidRPr="006D5F74" w:rsidTr="00F3165F">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9204D3" w:rsidRPr="008A6E5D" w:rsidRDefault="009204D3" w:rsidP="009204D3">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9204D3" w:rsidRPr="008A6E5D" w:rsidRDefault="009204D3" w:rsidP="009204D3">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9204D3" w:rsidRPr="008A6E5D" w:rsidRDefault="009204D3" w:rsidP="009204D3">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9204D3" w:rsidRPr="00D57B9B" w:rsidRDefault="009204D3" w:rsidP="009204D3">
            <w:pPr>
              <w:jc w:val="right"/>
              <w:rPr>
                <w:b/>
                <w:bCs/>
                <w:sz w:val="14"/>
                <w:szCs w:val="14"/>
              </w:rPr>
            </w:pPr>
            <w:r>
              <w:rPr>
                <w:b/>
                <w:bCs/>
                <w:sz w:val="14"/>
                <w:szCs w:val="14"/>
              </w:rPr>
              <w:t>Oct</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9204D3" w:rsidRPr="00D57B9B" w:rsidRDefault="009204D3" w:rsidP="009204D3">
            <w:pPr>
              <w:jc w:val="right"/>
              <w:rPr>
                <w:b/>
                <w:bCs/>
                <w:sz w:val="14"/>
                <w:szCs w:val="14"/>
              </w:rPr>
            </w:pPr>
            <w:r>
              <w:rPr>
                <w:b/>
                <w:bCs/>
                <w:sz w:val="14"/>
                <w:szCs w:val="14"/>
              </w:rPr>
              <w:t>Nov</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9204D3" w:rsidRPr="00D57B9B" w:rsidRDefault="009204D3" w:rsidP="009204D3">
            <w:pPr>
              <w:jc w:val="right"/>
              <w:rPr>
                <w:b/>
                <w:bCs/>
                <w:sz w:val="14"/>
                <w:szCs w:val="14"/>
              </w:rPr>
            </w:pPr>
            <w:r>
              <w:rPr>
                <w:b/>
                <w:bCs/>
                <w:sz w:val="14"/>
                <w:szCs w:val="14"/>
              </w:rPr>
              <w:t>Jul</w:t>
            </w:r>
          </w:p>
        </w:tc>
        <w:tc>
          <w:tcPr>
            <w:tcW w:w="810" w:type="dxa"/>
            <w:tcBorders>
              <w:top w:val="single" w:sz="4" w:space="0" w:color="auto"/>
              <w:bottom w:val="single" w:sz="12" w:space="0" w:color="000000"/>
            </w:tcBorders>
            <w:shd w:val="clear" w:color="auto" w:fill="auto"/>
            <w:tcMar>
              <w:left w:w="43" w:type="dxa"/>
              <w:right w:w="43" w:type="dxa"/>
            </w:tcMar>
            <w:vAlign w:val="center"/>
          </w:tcPr>
          <w:p w:rsidR="009204D3" w:rsidRPr="00D57B9B" w:rsidRDefault="009204D3" w:rsidP="009204D3">
            <w:pPr>
              <w:jc w:val="right"/>
              <w:rPr>
                <w:b/>
                <w:bCs/>
                <w:sz w:val="14"/>
                <w:szCs w:val="14"/>
              </w:rPr>
            </w:pPr>
            <w:r>
              <w:rPr>
                <w:b/>
                <w:bCs/>
                <w:sz w:val="14"/>
                <w:szCs w:val="14"/>
              </w:rPr>
              <w:t>Aug</w:t>
            </w:r>
          </w:p>
        </w:tc>
        <w:tc>
          <w:tcPr>
            <w:tcW w:w="810" w:type="dxa"/>
            <w:tcBorders>
              <w:top w:val="single" w:sz="4" w:space="0" w:color="auto"/>
              <w:bottom w:val="single" w:sz="12" w:space="0" w:color="000000"/>
            </w:tcBorders>
            <w:shd w:val="clear" w:color="auto" w:fill="auto"/>
            <w:tcMar>
              <w:left w:w="43" w:type="dxa"/>
              <w:right w:w="43" w:type="dxa"/>
            </w:tcMar>
            <w:vAlign w:val="center"/>
          </w:tcPr>
          <w:p w:rsidR="009204D3" w:rsidRPr="00D57B9B" w:rsidRDefault="009204D3" w:rsidP="009204D3">
            <w:pPr>
              <w:jc w:val="right"/>
              <w:rPr>
                <w:b/>
                <w:bCs/>
                <w:sz w:val="14"/>
                <w:szCs w:val="14"/>
              </w:rPr>
            </w:pPr>
            <w:r>
              <w:rPr>
                <w:b/>
                <w:bCs/>
                <w:sz w:val="14"/>
                <w:szCs w:val="14"/>
              </w:rPr>
              <w:t>Sep</w:t>
            </w:r>
          </w:p>
        </w:tc>
        <w:tc>
          <w:tcPr>
            <w:tcW w:w="810" w:type="dxa"/>
            <w:tcBorders>
              <w:top w:val="single" w:sz="4" w:space="0" w:color="auto"/>
              <w:bottom w:val="single" w:sz="12" w:space="0" w:color="000000"/>
            </w:tcBorders>
            <w:tcMar>
              <w:left w:w="43" w:type="dxa"/>
              <w:right w:w="43" w:type="dxa"/>
            </w:tcMar>
            <w:vAlign w:val="center"/>
          </w:tcPr>
          <w:p w:rsidR="009204D3" w:rsidRPr="00D57B9B" w:rsidRDefault="009204D3" w:rsidP="009204D3">
            <w:pPr>
              <w:jc w:val="right"/>
              <w:rPr>
                <w:b/>
                <w:bCs/>
                <w:sz w:val="14"/>
                <w:szCs w:val="14"/>
              </w:rPr>
            </w:pPr>
            <w:r>
              <w:rPr>
                <w:b/>
                <w:bCs/>
                <w:sz w:val="14"/>
                <w:szCs w:val="14"/>
              </w:rPr>
              <w:t>Oct</w:t>
            </w:r>
          </w:p>
        </w:tc>
        <w:tc>
          <w:tcPr>
            <w:tcW w:w="810" w:type="dxa"/>
            <w:tcBorders>
              <w:top w:val="single" w:sz="4" w:space="0" w:color="auto"/>
              <w:bottom w:val="single" w:sz="12" w:space="0" w:color="000000"/>
            </w:tcBorders>
            <w:shd w:val="clear" w:color="auto" w:fill="auto"/>
            <w:tcMar>
              <w:left w:w="43" w:type="dxa"/>
              <w:right w:w="43" w:type="dxa"/>
            </w:tcMar>
            <w:vAlign w:val="center"/>
          </w:tcPr>
          <w:p w:rsidR="009204D3" w:rsidRPr="00D57B9B" w:rsidRDefault="009204D3" w:rsidP="009204D3">
            <w:pPr>
              <w:jc w:val="right"/>
              <w:rPr>
                <w:b/>
                <w:bCs/>
                <w:sz w:val="14"/>
                <w:szCs w:val="14"/>
              </w:rPr>
            </w:pPr>
            <w:r>
              <w:rPr>
                <w:b/>
                <w:bCs/>
                <w:sz w:val="14"/>
                <w:szCs w:val="14"/>
              </w:rPr>
              <w:t>Nov</w:t>
            </w:r>
          </w:p>
        </w:tc>
      </w:tr>
      <w:tr w:rsidR="009204D3"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9204D3" w:rsidRPr="008A6E5D" w:rsidRDefault="009204D3" w:rsidP="009204D3">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9204D3" w:rsidRPr="008A6E5D" w:rsidRDefault="009204D3" w:rsidP="009204D3">
            <w:pPr>
              <w:jc w:val="right"/>
              <w:rPr>
                <w:b/>
                <w:bCs/>
                <w:color w:val="000000"/>
                <w:sz w:val="14"/>
                <w:szCs w:val="14"/>
              </w:rPr>
            </w:pPr>
          </w:p>
        </w:tc>
        <w:tc>
          <w:tcPr>
            <w:tcW w:w="846" w:type="dxa"/>
            <w:tcBorders>
              <w:top w:val="nil"/>
              <w:bottom w:val="nil"/>
              <w:right w:val="nil"/>
            </w:tcBorders>
            <w:tcMar>
              <w:left w:w="43" w:type="dxa"/>
              <w:right w:w="43" w:type="dxa"/>
            </w:tcMar>
            <w:vAlign w:val="center"/>
          </w:tcPr>
          <w:p w:rsidR="009204D3" w:rsidRPr="008A6E5D" w:rsidRDefault="009204D3" w:rsidP="009204D3">
            <w:pPr>
              <w:jc w:val="right"/>
              <w:rPr>
                <w:b/>
                <w:bCs/>
                <w:color w:val="000000"/>
                <w:sz w:val="14"/>
                <w:szCs w:val="14"/>
              </w:rPr>
            </w:pPr>
          </w:p>
        </w:tc>
        <w:tc>
          <w:tcPr>
            <w:tcW w:w="900" w:type="dxa"/>
            <w:tcBorders>
              <w:top w:val="nil"/>
              <w:bottom w:val="nil"/>
              <w:right w:val="nil"/>
            </w:tcBorders>
            <w:tcMar>
              <w:left w:w="43" w:type="dxa"/>
              <w:right w:w="43" w:type="dxa"/>
            </w:tcMar>
            <w:vAlign w:val="center"/>
          </w:tcPr>
          <w:p w:rsidR="009204D3" w:rsidRPr="001D2B6E" w:rsidRDefault="009204D3" w:rsidP="009204D3">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204D3" w:rsidRPr="001D2B6E" w:rsidRDefault="009204D3" w:rsidP="009204D3">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9204D3" w:rsidRPr="008A6E5D" w:rsidRDefault="009204D3" w:rsidP="009204D3">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204D3" w:rsidRPr="008A6E5D" w:rsidRDefault="009204D3" w:rsidP="009204D3">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204D3" w:rsidRPr="008A6E5D" w:rsidRDefault="009204D3" w:rsidP="009204D3">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9204D3" w:rsidRPr="008A6E5D" w:rsidRDefault="009204D3" w:rsidP="009204D3">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204D3" w:rsidRPr="008A6E5D" w:rsidRDefault="009204D3" w:rsidP="009204D3">
            <w:pPr>
              <w:jc w:val="right"/>
              <w:rPr>
                <w:rFonts w:ascii="Calibri" w:hAnsi="Calibri"/>
                <w:sz w:val="14"/>
                <w:szCs w:val="14"/>
              </w:rPr>
            </w:pP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b/>
                <w:bCs/>
                <w:sz w:val="14"/>
                <w:szCs w:val="14"/>
              </w:rPr>
            </w:pPr>
            <w:r w:rsidRPr="008A6E5D">
              <w:rPr>
                <w:b/>
                <w:bCs/>
                <w:sz w:val="14"/>
                <w:szCs w:val="14"/>
              </w:rPr>
              <w:t>A. Accounts (i+ii / 1 to 5 )</w:t>
            </w:r>
          </w:p>
        </w:tc>
        <w:tc>
          <w:tcPr>
            <w:tcW w:w="900" w:type="dxa"/>
            <w:tcBorders>
              <w:top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864,205.5</w:t>
            </w:r>
          </w:p>
        </w:tc>
        <w:tc>
          <w:tcPr>
            <w:tcW w:w="846" w:type="dxa"/>
            <w:tcBorders>
              <w:top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774,981.5</w:t>
            </w:r>
          </w:p>
        </w:tc>
        <w:tc>
          <w:tcPr>
            <w:tcW w:w="900" w:type="dxa"/>
            <w:tcBorders>
              <w:top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836,219.7</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811,877.</w:t>
            </w:r>
            <w:bookmarkStart w:id="1" w:name="_GoBack"/>
            <w:bookmarkEnd w:id="1"/>
            <w:r>
              <w:rPr>
                <w:b/>
                <w:bCs/>
                <w:color w:val="000000"/>
                <w:sz w:val="14"/>
                <w:szCs w:val="14"/>
              </w:rPr>
              <w:t>6</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789,051.2</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789,943.0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811,818.1</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822,184.3</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826,694.3</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691,474.3</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586,606.9</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657,299.9</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632,074.5</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598,764.6</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598,082.3</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619,022.2</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628,171.7</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631,956.7</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172,731.2</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188,374.6</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178,919.7</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179,803.1</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190,286.5</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191,860.7</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192,795.9</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194,012.6</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194,737.6</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38,346.3</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38,180.1</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39,289.8</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39,019.9</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37,263.3</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37,313.0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37,729.3</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37,893.2</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37,884.7</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r w:rsidRPr="008A6E5D">
              <w:rPr>
                <w:sz w:val="14"/>
                <w:szCs w:val="14"/>
              </w:rPr>
              <w:t xml:space="preserve">      2-  Khas Deposit Accounts </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310.4</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310.4</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310.4</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310.4</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r w:rsidRPr="008A6E5D">
              <w:rPr>
                <w:sz w:val="14"/>
                <w:szCs w:val="14"/>
              </w:rPr>
              <w:t xml:space="preserve">      3-  Maha</w:t>
            </w:r>
            <w:r>
              <w:rPr>
                <w:sz w:val="14"/>
                <w:szCs w:val="14"/>
              </w:rPr>
              <w:t>na</w:t>
            </w:r>
            <w:r w:rsidRPr="008A6E5D">
              <w:rPr>
                <w:sz w:val="14"/>
                <w:szCs w:val="14"/>
              </w:rPr>
              <w:t xml:space="preserve"> Amdani Accounts</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1,656.1</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1,582.2</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1,633.2</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1,628.3</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1,575.0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1,491.6</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1,561.0</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1,553.8</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1,765.7</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548,968.3</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416,574.8</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510,607.5</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483,426.4</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426,188.5</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323,682.5</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439,827.8</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445,298.8</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446,483.3</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274,924.5</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318,291.8</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284,355.1</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287,469.0</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323,670.8</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422,887.7</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328,122.5</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332,861.1</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335,978.4</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r>
              <w:rPr>
                <w:sz w:val="14"/>
                <w:szCs w:val="14"/>
              </w:rPr>
              <w:t xml:space="preserve">      </w:t>
            </w:r>
            <w:r w:rsidRPr="00202DCB">
              <w:rPr>
                <w:sz w:val="14"/>
                <w:szCs w:val="14"/>
              </w:rPr>
              <w:t>6- Shuhadas Family Welfare Account</w:t>
            </w:r>
          </w:p>
        </w:tc>
        <w:tc>
          <w:tcPr>
            <w:tcW w:w="900" w:type="dxa"/>
            <w:tcBorders>
              <w:top w:val="nil"/>
              <w:bottom w:val="nil"/>
              <w:right w:val="nil"/>
            </w:tcBorders>
            <w:tcMar>
              <w:left w:w="43" w:type="dxa"/>
              <w:right w:w="43" w:type="dxa"/>
            </w:tcMar>
          </w:tcPr>
          <w:p w:rsidR="009204D3" w:rsidRDefault="009204D3" w:rsidP="009204D3">
            <w:pPr>
              <w:jc w:val="right"/>
            </w:pPr>
            <w:r w:rsidRPr="0014052B">
              <w:rPr>
                <w:color w:val="000000"/>
                <w:sz w:val="14"/>
                <w:szCs w:val="14"/>
              </w:rPr>
              <w:t>…</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42.1</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23.6</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23.6</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43.1</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4,257.7</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4,267.1</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4,267.1</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4,271.9</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p>
        </w:tc>
        <w:tc>
          <w:tcPr>
            <w:tcW w:w="900" w:type="dxa"/>
            <w:tcBorders>
              <w:top w:val="nil"/>
              <w:bottom w:val="nil"/>
              <w:right w:val="nil"/>
            </w:tcBorders>
            <w:tcMar>
              <w:left w:w="43" w:type="dxa"/>
              <w:right w:w="43" w:type="dxa"/>
            </w:tcMar>
            <w:vAlign w:val="center"/>
          </w:tcPr>
          <w:p w:rsidR="009204D3" w:rsidRPr="002A0014" w:rsidRDefault="009204D3" w:rsidP="009204D3">
            <w:pPr>
              <w:jc w:val="right"/>
              <w:rPr>
                <w:color w:val="000000"/>
                <w:sz w:val="14"/>
                <w:szCs w:val="14"/>
              </w:rPr>
            </w:pP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9204D3" w:rsidRDefault="009204D3" w:rsidP="009204D3">
            <w:pPr>
              <w:jc w:val="right"/>
            </w:pP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b/>
                <w:bCs/>
                <w:sz w:val="14"/>
                <w:szCs w:val="14"/>
              </w:rPr>
            </w:pPr>
            <w:r w:rsidRPr="008A6E5D">
              <w:rPr>
                <w:b/>
                <w:bCs/>
                <w:sz w:val="14"/>
                <w:szCs w:val="14"/>
              </w:rPr>
              <w:t>B.  Certificates (i+ii+iii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1,865,349.3</w:t>
            </w:r>
          </w:p>
        </w:tc>
        <w:tc>
          <w:tcPr>
            <w:tcW w:w="846" w:type="dxa"/>
            <w:tcBorders>
              <w:top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2,216,784.7</w:t>
            </w:r>
          </w:p>
        </w:tc>
        <w:tc>
          <w:tcPr>
            <w:tcW w:w="900" w:type="dxa"/>
            <w:tcBorders>
              <w:top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1,910,615.7</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1,920,986.8</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2,245,076.5</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2,245,013.4</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2,317,686.7</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2,408,060.5</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2,425,902.8</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1,749,442.4</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2,096,092.4</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1,798,013.2</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1,809,184.9</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2,122,492.8</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2,128,949.1</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2,200,445.8</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2,279,179.6</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2,296,850.3</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14,725.2</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10,412.2</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13,160.2</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12,745.5</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10,174.1</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9,861.9</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9,959.9</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9,250.0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8,933.8</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101,181.7</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110,280.0</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99,442.3</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99,056.5</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112,409.6</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106,202.3</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107,281.0</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119,630.9</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120,118.7</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r>
              <w:rPr>
                <w:sz w:val="14"/>
                <w:szCs w:val="14"/>
              </w:rPr>
              <w:t xml:space="preserve">     7</w:t>
            </w:r>
            <w:r w:rsidRPr="008A6E5D">
              <w:rPr>
                <w:sz w:val="14"/>
                <w:szCs w:val="14"/>
              </w:rPr>
              <w:t>-  Defence Saving Certificates</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336,245.8</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393,416.8</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335,186.3</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334,935.3</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396,346.4</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396,688.2</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446,884.1</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479,416.2</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482,812.5</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15.7</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r>
              <w:rPr>
                <w:sz w:val="14"/>
                <w:szCs w:val="14"/>
              </w:rPr>
              <w:t xml:space="preserve">     9</w:t>
            </w:r>
            <w:r w:rsidRPr="008A6E5D">
              <w:rPr>
                <w:sz w:val="14"/>
                <w:szCs w:val="14"/>
              </w:rPr>
              <w:t xml:space="preserve">-  Khas Deposit Certificates </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216.5</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216.5</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216.5</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216.5</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216.5</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0.5</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381,874.3</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413,716.9</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384,139.3</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383,162.1</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412,123.4</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395,802.2</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395,375.7</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405,625.5</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405,340.0</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273.1</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273.1</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347,532.6</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489,620.5</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362,593.8</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365,485.4</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500,175.6</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503,856.4</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515,448.7</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551,705.2</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558,465.9</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794,889.5</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914,462.6</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823,022.2</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831,249.8</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930,691.4</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942,731.0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953,902.5</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966,162.9</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973,456.9</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3,830.8</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4,520.1</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4,674.4</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5,135.3</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4,662.1</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4,868.9</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4,979.7</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4,025.2</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3,867.8</w:t>
            </w:r>
          </w:p>
        </w:tc>
      </w:tr>
      <w:tr w:rsidR="009204D3" w:rsidRPr="00A01956"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99.2</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94.9</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130.3</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129.2</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109.3</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97.4</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140.4</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132.7</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651.8</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370.1</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445.8</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362.4</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382.6</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461.2</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462.3</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448.5</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485.8</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802.2</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p>
        </w:tc>
        <w:tc>
          <w:tcPr>
            <w:tcW w:w="900" w:type="dxa"/>
            <w:tcBorders>
              <w:top w:val="nil"/>
              <w:bottom w:val="nil"/>
              <w:right w:val="nil"/>
            </w:tcBorders>
            <w:tcMar>
              <w:left w:w="43" w:type="dxa"/>
              <w:right w:w="43" w:type="dxa"/>
            </w:tcMar>
            <w:vAlign w:val="center"/>
          </w:tcPr>
          <w:p w:rsidR="009204D3" w:rsidRPr="002A0014" w:rsidRDefault="009204D3" w:rsidP="009204D3">
            <w:pPr>
              <w:jc w:val="right"/>
              <w:rPr>
                <w:color w:val="000000"/>
                <w:sz w:val="14"/>
                <w:szCs w:val="14"/>
              </w:rPr>
            </w:pP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9204D3" w:rsidRDefault="009204D3" w:rsidP="009204D3">
            <w:pPr>
              <w:jc w:val="right"/>
            </w:pP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137.0</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137.0</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ind w:firstLineChars="45" w:firstLine="63"/>
              <w:rPr>
                <w:sz w:val="14"/>
                <w:szCs w:val="14"/>
              </w:rPr>
            </w:pPr>
          </w:p>
        </w:tc>
        <w:tc>
          <w:tcPr>
            <w:tcW w:w="900" w:type="dxa"/>
            <w:tcBorders>
              <w:top w:val="nil"/>
              <w:bottom w:val="nil"/>
              <w:right w:val="nil"/>
            </w:tcBorders>
            <w:tcMar>
              <w:left w:w="43" w:type="dxa"/>
              <w:right w:w="43" w:type="dxa"/>
            </w:tcMar>
            <w:vAlign w:val="center"/>
          </w:tcPr>
          <w:p w:rsidR="009204D3" w:rsidRPr="002A0014" w:rsidRDefault="009204D3" w:rsidP="009204D3">
            <w:pPr>
              <w:jc w:val="right"/>
              <w:rPr>
                <w:color w:val="000000"/>
                <w:sz w:val="14"/>
                <w:szCs w:val="14"/>
              </w:rPr>
            </w:pP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9204D3" w:rsidRDefault="009204D3" w:rsidP="009204D3">
            <w:pPr>
              <w:jc w:val="right"/>
            </w:pP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845,791.7</w:t>
            </w:r>
          </w:p>
        </w:tc>
        <w:tc>
          <w:tcPr>
            <w:tcW w:w="846" w:type="dxa"/>
            <w:tcBorders>
              <w:top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886,223.8</w:t>
            </w:r>
          </w:p>
        </w:tc>
        <w:tc>
          <w:tcPr>
            <w:tcW w:w="900" w:type="dxa"/>
            <w:tcBorders>
              <w:top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896,409.1</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909,705.2</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766,123.2</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738,279.4</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725,727.9</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719,487.4</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720,570.4</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ind w:firstLineChars="45" w:firstLine="63"/>
              <w:rPr>
                <w:sz w:val="14"/>
                <w:szCs w:val="14"/>
              </w:rPr>
            </w:pPr>
          </w:p>
        </w:tc>
        <w:tc>
          <w:tcPr>
            <w:tcW w:w="900" w:type="dxa"/>
            <w:tcBorders>
              <w:top w:val="nil"/>
              <w:bottom w:val="nil"/>
              <w:right w:val="nil"/>
            </w:tcBorders>
            <w:tcMar>
              <w:left w:w="43" w:type="dxa"/>
              <w:right w:w="43" w:type="dxa"/>
            </w:tcMar>
            <w:vAlign w:val="center"/>
          </w:tcPr>
          <w:p w:rsidR="009204D3" w:rsidRDefault="009204D3" w:rsidP="009204D3">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9204D3" w:rsidRDefault="009204D3" w:rsidP="009204D3">
            <w:pPr>
              <w:jc w:val="right"/>
              <w:rPr>
                <w:b/>
                <w:bCs/>
                <w:color w:val="000000"/>
                <w:sz w:val="14"/>
                <w:szCs w:val="14"/>
              </w:rPr>
            </w:pPr>
          </w:p>
        </w:tc>
        <w:tc>
          <w:tcPr>
            <w:tcW w:w="900" w:type="dxa"/>
            <w:tcBorders>
              <w:top w:val="nil"/>
              <w:bottom w:val="nil"/>
              <w:right w:val="nil"/>
            </w:tcBorders>
            <w:tcMar>
              <w:left w:w="43" w:type="dxa"/>
              <w:right w:w="43" w:type="dxa"/>
            </w:tcMar>
            <w:vAlign w:val="center"/>
          </w:tcPr>
          <w:p w:rsidR="009204D3" w:rsidRDefault="009204D3" w:rsidP="009204D3">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9204D3" w:rsidRDefault="009204D3" w:rsidP="009204D3">
            <w:pPr>
              <w:jc w:val="right"/>
            </w:pP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p>
        </w:tc>
        <w:tc>
          <w:tcPr>
            <w:tcW w:w="810" w:type="dxa"/>
            <w:tcBorders>
              <w:top w:val="nil"/>
              <w:left w:val="nil"/>
              <w:bottom w:val="nil"/>
              <w:right w:val="nil"/>
            </w:tcBorders>
            <w:tcMar>
              <w:left w:w="43" w:type="dxa"/>
              <w:right w:w="43" w:type="dxa"/>
            </w:tcMar>
            <w:vAlign w:val="center"/>
          </w:tcPr>
          <w:p w:rsidR="009204D3" w:rsidRDefault="009204D3" w:rsidP="009204D3">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9,241.0</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10,188.0</w:t>
            </w:r>
          </w:p>
        </w:tc>
        <w:tc>
          <w:tcPr>
            <w:tcW w:w="900" w:type="dxa"/>
            <w:tcBorders>
              <w:top w:val="nil"/>
              <w:bottom w:val="nil"/>
              <w:right w:val="nil"/>
            </w:tcBorders>
            <w:tcMar>
              <w:left w:w="43" w:type="dxa"/>
              <w:right w:w="43" w:type="dxa"/>
            </w:tcMar>
            <w:vAlign w:val="center"/>
          </w:tcPr>
          <w:p w:rsidR="009204D3" w:rsidRDefault="009204D3" w:rsidP="009204D3">
            <w:pPr>
              <w:jc w:val="right"/>
              <w:rPr>
                <w:rFonts w:ascii="Calibri" w:hAnsi="Calibri"/>
                <w:color w:val="000000"/>
                <w:sz w:val="14"/>
                <w:szCs w:val="14"/>
              </w:rPr>
            </w:pPr>
            <w:r>
              <w:rPr>
                <w:rFonts w:ascii="Calibri" w:hAnsi="Calibri"/>
                <w:color w:val="000000"/>
                <w:sz w:val="14"/>
                <w:szCs w:val="14"/>
              </w:rPr>
              <w:t>9,524.6</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rFonts w:ascii="Calibri" w:hAnsi="Calibri"/>
                <w:color w:val="000000"/>
                <w:sz w:val="14"/>
                <w:szCs w:val="14"/>
              </w:rPr>
            </w:pPr>
            <w:r>
              <w:rPr>
                <w:rFonts w:ascii="Calibri" w:hAnsi="Calibri"/>
                <w:color w:val="000000"/>
                <w:sz w:val="14"/>
                <w:szCs w:val="14"/>
              </w:rPr>
              <w:t>9,548.1</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10,197.2</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10,183.2</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10,212.5</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10,222.6</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10,202.7</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28,011.4</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29,578.5</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28,907.9</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28,933.3</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29,568.0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29,575.0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29,491.9</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29,531.6</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29,516.4</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91,666.6</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103,429.8</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95,379.7</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97,972.1</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103,813.3</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104,642.4</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104,814.2</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105,278.9</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106,324.0</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95,710.0</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108,134.3</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101,383.6</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101,702.3</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108,145.5</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108,923.7</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111,449.8</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111,719.8</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113,442.2</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83,848.3</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102,675.2</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90,381.0</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95,928.9</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102,960.0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105,933.0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105,939.1</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106,033.2</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106,591.8</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154,085.2</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176,739.8</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168,564.6</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168,426.3</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168,796.4</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168,268.2</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168,838.2</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172,068.7</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172,034.4</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146,602.8</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160,698.3</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152,125.2</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156,790.4</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160,409.0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157,435.4</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157,283.6</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157,621.5</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161,627.8</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235,771.9</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193,925.3</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249,288.0</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249,549.3</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81,379.4</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52,464.0</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36,844.0</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26,156.7</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19,976.5</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854.5</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8A6E5D" w:rsidRDefault="009204D3" w:rsidP="009204D3">
            <w:pPr>
              <w:ind w:firstLineChars="45" w:firstLine="63"/>
              <w:rPr>
                <w:sz w:val="14"/>
                <w:szCs w:val="14"/>
              </w:rPr>
            </w:pP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p>
        </w:tc>
        <w:tc>
          <w:tcPr>
            <w:tcW w:w="900" w:type="dxa"/>
            <w:tcBorders>
              <w:top w:val="nil"/>
              <w:bottom w:val="nil"/>
            </w:tcBorders>
            <w:tcMar>
              <w:left w:w="43" w:type="dxa"/>
              <w:right w:w="43" w:type="dxa"/>
            </w:tcMar>
            <w:vAlign w:val="center"/>
          </w:tcPr>
          <w:p w:rsidR="009204D3" w:rsidRDefault="009204D3" w:rsidP="009204D3">
            <w:pPr>
              <w:jc w:val="right"/>
              <w:rPr>
                <w:color w:val="000000"/>
                <w:sz w:val="14"/>
                <w:szCs w:val="14"/>
              </w:rPr>
            </w:pPr>
          </w:p>
        </w:tc>
        <w:tc>
          <w:tcPr>
            <w:tcW w:w="900" w:type="dxa"/>
            <w:tcBorders>
              <w:top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9204D3" w:rsidRDefault="009204D3" w:rsidP="009204D3">
            <w:pPr>
              <w:jc w:val="right"/>
            </w:pP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117D08" w:rsidRDefault="009204D3" w:rsidP="009204D3">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5,244.9</w:t>
            </w:r>
          </w:p>
        </w:tc>
        <w:tc>
          <w:tcPr>
            <w:tcW w:w="846" w:type="dxa"/>
            <w:tcBorders>
              <w:top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7,664.9</w:t>
            </w:r>
          </w:p>
        </w:tc>
        <w:tc>
          <w:tcPr>
            <w:tcW w:w="900" w:type="dxa"/>
            <w:tcBorders>
              <w:top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5,800.1</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5,858.9</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13,258.4</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14,839.7</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15,862.0</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16,933.6</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17,425.0</w:t>
            </w:r>
          </w:p>
        </w:tc>
      </w:tr>
      <w:tr w:rsidR="009204D3" w:rsidRPr="006D5F74" w:rsidTr="009204D3">
        <w:trPr>
          <w:trHeight w:val="230"/>
        </w:trPr>
        <w:tc>
          <w:tcPr>
            <w:tcW w:w="3042" w:type="dxa"/>
            <w:tcBorders>
              <w:top w:val="nil"/>
              <w:bottom w:val="nil"/>
              <w:right w:val="nil"/>
            </w:tcBorders>
            <w:shd w:val="clear" w:color="auto" w:fill="auto"/>
            <w:tcMar>
              <w:left w:w="43" w:type="dxa"/>
              <w:right w:w="43" w:type="dxa"/>
            </w:tcMar>
            <w:vAlign w:val="center"/>
            <w:hideMark/>
          </w:tcPr>
          <w:p w:rsidR="009204D3" w:rsidRPr="00117D08" w:rsidRDefault="009204D3" w:rsidP="009204D3">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5,244.9</w:t>
            </w: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7,664.9</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5,800.1</w:t>
            </w: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5,858.9</w:t>
            </w:r>
          </w:p>
        </w:tc>
        <w:tc>
          <w:tcPr>
            <w:tcW w:w="90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13,258.4</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14,839.7</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15,862.0</w:t>
            </w:r>
          </w:p>
        </w:tc>
        <w:tc>
          <w:tcPr>
            <w:tcW w:w="810" w:type="dxa"/>
            <w:tcBorders>
              <w:top w:val="nil"/>
              <w:left w:val="nil"/>
              <w:bottom w:val="nil"/>
              <w:right w:val="nil"/>
            </w:tcBorders>
            <w:tcMar>
              <w:left w:w="43" w:type="dxa"/>
              <w:right w:w="43" w:type="dxa"/>
            </w:tcMar>
            <w:vAlign w:val="center"/>
          </w:tcPr>
          <w:p w:rsidR="009204D3" w:rsidRDefault="009204D3" w:rsidP="009204D3">
            <w:pPr>
              <w:jc w:val="right"/>
              <w:rPr>
                <w:color w:val="000000"/>
                <w:sz w:val="14"/>
                <w:szCs w:val="14"/>
              </w:rPr>
            </w:pPr>
            <w:r>
              <w:rPr>
                <w:color w:val="000000"/>
                <w:sz w:val="14"/>
                <w:szCs w:val="14"/>
              </w:rPr>
              <w:t>16,933.6</w:t>
            </w:r>
          </w:p>
        </w:tc>
        <w:tc>
          <w:tcPr>
            <w:tcW w:w="81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r>
              <w:rPr>
                <w:color w:val="000000"/>
                <w:sz w:val="14"/>
                <w:szCs w:val="14"/>
              </w:rPr>
              <w:t>17,425.0</w:t>
            </w:r>
          </w:p>
        </w:tc>
      </w:tr>
      <w:tr w:rsidR="009204D3" w:rsidRPr="006D5F74" w:rsidTr="009204D3">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9204D3" w:rsidRPr="008A6E5D" w:rsidRDefault="009204D3" w:rsidP="009204D3">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p>
        </w:tc>
        <w:tc>
          <w:tcPr>
            <w:tcW w:w="846"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p>
        </w:tc>
        <w:tc>
          <w:tcPr>
            <w:tcW w:w="900" w:type="dxa"/>
            <w:tcBorders>
              <w:top w:val="nil"/>
              <w:bottom w:val="nil"/>
              <w:right w:val="nil"/>
            </w:tcBorders>
            <w:tcMar>
              <w:left w:w="43" w:type="dxa"/>
              <w:right w:w="43" w:type="dxa"/>
            </w:tcMar>
            <w:vAlign w:val="center"/>
          </w:tcPr>
          <w:p w:rsidR="009204D3" w:rsidRDefault="009204D3" w:rsidP="009204D3">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9204D3" w:rsidRDefault="009204D3" w:rsidP="009204D3">
            <w:pPr>
              <w:jc w:val="right"/>
            </w:pPr>
          </w:p>
        </w:tc>
        <w:tc>
          <w:tcPr>
            <w:tcW w:w="810" w:type="dxa"/>
            <w:tcBorders>
              <w:top w:val="nil"/>
              <w:left w:val="nil"/>
              <w:bottom w:val="single" w:sz="12" w:space="0" w:color="auto"/>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9204D3" w:rsidRDefault="009204D3" w:rsidP="009204D3">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9204D3" w:rsidRDefault="009204D3" w:rsidP="009204D3">
            <w:pPr>
              <w:jc w:val="right"/>
              <w:rPr>
                <w:color w:val="000000"/>
                <w:sz w:val="14"/>
                <w:szCs w:val="14"/>
              </w:rPr>
            </w:pPr>
          </w:p>
        </w:tc>
      </w:tr>
      <w:tr w:rsidR="009204D3" w:rsidRPr="006D5F74" w:rsidTr="009204D3">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9204D3" w:rsidRPr="008A6E5D" w:rsidRDefault="009204D3" w:rsidP="009204D3">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3,580,728.4</w:t>
            </w:r>
          </w:p>
        </w:tc>
        <w:tc>
          <w:tcPr>
            <w:tcW w:w="846" w:type="dxa"/>
            <w:tcBorders>
              <w:top w:val="single" w:sz="12" w:space="0" w:color="auto"/>
              <w:bottom w:val="single" w:sz="12" w:space="0" w:color="auto"/>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3,885,791.9</w:t>
            </w:r>
          </w:p>
        </w:tc>
        <w:tc>
          <w:tcPr>
            <w:tcW w:w="900" w:type="dxa"/>
            <w:tcBorders>
              <w:top w:val="single" w:sz="12" w:space="0" w:color="auto"/>
              <w:bottom w:val="single" w:sz="12" w:space="0" w:color="auto"/>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3,649,181.6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3,648,565.6</w:t>
            </w:r>
          </w:p>
        </w:tc>
        <w:tc>
          <w:tcPr>
            <w:tcW w:w="900" w:type="dxa"/>
            <w:tcBorders>
              <w:top w:val="nil"/>
              <w:left w:val="nil"/>
              <w:bottom w:val="single" w:sz="12" w:space="0" w:color="auto"/>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3,813,646.3</w:t>
            </w:r>
          </w:p>
        </w:tc>
        <w:tc>
          <w:tcPr>
            <w:tcW w:w="810" w:type="dxa"/>
            <w:tcBorders>
              <w:top w:val="nil"/>
              <w:left w:val="nil"/>
              <w:bottom w:val="single" w:sz="12" w:space="0" w:color="auto"/>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3,788,212.5</w:t>
            </w:r>
          </w:p>
        </w:tc>
        <w:tc>
          <w:tcPr>
            <w:tcW w:w="810" w:type="dxa"/>
            <w:tcBorders>
              <w:top w:val="nil"/>
              <w:left w:val="nil"/>
              <w:bottom w:val="single" w:sz="12" w:space="0" w:color="auto"/>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3,871,231.6</w:t>
            </w:r>
          </w:p>
        </w:tc>
        <w:tc>
          <w:tcPr>
            <w:tcW w:w="810" w:type="dxa"/>
            <w:tcBorders>
              <w:top w:val="nil"/>
              <w:left w:val="nil"/>
              <w:bottom w:val="single" w:sz="12" w:space="0" w:color="auto"/>
              <w:right w:val="nil"/>
            </w:tcBorders>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3,966,802.8</w:t>
            </w:r>
          </w:p>
        </w:tc>
        <w:tc>
          <w:tcPr>
            <w:tcW w:w="810" w:type="dxa"/>
            <w:tcBorders>
              <w:top w:val="nil"/>
              <w:left w:val="nil"/>
              <w:bottom w:val="single" w:sz="12" w:space="0" w:color="auto"/>
              <w:right w:val="nil"/>
            </w:tcBorders>
            <w:shd w:val="clear" w:color="auto" w:fill="auto"/>
            <w:tcMar>
              <w:left w:w="43" w:type="dxa"/>
              <w:right w:w="43" w:type="dxa"/>
            </w:tcMar>
            <w:vAlign w:val="center"/>
          </w:tcPr>
          <w:p w:rsidR="009204D3" w:rsidRDefault="009204D3" w:rsidP="009204D3">
            <w:pPr>
              <w:jc w:val="right"/>
              <w:rPr>
                <w:b/>
                <w:bCs/>
                <w:color w:val="000000"/>
                <w:sz w:val="14"/>
                <w:szCs w:val="14"/>
              </w:rPr>
            </w:pPr>
            <w:r>
              <w:rPr>
                <w:b/>
                <w:bCs/>
                <w:color w:val="000000"/>
                <w:sz w:val="14"/>
                <w:szCs w:val="14"/>
              </w:rPr>
              <w:t>3,990,729.6</w:t>
            </w:r>
          </w:p>
        </w:tc>
      </w:tr>
      <w:tr w:rsidR="009204D3"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9204D3" w:rsidRDefault="009204D3" w:rsidP="009204D3">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9204D3" w:rsidRPr="00B22DA8" w:rsidRDefault="009204D3" w:rsidP="009204D3">
            <w:pPr>
              <w:jc w:val="right"/>
              <w:rPr>
                <w:b/>
                <w:bCs/>
                <w:color w:val="000000"/>
                <w:sz w:val="14"/>
                <w:szCs w:val="14"/>
              </w:rPr>
            </w:pPr>
            <w:r>
              <w:rPr>
                <w:sz w:val="14"/>
              </w:rPr>
              <w:t xml:space="preserve">                                                                                                                                                                                                                           </w:t>
            </w:r>
            <w:r w:rsidRPr="006D5F74">
              <w:rPr>
                <w:sz w:val="14"/>
              </w:rPr>
              <w:t xml:space="preserve">* State Bank of Pakistan                                                                                            </w:t>
            </w:r>
          </w:p>
        </w:tc>
      </w:tr>
      <w:tr w:rsidR="009204D3" w:rsidRPr="006D5F74" w:rsidTr="00725AE1">
        <w:trPr>
          <w:trHeight w:hRule="exact" w:val="216"/>
        </w:trPr>
        <w:tc>
          <w:tcPr>
            <w:tcW w:w="10728" w:type="dxa"/>
            <w:gridSpan w:val="10"/>
            <w:shd w:val="clear" w:color="auto" w:fill="auto"/>
            <w:tcMar>
              <w:left w:w="43" w:type="dxa"/>
              <w:right w:w="43" w:type="dxa"/>
            </w:tcMar>
            <w:vAlign w:val="center"/>
            <w:hideMark/>
          </w:tcPr>
          <w:p w:rsidR="009204D3" w:rsidRPr="00B22DA8" w:rsidRDefault="009204D3" w:rsidP="009204D3">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201" w:rsidRDefault="000A0201" w:rsidP="002E147B">
      <w:r>
        <w:separator/>
      </w:r>
    </w:p>
  </w:endnote>
  <w:endnote w:type="continuationSeparator" w:id="0">
    <w:p w:rsidR="000A0201" w:rsidRDefault="000A0201"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201" w:rsidRDefault="000A0201">
    <w:pPr>
      <w:pStyle w:val="Footer"/>
      <w:jc w:val="center"/>
    </w:pPr>
    <w:r>
      <w:rPr>
        <w:noProof/>
      </w:rPr>
      <w:fldChar w:fldCharType="begin"/>
    </w:r>
    <w:r>
      <w:rPr>
        <w:noProof/>
      </w:rPr>
      <w:instrText xml:space="preserve"> PAGE   \* MERGEFORMAT </w:instrText>
    </w:r>
    <w:r>
      <w:rPr>
        <w:noProof/>
      </w:rPr>
      <w:fldChar w:fldCharType="separate"/>
    </w:r>
    <w:r w:rsidR="009204D3">
      <w:rPr>
        <w:noProof/>
      </w:rPr>
      <w:t>120</w:t>
    </w:r>
    <w:r>
      <w:rPr>
        <w:noProof/>
      </w:rPr>
      <w:fldChar w:fldCharType="end"/>
    </w:r>
  </w:p>
  <w:p w:rsidR="000A0201" w:rsidRDefault="000A0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201" w:rsidRDefault="000A0201" w:rsidP="002E147B">
      <w:r>
        <w:separator/>
      </w:r>
    </w:p>
  </w:footnote>
  <w:footnote w:type="continuationSeparator" w:id="0">
    <w:p w:rsidR="000A0201" w:rsidRDefault="000A0201"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088B"/>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60F6"/>
    <w:rsid w:val="00077FE2"/>
    <w:rsid w:val="000807FE"/>
    <w:rsid w:val="0008388D"/>
    <w:rsid w:val="0008403C"/>
    <w:rsid w:val="00084DF5"/>
    <w:rsid w:val="000850A6"/>
    <w:rsid w:val="000914A5"/>
    <w:rsid w:val="00092236"/>
    <w:rsid w:val="00092AA3"/>
    <w:rsid w:val="00092DA7"/>
    <w:rsid w:val="00093144"/>
    <w:rsid w:val="00093E39"/>
    <w:rsid w:val="000944AF"/>
    <w:rsid w:val="00096167"/>
    <w:rsid w:val="000969FF"/>
    <w:rsid w:val="000A0201"/>
    <w:rsid w:val="000A0AC0"/>
    <w:rsid w:val="000A0C2F"/>
    <w:rsid w:val="000A2DA6"/>
    <w:rsid w:val="000A35F6"/>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3D52"/>
    <w:rsid w:val="001640B9"/>
    <w:rsid w:val="00164324"/>
    <w:rsid w:val="00165FF9"/>
    <w:rsid w:val="00166D3D"/>
    <w:rsid w:val="001700D2"/>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5261"/>
    <w:rsid w:val="001E57B7"/>
    <w:rsid w:val="001E778B"/>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4221"/>
    <w:rsid w:val="00254E88"/>
    <w:rsid w:val="00254FEC"/>
    <w:rsid w:val="00255824"/>
    <w:rsid w:val="002558E5"/>
    <w:rsid w:val="00256E34"/>
    <w:rsid w:val="002613D0"/>
    <w:rsid w:val="00261F91"/>
    <w:rsid w:val="0026311A"/>
    <w:rsid w:val="002638ED"/>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766C"/>
    <w:rsid w:val="002A7726"/>
    <w:rsid w:val="002A79A5"/>
    <w:rsid w:val="002B0CB8"/>
    <w:rsid w:val="002B1429"/>
    <w:rsid w:val="002B1CBC"/>
    <w:rsid w:val="002B2069"/>
    <w:rsid w:val="002B3CBE"/>
    <w:rsid w:val="002B46D0"/>
    <w:rsid w:val="002B510A"/>
    <w:rsid w:val="002B6843"/>
    <w:rsid w:val="002B7591"/>
    <w:rsid w:val="002C0273"/>
    <w:rsid w:val="002C0A41"/>
    <w:rsid w:val="002C130D"/>
    <w:rsid w:val="002C1B71"/>
    <w:rsid w:val="002C3B61"/>
    <w:rsid w:val="002C4747"/>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39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47DAF"/>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5311"/>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1BB"/>
    <w:rsid w:val="00553447"/>
    <w:rsid w:val="00554261"/>
    <w:rsid w:val="00554745"/>
    <w:rsid w:val="00554C78"/>
    <w:rsid w:val="005559EE"/>
    <w:rsid w:val="00555AC7"/>
    <w:rsid w:val="005610DD"/>
    <w:rsid w:val="0056274F"/>
    <w:rsid w:val="00563C03"/>
    <w:rsid w:val="00571D84"/>
    <w:rsid w:val="0057224F"/>
    <w:rsid w:val="005731C6"/>
    <w:rsid w:val="005738FE"/>
    <w:rsid w:val="00574FC5"/>
    <w:rsid w:val="0057503A"/>
    <w:rsid w:val="00576604"/>
    <w:rsid w:val="00577692"/>
    <w:rsid w:val="005812F4"/>
    <w:rsid w:val="00581418"/>
    <w:rsid w:val="0058239E"/>
    <w:rsid w:val="00584FCF"/>
    <w:rsid w:val="005851FD"/>
    <w:rsid w:val="00585C58"/>
    <w:rsid w:val="00585F7E"/>
    <w:rsid w:val="0059128A"/>
    <w:rsid w:val="00591A33"/>
    <w:rsid w:val="00592651"/>
    <w:rsid w:val="00592688"/>
    <w:rsid w:val="00592CCE"/>
    <w:rsid w:val="005932F9"/>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36D8"/>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A4F"/>
    <w:rsid w:val="00685B46"/>
    <w:rsid w:val="00685B83"/>
    <w:rsid w:val="006873B3"/>
    <w:rsid w:val="00687E5C"/>
    <w:rsid w:val="00690CCA"/>
    <w:rsid w:val="00691454"/>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48A"/>
    <w:rsid w:val="006C0565"/>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27B44"/>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58FE"/>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4ED3"/>
    <w:rsid w:val="008656C6"/>
    <w:rsid w:val="00865869"/>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77A"/>
    <w:rsid w:val="008D596C"/>
    <w:rsid w:val="008D6044"/>
    <w:rsid w:val="008D6887"/>
    <w:rsid w:val="008D716E"/>
    <w:rsid w:val="008D7DAB"/>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083F"/>
    <w:rsid w:val="00912673"/>
    <w:rsid w:val="00912DB3"/>
    <w:rsid w:val="009176FB"/>
    <w:rsid w:val="00917E72"/>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0E9F"/>
    <w:rsid w:val="009B1359"/>
    <w:rsid w:val="009B4710"/>
    <w:rsid w:val="009B49D2"/>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4323"/>
    <w:rsid w:val="009E6785"/>
    <w:rsid w:val="009F0F83"/>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2D97"/>
    <w:rsid w:val="00A23613"/>
    <w:rsid w:val="00A24A3C"/>
    <w:rsid w:val="00A26533"/>
    <w:rsid w:val="00A268B5"/>
    <w:rsid w:val="00A2748F"/>
    <w:rsid w:val="00A3124B"/>
    <w:rsid w:val="00A3164F"/>
    <w:rsid w:val="00A32766"/>
    <w:rsid w:val="00A34E48"/>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0293"/>
    <w:rsid w:val="00AB0881"/>
    <w:rsid w:val="00AB11CA"/>
    <w:rsid w:val="00AB20A8"/>
    <w:rsid w:val="00AB3480"/>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4501"/>
    <w:rsid w:val="00B0055F"/>
    <w:rsid w:val="00B02D50"/>
    <w:rsid w:val="00B03681"/>
    <w:rsid w:val="00B03D95"/>
    <w:rsid w:val="00B05365"/>
    <w:rsid w:val="00B071D9"/>
    <w:rsid w:val="00B102B6"/>
    <w:rsid w:val="00B1199D"/>
    <w:rsid w:val="00B11C40"/>
    <w:rsid w:val="00B11DC2"/>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6FBF"/>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24A"/>
    <w:rsid w:val="00CB4916"/>
    <w:rsid w:val="00CB5017"/>
    <w:rsid w:val="00CB5958"/>
    <w:rsid w:val="00CB5EF4"/>
    <w:rsid w:val="00CB6BF4"/>
    <w:rsid w:val="00CC00C3"/>
    <w:rsid w:val="00CC3454"/>
    <w:rsid w:val="00CC4FF2"/>
    <w:rsid w:val="00CC6D4B"/>
    <w:rsid w:val="00CC720E"/>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5B"/>
    <w:rsid w:val="00CF7DAE"/>
    <w:rsid w:val="00D00416"/>
    <w:rsid w:val="00D00437"/>
    <w:rsid w:val="00D00D0C"/>
    <w:rsid w:val="00D013EA"/>
    <w:rsid w:val="00D02152"/>
    <w:rsid w:val="00D02A1C"/>
    <w:rsid w:val="00D035C5"/>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3260"/>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C4E"/>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104"/>
    <w:rsid w:val="00E06815"/>
    <w:rsid w:val="00E100AC"/>
    <w:rsid w:val="00E118EC"/>
    <w:rsid w:val="00E11E6D"/>
    <w:rsid w:val="00E13669"/>
    <w:rsid w:val="00E14E53"/>
    <w:rsid w:val="00E1511D"/>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1AE1"/>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2FE6"/>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18C"/>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7E90"/>
  <w15:docId w15:val="{D585A8B7-345A-4DF3-8F0E-1D965A89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4A772-DF29-4266-A7C0-7F9D81B0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9</Pages>
  <Words>4907</Words>
  <Characters>27976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32818</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229</cp:revision>
  <cp:lastPrinted>2019-10-03T09:13:00Z</cp:lastPrinted>
  <dcterms:created xsi:type="dcterms:W3CDTF">2017-08-23T10:09:00Z</dcterms:created>
  <dcterms:modified xsi:type="dcterms:W3CDTF">2019-12-31T05:28:00Z</dcterms:modified>
</cp:coreProperties>
</file>