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6CD6" w:rsidRDefault="00F46CD6" w:rsidP="0069571C">
      <w:pPr>
        <w:jc w:val="left"/>
        <w:rPr>
          <w:color w:val="auto"/>
        </w:rPr>
      </w:pPr>
      <w:bookmarkStart w:id="0" w:name="_GoBack"/>
      <w:bookmarkEnd w:id="0"/>
    </w:p>
    <w:tbl>
      <w:tblPr>
        <w:tblpPr w:leftFromText="180" w:rightFromText="180" w:vertAnchor="page" w:horzAnchor="margin" w:tblpXSpec="center" w:tblpY="946"/>
        <w:tblW w:w="10638" w:type="dxa"/>
        <w:tblLayout w:type="fixed"/>
        <w:tblLook w:val="04A0" w:firstRow="1" w:lastRow="0" w:firstColumn="1" w:lastColumn="0" w:noHBand="0" w:noVBand="1"/>
      </w:tblPr>
      <w:tblGrid>
        <w:gridCol w:w="3912"/>
        <w:gridCol w:w="696"/>
        <w:gridCol w:w="720"/>
        <w:gridCol w:w="720"/>
        <w:gridCol w:w="810"/>
        <w:gridCol w:w="810"/>
        <w:gridCol w:w="810"/>
        <w:gridCol w:w="720"/>
        <w:gridCol w:w="720"/>
        <w:gridCol w:w="720"/>
      </w:tblGrid>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46CD6" w:rsidP="008C15FE">
            <w:pPr>
              <w:rPr>
                <w:b/>
                <w:bCs/>
                <w:color w:val="auto"/>
                <w:sz w:val="28"/>
                <w:szCs w:val="28"/>
              </w:rPr>
            </w:pPr>
            <w:r>
              <w:rPr>
                <w:b/>
                <w:bCs/>
                <w:color w:val="auto"/>
                <w:sz w:val="28"/>
                <w:szCs w:val="28"/>
              </w:rPr>
              <w:t>2.1</w:t>
            </w:r>
            <w:r w:rsidR="00FA2FBA" w:rsidRPr="00FA2FBA">
              <w:rPr>
                <w:b/>
                <w:bCs/>
                <w:color w:val="auto"/>
                <w:sz w:val="28"/>
                <w:szCs w:val="28"/>
              </w:rPr>
              <w:t xml:space="preserve">  Central Bank Survey </w:t>
            </w:r>
          </w:p>
        </w:tc>
      </w:tr>
      <w:tr w:rsidR="00FA2FBA" w:rsidRPr="00FA2FBA" w:rsidTr="003B4E74">
        <w:trPr>
          <w:trHeight w:val="266"/>
        </w:trPr>
        <w:tc>
          <w:tcPr>
            <w:tcW w:w="10638" w:type="dxa"/>
            <w:gridSpan w:val="10"/>
            <w:tcBorders>
              <w:top w:val="nil"/>
              <w:left w:val="nil"/>
              <w:bottom w:val="nil"/>
              <w:right w:val="nil"/>
            </w:tcBorders>
            <w:shd w:val="clear" w:color="auto" w:fill="auto"/>
            <w:noWrap/>
            <w:vAlign w:val="bottom"/>
            <w:hideMark/>
          </w:tcPr>
          <w:p w:rsidR="00FA2FBA" w:rsidRPr="00FA2FBA" w:rsidRDefault="00FA2FBA" w:rsidP="008C15FE">
            <w:pPr>
              <w:jc w:val="right"/>
              <w:rPr>
                <w:color w:val="auto"/>
                <w:szCs w:val="16"/>
              </w:rPr>
            </w:pPr>
            <w:r w:rsidRPr="00FA2FBA">
              <w:rPr>
                <w:color w:val="auto"/>
                <w:szCs w:val="16"/>
              </w:rPr>
              <w:t>(Million Rupees)</w:t>
            </w:r>
          </w:p>
        </w:tc>
      </w:tr>
      <w:tr w:rsidR="00C24A1C" w:rsidRPr="00FA2FBA" w:rsidTr="002B6352">
        <w:trPr>
          <w:trHeight w:val="266"/>
        </w:trPr>
        <w:tc>
          <w:tcPr>
            <w:tcW w:w="3912" w:type="dxa"/>
            <w:vMerge w:val="restart"/>
            <w:tcBorders>
              <w:top w:val="single" w:sz="12" w:space="0" w:color="auto"/>
              <w:left w:val="nil"/>
              <w:bottom w:val="single" w:sz="12" w:space="0" w:color="000000"/>
              <w:right w:val="single" w:sz="4" w:space="0" w:color="auto"/>
            </w:tcBorders>
            <w:shd w:val="clear" w:color="auto" w:fill="auto"/>
            <w:noWrap/>
            <w:vAlign w:val="center"/>
            <w:hideMark/>
          </w:tcPr>
          <w:p w:rsidR="00C24A1C" w:rsidRPr="00FA2FBA" w:rsidRDefault="00C24A1C" w:rsidP="00CF3B76">
            <w:pPr>
              <w:rPr>
                <w:b/>
                <w:bCs/>
                <w:color w:val="auto"/>
                <w:szCs w:val="16"/>
              </w:rPr>
            </w:pPr>
            <w:r w:rsidRPr="00FA2FBA">
              <w:rPr>
                <w:b/>
                <w:bCs/>
                <w:color w:val="auto"/>
                <w:szCs w:val="16"/>
              </w:rPr>
              <w:t>I T E M S</w:t>
            </w:r>
          </w:p>
        </w:tc>
        <w:tc>
          <w:tcPr>
            <w:tcW w:w="696" w:type="dxa"/>
            <w:vMerge w:val="restart"/>
            <w:tcBorders>
              <w:top w:val="single" w:sz="12" w:space="0" w:color="auto"/>
              <w:left w:val="single" w:sz="4" w:space="0" w:color="auto"/>
              <w:right w:val="single" w:sz="4" w:space="0" w:color="auto"/>
            </w:tcBorders>
            <w:shd w:val="clear" w:color="auto" w:fill="auto"/>
            <w:vAlign w:val="center"/>
            <w:hideMark/>
          </w:tcPr>
          <w:p w:rsidR="00C24A1C" w:rsidRPr="00FA2FBA" w:rsidRDefault="00C24A1C" w:rsidP="00CF3B76">
            <w:pPr>
              <w:rPr>
                <w:b/>
                <w:bCs/>
                <w:color w:val="auto"/>
                <w:szCs w:val="16"/>
              </w:rPr>
            </w:pPr>
            <w:r w:rsidRPr="00B4080E">
              <w:rPr>
                <w:b/>
                <w:bCs/>
                <w:color w:val="auto"/>
                <w:szCs w:val="16"/>
              </w:rPr>
              <w:t>FY17</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CF3B76">
            <w:pPr>
              <w:jc w:val="right"/>
              <w:rPr>
                <w:b/>
                <w:bCs/>
                <w:szCs w:val="16"/>
              </w:rPr>
            </w:pPr>
            <w:r>
              <w:rPr>
                <w:b/>
                <w:bCs/>
                <w:szCs w:val="16"/>
              </w:rPr>
              <w:t>FY18</w:t>
            </w:r>
          </w:p>
        </w:tc>
        <w:tc>
          <w:tcPr>
            <w:tcW w:w="720" w:type="dxa"/>
            <w:vMerge w:val="restart"/>
            <w:tcBorders>
              <w:top w:val="single" w:sz="12" w:space="0" w:color="auto"/>
              <w:left w:val="single" w:sz="4"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1620" w:type="dxa"/>
            <w:gridSpan w:val="2"/>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2019</w:t>
            </w:r>
          </w:p>
        </w:tc>
        <w:tc>
          <w:tcPr>
            <w:tcW w:w="2970" w:type="dxa"/>
            <w:gridSpan w:val="4"/>
            <w:tcBorders>
              <w:top w:val="single" w:sz="12" w:space="0" w:color="auto"/>
              <w:left w:val="single" w:sz="4" w:space="0" w:color="auto"/>
              <w:bottom w:val="single" w:sz="4" w:space="0" w:color="auto"/>
            </w:tcBorders>
            <w:shd w:val="clear" w:color="auto" w:fill="auto"/>
            <w:vAlign w:val="center"/>
          </w:tcPr>
          <w:p w:rsidR="00C24A1C" w:rsidRPr="00FA2FBA" w:rsidRDefault="00C24A1C" w:rsidP="00CF3B76">
            <w:pPr>
              <w:rPr>
                <w:b/>
                <w:bCs/>
                <w:color w:val="auto"/>
                <w:szCs w:val="16"/>
              </w:rPr>
            </w:pPr>
            <w:r>
              <w:rPr>
                <w:b/>
                <w:bCs/>
                <w:color w:val="auto"/>
                <w:szCs w:val="16"/>
              </w:rPr>
              <w:t>2020</w:t>
            </w:r>
          </w:p>
        </w:tc>
      </w:tr>
      <w:tr w:rsidR="00C81E06" w:rsidRPr="00FA2FBA" w:rsidTr="002B6352">
        <w:trPr>
          <w:trHeight w:val="266"/>
        </w:trPr>
        <w:tc>
          <w:tcPr>
            <w:tcW w:w="3912" w:type="dxa"/>
            <w:vMerge/>
            <w:tcBorders>
              <w:top w:val="single" w:sz="12" w:space="0" w:color="auto"/>
              <w:left w:val="nil"/>
              <w:bottom w:val="single" w:sz="12" w:space="0" w:color="000000"/>
              <w:right w:val="single" w:sz="4" w:space="0" w:color="auto"/>
            </w:tcBorders>
            <w:shd w:val="clear" w:color="auto" w:fill="auto"/>
            <w:vAlign w:val="center"/>
            <w:hideMark/>
          </w:tcPr>
          <w:p w:rsidR="00C81E06" w:rsidRPr="00FA2FBA" w:rsidRDefault="00C81E06" w:rsidP="00C81E06">
            <w:pPr>
              <w:jc w:val="left"/>
              <w:rPr>
                <w:b/>
                <w:bCs/>
                <w:color w:val="auto"/>
                <w:szCs w:val="16"/>
              </w:rPr>
            </w:pPr>
          </w:p>
        </w:tc>
        <w:tc>
          <w:tcPr>
            <w:tcW w:w="696"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
        </w:tc>
        <w:tc>
          <w:tcPr>
            <w:tcW w:w="72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012B38" w:rsidRPr="00FA2FBA" w:rsidTr="003B4E74">
        <w:trPr>
          <w:trHeight w:val="312"/>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Net Foreign Assets</w:t>
            </w:r>
          </w:p>
        </w:tc>
        <w:tc>
          <w:tcPr>
            <w:tcW w:w="696" w:type="dxa"/>
            <w:tcBorders>
              <w:top w:val="single" w:sz="12" w:space="0" w:color="auto"/>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1,101,149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330,519</w:t>
            </w:r>
          </w:p>
        </w:tc>
        <w:tc>
          <w:tcPr>
            <w:tcW w:w="720" w:type="dxa"/>
            <w:tcBorders>
              <w:top w:val="single" w:sz="12" w:space="0" w:color="auto"/>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(653,319)</w:t>
            </w:r>
          </w:p>
        </w:tc>
        <w:tc>
          <w:tcPr>
            <w:tcW w:w="810" w:type="dxa"/>
            <w:tcBorders>
              <w:top w:val="single" w:sz="12" w:space="0" w:color="auto"/>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(493,989)</w:t>
            </w:r>
          </w:p>
        </w:tc>
        <w:tc>
          <w:tcPr>
            <w:tcW w:w="810" w:type="dxa"/>
            <w:tcBorders>
              <w:top w:val="single" w:sz="12" w:space="0" w:color="auto"/>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(653,319)</w:t>
            </w: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210,183</w:t>
            </w:r>
          </w:p>
        </w:tc>
        <w:tc>
          <w:tcPr>
            <w:tcW w:w="720" w:type="dxa"/>
            <w:tcBorders>
              <w:top w:val="single" w:sz="12" w:space="0" w:color="auto"/>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412,852</w:t>
            </w:r>
          </w:p>
        </w:tc>
        <w:tc>
          <w:tcPr>
            <w:tcW w:w="720" w:type="dxa"/>
            <w:tcBorders>
              <w:top w:val="single" w:sz="12" w:space="0" w:color="auto"/>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109,865</w:t>
            </w:r>
          </w:p>
        </w:tc>
        <w:tc>
          <w:tcPr>
            <w:tcW w:w="720" w:type="dxa"/>
            <w:tcBorders>
              <w:top w:val="single" w:sz="12" w:space="0" w:color="auto"/>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445,012</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Claims on nonresidents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2,415,139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2,047,605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2,431,558</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2,263,020</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2,431,558</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3,174,204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3,273,500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3,013,865</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3,407,433</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a) Monetary Gold, Coin and Bullion</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270,361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315,611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468,625</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398,130</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468,625</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557,367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566,759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585,912</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617,495</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b) Holdings of SDRs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63,716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59,366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55,564</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50,029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55,564</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35,247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32,925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27,964</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29,537</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c) Foreign currency</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10,319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12,277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78,271</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54,577</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78,271</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92,066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88,333</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82,844</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63,690</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d) Deposits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1,673,291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1,101,890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1,190,376</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1,087,359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1,190,376</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1,841,436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1,952,977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1,676,798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2,036,193</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e) Securities other than shares (Foreign)</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94,091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204,519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165,125</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250,689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165,125</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175,701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174,390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173,124</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178,397</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f) Loans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g)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1,203</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77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3,627</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3,627</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122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1,287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670</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272</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h) Other</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302,158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353,864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469,969</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422,236</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469,969</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472,266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456,829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466,553</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481,849</w:t>
            </w:r>
          </w:p>
        </w:tc>
      </w:tr>
      <w:tr w:rsidR="00012B38" w:rsidRPr="006764F7"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i/>
                <w:iCs/>
                <w:color w:val="auto"/>
                <w:szCs w:val="16"/>
              </w:rPr>
            </w:pPr>
            <w:r w:rsidRPr="00FA2FBA">
              <w:rPr>
                <w:i/>
                <w:iCs/>
                <w:color w:val="auto"/>
                <w:szCs w:val="16"/>
              </w:rPr>
              <w:t>Of which:  Quota-IMF</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i/>
                <w:iCs/>
                <w:sz w:val="14"/>
                <w:szCs w:val="14"/>
              </w:rPr>
            </w:pPr>
            <w:r>
              <w:rPr>
                <w:i/>
                <w:iCs/>
                <w:sz w:val="14"/>
                <w:szCs w:val="14"/>
              </w:rPr>
              <w:t>296,399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i/>
                <w:iCs/>
                <w:sz w:val="14"/>
                <w:szCs w:val="14"/>
              </w:rPr>
            </w:pPr>
            <w:r>
              <w:rPr>
                <w:i/>
                <w:iCs/>
                <w:sz w:val="14"/>
                <w:szCs w:val="14"/>
              </w:rPr>
              <w:t>347,211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i/>
                <w:iCs/>
                <w:sz w:val="14"/>
                <w:szCs w:val="14"/>
              </w:rPr>
            </w:pPr>
            <w:r>
              <w:rPr>
                <w:i/>
                <w:iCs/>
                <w:sz w:val="14"/>
                <w:szCs w:val="14"/>
              </w:rPr>
              <w:t>414,249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i/>
                <w:iCs/>
                <w:sz w:val="14"/>
                <w:szCs w:val="14"/>
              </w:rPr>
            </w:pPr>
            <w:r>
              <w:rPr>
                <w:i/>
                <w:iCs/>
                <w:sz w:val="14"/>
                <w:szCs w:val="14"/>
              </w:rPr>
              <w:t>460,388</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i/>
                <w:iCs/>
                <w:sz w:val="14"/>
                <w:szCs w:val="14"/>
              </w:rPr>
            </w:pPr>
            <w:r>
              <w:rPr>
                <w:i/>
                <w:iCs/>
                <w:sz w:val="14"/>
                <w:szCs w:val="14"/>
              </w:rPr>
              <w:t>461,250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i/>
                <w:iCs/>
                <w:sz w:val="14"/>
                <w:szCs w:val="14"/>
              </w:rPr>
            </w:pPr>
            <w:r>
              <w:rPr>
                <w:i/>
                <w:iCs/>
                <w:sz w:val="14"/>
                <w:szCs w:val="14"/>
              </w:rPr>
              <w:t>445,662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i/>
                <w:iCs/>
                <w:sz w:val="14"/>
                <w:szCs w:val="14"/>
              </w:rPr>
            </w:pPr>
            <w:r>
              <w:rPr>
                <w:i/>
                <w:iCs/>
                <w:sz w:val="14"/>
                <w:szCs w:val="14"/>
              </w:rPr>
              <w:t>455,076</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i/>
                <w:iCs/>
                <w:sz w:val="14"/>
                <w:szCs w:val="14"/>
              </w:rPr>
            </w:pPr>
            <w:r>
              <w:rPr>
                <w:i/>
                <w:iCs/>
                <w:sz w:val="14"/>
                <w:szCs w:val="14"/>
              </w:rPr>
              <w:t>469,863</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less: Liabilities to nonresidents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1,313,990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1,717,086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2,757,009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3,084,877</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2,964,021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2,860,648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2,904,000</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2,962,421</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74,664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86,845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1,005,011</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852,882</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1,005,011</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956,796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921,468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940,528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971,458</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b)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939,436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1,090,675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1,384,929</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1,261,283</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1,384,929</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1,297,454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1,251,600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1,278,040</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1,284,865</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c) Loans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d) Financial derivatives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155,550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370,409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469,398</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439,809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469,398</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484,399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469,902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468,271</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476,723</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e) Other</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144,340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169,156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225,539</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203,036</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225,539</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225,371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217,678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217,161</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229,376</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Claims on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2,047,042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2,147,364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1,500,098</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1,520,136</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1,500,098</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1,756,085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2,113,142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2,426,177</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1,836,994</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Net claims on General Government</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2,329,434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3,591,216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6,668,508</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6,159,980</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6,668,508</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6,192,121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6,028,068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6,365,494</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6,532,931</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Net 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2,424,678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3,650,675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6,816,298</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6,425,290</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6,816,298</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6,668,741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6,463,360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6,746,195</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6,750,828</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Claims on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2,524,167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3,709,002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7,802,574</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7,281,279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7,802,574</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7,801,784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7,866,683</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7,955,033</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7,315,782</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2,521,427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3,668,611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7,762,570</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7,239,552</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7,762,570</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7,759,157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7,824,752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7,913,430</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7,273,703</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2,740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40,391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40,004</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41,728</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40,004</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42,627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41,932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41,603</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42,078</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less: Liabilities to Central Government</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855,989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986,276</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1,133,043</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1,403,324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1,208,838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564,953</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99,489</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58,327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986,276</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855,989</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986,276</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1,133,043</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1,403,324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1,208,838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564,953</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Net claims on Provincial Governments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(59,460)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(265,310)</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(147,790)</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(476,620)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(435,292)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(380,700)</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(217,898)</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Claims on Provincial and Local Governments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3,691</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898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21,688</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a) Securities other than Shares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b) Other claims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49,361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3,691</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296</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3,691</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296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898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21,688</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 xml:space="preserve">less: Liabilities to Provincial and Local </w:t>
            </w:r>
            <w:r>
              <w:rPr>
                <w:b/>
                <w:bCs/>
                <w:color w:val="auto"/>
                <w:szCs w:val="16"/>
              </w:rPr>
              <w:t xml:space="preserve"> g</w:t>
            </w:r>
            <w:r w:rsidRPr="00FA2FBA">
              <w:rPr>
                <w:b/>
                <w:bCs/>
                <w:color w:val="auto"/>
                <w:szCs w:val="16"/>
              </w:rPr>
              <w:t>overnments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265,606</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151,481</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476,915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435,588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381,598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239,586</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a) Deposits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95,244</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108,820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151,481</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265,606</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151,481</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476,915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435,588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381,598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239,586</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b) Other liabilities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Claims on other sectors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24,408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24,495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26,090</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25,781</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26,090</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25,538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25,426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25,629</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25,547</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a) Other 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4,988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4,391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4,359</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3,922</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4,359</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4,345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4,271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4,516</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4,648</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b) Public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57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105</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102</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105</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61</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65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33</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36</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c) Other non-financial corporations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d) Other resident sectors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19,407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20,046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21,626</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21,758</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21,626</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21,132</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21,090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21,079</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20,864</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Monetary base (1+2+3+4)</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4,838,708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5,451,198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6,286,070</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6,533,695</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6,957,256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7,114,115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7,569,059</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7,632,115</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1)  Currency in Circulation</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4,167,136</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4,635,147</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5,412,362</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5,285,026</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6,007,758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6,293,100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6,744,868</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6,458,763</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jc w:val="left"/>
              <w:rPr>
                <w:b/>
                <w:bCs/>
                <w:color w:val="auto"/>
                <w:szCs w:val="16"/>
              </w:rPr>
            </w:pPr>
            <w:r w:rsidRPr="00FA2FBA">
              <w:rPr>
                <w:b/>
                <w:bCs/>
                <w:color w:val="auto"/>
                <w:szCs w:val="16"/>
              </w:rPr>
              <w:t>2)  Liabilities to Other Depository Corporations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b/>
                <w:bCs/>
                <w:sz w:val="14"/>
                <w:szCs w:val="14"/>
              </w:rPr>
            </w:pPr>
            <w:r>
              <w:rPr>
                <w:b/>
                <w:bCs/>
                <w:sz w:val="14"/>
                <w:szCs w:val="14"/>
              </w:rPr>
              <w:t>869,810</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b/>
                <w:bCs/>
                <w:sz w:val="14"/>
                <w:szCs w:val="14"/>
              </w:rPr>
            </w:pPr>
            <w:r>
              <w:rPr>
                <w:b/>
                <w:bCs/>
                <w:sz w:val="14"/>
                <w:szCs w:val="14"/>
              </w:rPr>
              <w:t>1,244,978</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b/>
                <w:bCs/>
                <w:sz w:val="14"/>
                <w:szCs w:val="14"/>
              </w:rPr>
            </w:pPr>
            <w:r>
              <w:rPr>
                <w:b/>
                <w:bCs/>
                <w:sz w:val="14"/>
                <w:szCs w:val="14"/>
              </w:rPr>
              <w:t>945,995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817,590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b/>
                <w:bCs/>
                <w:sz w:val="14"/>
                <w:szCs w:val="14"/>
              </w:rPr>
            </w:pPr>
            <w:r>
              <w:rPr>
                <w:b/>
                <w:bCs/>
                <w:sz w:val="14"/>
                <w:szCs w:val="14"/>
              </w:rPr>
              <w:t>821,096</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b/>
                <w:bCs/>
                <w:sz w:val="14"/>
                <w:szCs w:val="14"/>
              </w:rPr>
            </w:pPr>
            <w:r>
              <w:rPr>
                <w:b/>
                <w:bCs/>
                <w:sz w:val="14"/>
                <w:szCs w:val="14"/>
              </w:rPr>
              <w:t>1,168,496</w:t>
            </w:r>
          </w:p>
        </w:tc>
      </w:tr>
      <w:tr w:rsidR="00012B38" w:rsidRPr="00FA2FBA" w:rsidTr="003B4E74">
        <w:trPr>
          <w:trHeight w:val="266"/>
        </w:trPr>
        <w:tc>
          <w:tcPr>
            <w:tcW w:w="3912" w:type="dxa"/>
            <w:tcBorders>
              <w:top w:val="nil"/>
              <w:left w:val="nil"/>
              <w:bottom w:val="nil"/>
              <w:right w:val="nil"/>
            </w:tcBorders>
            <w:shd w:val="clear" w:color="auto" w:fill="auto"/>
            <w:noWrap/>
            <w:vAlign w:val="center"/>
            <w:hideMark/>
          </w:tcPr>
          <w:p w:rsidR="00012B38" w:rsidRPr="00FA2FBA" w:rsidRDefault="00012B38" w:rsidP="00C81E06">
            <w:pPr>
              <w:ind w:left="342"/>
              <w:jc w:val="left"/>
              <w:rPr>
                <w:color w:val="auto"/>
                <w:szCs w:val="16"/>
              </w:rPr>
            </w:pPr>
            <w:r w:rsidRPr="00FA2FBA">
              <w:rPr>
                <w:color w:val="auto"/>
                <w:szCs w:val="16"/>
              </w:rPr>
              <w:t>Reserve deposits</w:t>
            </w:r>
          </w:p>
        </w:tc>
        <w:tc>
          <w:tcPr>
            <w:tcW w:w="696"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668,128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813,258</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1,244,978</w:t>
            </w:r>
          </w:p>
        </w:tc>
        <w:tc>
          <w:tcPr>
            <w:tcW w:w="810" w:type="dxa"/>
            <w:tcBorders>
              <w:top w:val="nil"/>
              <w:left w:val="nil"/>
              <w:bottom w:val="nil"/>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869,810</w:t>
            </w:r>
          </w:p>
        </w:tc>
        <w:tc>
          <w:tcPr>
            <w:tcW w:w="810" w:type="dxa"/>
            <w:tcBorders>
              <w:top w:val="nil"/>
              <w:left w:val="nil"/>
              <w:bottom w:val="nil"/>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1,244,978</w:t>
            </w:r>
          </w:p>
        </w:tc>
        <w:tc>
          <w:tcPr>
            <w:tcW w:w="810" w:type="dxa"/>
            <w:tcBorders>
              <w:top w:val="nil"/>
              <w:left w:val="nil"/>
              <w:bottom w:val="nil"/>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945,995</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817,590</w:t>
            </w:r>
          </w:p>
        </w:tc>
        <w:tc>
          <w:tcPr>
            <w:tcW w:w="720" w:type="dxa"/>
            <w:tcBorders>
              <w:top w:val="nil"/>
              <w:left w:val="nil"/>
              <w:bottom w:val="nil"/>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821,096</w:t>
            </w:r>
          </w:p>
        </w:tc>
        <w:tc>
          <w:tcPr>
            <w:tcW w:w="720" w:type="dxa"/>
            <w:tcBorders>
              <w:top w:val="nil"/>
              <w:left w:val="nil"/>
              <w:bottom w:val="nil"/>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1,168,496</w:t>
            </w:r>
          </w:p>
        </w:tc>
      </w:tr>
      <w:tr w:rsidR="00012B38" w:rsidRPr="00FA2FBA" w:rsidTr="003B4E74">
        <w:trPr>
          <w:trHeight w:val="266"/>
        </w:trPr>
        <w:tc>
          <w:tcPr>
            <w:tcW w:w="3912" w:type="dxa"/>
            <w:tcBorders>
              <w:top w:val="nil"/>
              <w:left w:val="nil"/>
              <w:bottom w:val="single" w:sz="12" w:space="0" w:color="auto"/>
              <w:right w:val="nil"/>
            </w:tcBorders>
            <w:shd w:val="clear" w:color="auto" w:fill="auto"/>
            <w:noWrap/>
            <w:vAlign w:val="center"/>
            <w:hideMark/>
          </w:tcPr>
          <w:p w:rsidR="00012B38" w:rsidRPr="00FA2FBA" w:rsidRDefault="00012B38" w:rsidP="00C81E06">
            <w:pPr>
              <w:ind w:firstLineChars="200" w:firstLine="320"/>
              <w:jc w:val="left"/>
              <w:rPr>
                <w:color w:val="auto"/>
                <w:szCs w:val="16"/>
              </w:rPr>
            </w:pPr>
            <w:r w:rsidRPr="00FA2FBA">
              <w:rPr>
                <w:color w:val="auto"/>
                <w:szCs w:val="16"/>
              </w:rPr>
              <w:t>Other liabilities</w:t>
            </w:r>
          </w:p>
        </w:tc>
        <w:tc>
          <w:tcPr>
            <w:tcW w:w="696" w:type="dxa"/>
            <w:tcBorders>
              <w:top w:val="nil"/>
              <w:left w:val="nil"/>
              <w:bottom w:val="single" w:sz="12" w:space="0" w:color="auto"/>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012B38" w:rsidRDefault="00012B38" w:rsidP="00C81E06">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tcPr>
          <w:p w:rsidR="00012B38" w:rsidRDefault="00012B38" w:rsidP="00012B38">
            <w:pPr>
              <w:jc w:val="right"/>
              <w:rPr>
                <w:sz w:val="14"/>
                <w:szCs w:val="14"/>
              </w:rPr>
            </w:pPr>
            <w:r>
              <w:rPr>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012B38" w:rsidRDefault="00012B38" w:rsidP="00C81E0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tcMar>
              <w:left w:w="43" w:type="dxa"/>
              <w:right w:w="43" w:type="dxa"/>
            </w:tcMar>
            <w:vAlign w:val="center"/>
          </w:tcPr>
          <w:p w:rsidR="00012B38" w:rsidRDefault="00012B38" w:rsidP="00C81E06">
            <w:pPr>
              <w:jc w:val="right"/>
              <w:rPr>
                <w:sz w:val="14"/>
                <w:szCs w:val="14"/>
              </w:rPr>
            </w:pPr>
            <w:r>
              <w:rPr>
                <w:sz w:val="14"/>
                <w:szCs w:val="14"/>
              </w:rPr>
              <w:t>-</w:t>
            </w:r>
          </w:p>
        </w:tc>
        <w:tc>
          <w:tcPr>
            <w:tcW w:w="720" w:type="dxa"/>
            <w:tcBorders>
              <w:top w:val="nil"/>
              <w:left w:val="nil"/>
              <w:bottom w:val="single" w:sz="12" w:space="0" w:color="auto"/>
              <w:right w:val="nil"/>
            </w:tcBorders>
            <w:shd w:val="clear" w:color="auto" w:fill="auto"/>
            <w:noWrap/>
            <w:tcMar>
              <w:left w:w="43" w:type="dxa"/>
              <w:right w:w="43" w:type="dxa"/>
            </w:tcMar>
            <w:vAlign w:val="center"/>
          </w:tcPr>
          <w:p w:rsidR="00012B38" w:rsidRDefault="00012B38" w:rsidP="00012B38">
            <w:pPr>
              <w:jc w:val="right"/>
              <w:rPr>
                <w:sz w:val="14"/>
                <w:szCs w:val="14"/>
              </w:rPr>
            </w:pPr>
            <w:r>
              <w:rPr>
                <w:sz w:val="14"/>
                <w:szCs w:val="14"/>
              </w:rPr>
              <w:t>-</w:t>
            </w:r>
          </w:p>
        </w:tc>
      </w:tr>
    </w:tbl>
    <w:p w:rsidR="00C52E3F" w:rsidRDefault="00C52E3F"/>
    <w:p w:rsidR="005805B6" w:rsidRDefault="005805B6"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DF368E" w:rsidRDefault="00DF368E" w:rsidP="0069571C">
      <w:pPr>
        <w:jc w:val="left"/>
        <w:rPr>
          <w:color w:val="auto"/>
        </w:rPr>
      </w:pPr>
    </w:p>
    <w:p w:rsidR="00C52E3F" w:rsidRDefault="00C52E3F" w:rsidP="0069571C">
      <w:pPr>
        <w:jc w:val="left"/>
        <w:rPr>
          <w:color w:val="auto"/>
        </w:rPr>
      </w:pPr>
    </w:p>
    <w:p w:rsidR="00C52E3F" w:rsidRDefault="00C52E3F" w:rsidP="0069571C">
      <w:pPr>
        <w:jc w:val="left"/>
        <w:rPr>
          <w:color w:val="auto"/>
        </w:rPr>
      </w:pPr>
    </w:p>
    <w:p w:rsidR="00F11702" w:rsidRPr="00E40C81" w:rsidRDefault="00F11702" w:rsidP="00E40C81">
      <w:pPr>
        <w:jc w:val="both"/>
        <w:rPr>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XSpec="center" w:tblpY="1261"/>
        <w:tblW w:w="10638" w:type="dxa"/>
        <w:tblLayout w:type="fixed"/>
        <w:tblLook w:val="04A0" w:firstRow="1" w:lastRow="0" w:firstColumn="1" w:lastColumn="0" w:noHBand="0" w:noVBand="1"/>
      </w:tblPr>
      <w:tblGrid>
        <w:gridCol w:w="4088"/>
        <w:gridCol w:w="648"/>
        <w:gridCol w:w="737"/>
        <w:gridCol w:w="815"/>
        <w:gridCol w:w="740"/>
        <w:gridCol w:w="730"/>
        <w:gridCol w:w="715"/>
        <w:gridCol w:w="720"/>
        <w:gridCol w:w="725"/>
        <w:gridCol w:w="720"/>
      </w:tblGrid>
      <w:tr w:rsidR="00DF368E" w:rsidRPr="00FA2FBA" w:rsidTr="00846691">
        <w:trPr>
          <w:trHeight w:val="360"/>
        </w:trPr>
        <w:tc>
          <w:tcPr>
            <w:tcW w:w="10638" w:type="dxa"/>
            <w:gridSpan w:val="10"/>
            <w:shd w:val="clear" w:color="auto" w:fill="auto"/>
            <w:noWrap/>
            <w:vAlign w:val="center"/>
            <w:hideMark/>
          </w:tcPr>
          <w:p w:rsidR="00DF368E" w:rsidRPr="00FA2FBA" w:rsidRDefault="00DF368E" w:rsidP="00DF368E">
            <w:pPr>
              <w:rPr>
                <w:rFonts w:ascii="Calibri" w:hAnsi="Calibri"/>
                <w:sz w:val="22"/>
                <w:szCs w:val="22"/>
              </w:rPr>
            </w:pPr>
            <w:r>
              <w:rPr>
                <w:b/>
                <w:bCs/>
                <w:color w:val="auto"/>
                <w:sz w:val="28"/>
                <w:szCs w:val="28"/>
              </w:rPr>
              <w:t>2.1</w:t>
            </w:r>
            <w:r w:rsidRPr="00FA2FBA">
              <w:rPr>
                <w:b/>
                <w:bCs/>
                <w:color w:val="auto"/>
                <w:sz w:val="28"/>
                <w:szCs w:val="28"/>
              </w:rPr>
              <w:t xml:space="preserve">  Central Bank Survey</w:t>
            </w:r>
          </w:p>
        </w:tc>
      </w:tr>
      <w:tr w:rsidR="00DF368E" w:rsidRPr="00FA2FBA" w:rsidTr="00846691">
        <w:trPr>
          <w:trHeight w:val="268"/>
        </w:trPr>
        <w:tc>
          <w:tcPr>
            <w:tcW w:w="10638" w:type="dxa"/>
            <w:gridSpan w:val="10"/>
            <w:tcBorders>
              <w:bottom w:val="single" w:sz="12" w:space="0" w:color="auto"/>
            </w:tcBorders>
            <w:shd w:val="clear" w:color="auto" w:fill="auto"/>
            <w:noWrap/>
            <w:vAlign w:val="center"/>
            <w:hideMark/>
          </w:tcPr>
          <w:p w:rsidR="00DF368E" w:rsidRPr="00FA2FBA" w:rsidRDefault="00DF368E" w:rsidP="00DF368E">
            <w:pPr>
              <w:jc w:val="right"/>
              <w:rPr>
                <w:rFonts w:ascii="Calibri" w:hAnsi="Calibri"/>
                <w:sz w:val="22"/>
                <w:szCs w:val="22"/>
              </w:rPr>
            </w:pPr>
            <w:r w:rsidRPr="00FA2FBA">
              <w:rPr>
                <w:color w:val="auto"/>
                <w:szCs w:val="16"/>
              </w:rPr>
              <w:t>(Million Rupees)</w:t>
            </w:r>
          </w:p>
        </w:tc>
      </w:tr>
      <w:tr w:rsidR="00C24A1C" w:rsidRPr="00FA2FBA" w:rsidTr="002B6352">
        <w:trPr>
          <w:trHeight w:val="268"/>
        </w:trPr>
        <w:tc>
          <w:tcPr>
            <w:tcW w:w="4088" w:type="dxa"/>
            <w:vMerge w:val="restart"/>
            <w:tcBorders>
              <w:top w:val="single" w:sz="12" w:space="0" w:color="auto"/>
              <w:bottom w:val="single" w:sz="12" w:space="0" w:color="auto"/>
              <w:right w:val="single" w:sz="4" w:space="0" w:color="auto"/>
            </w:tcBorders>
            <w:shd w:val="clear" w:color="auto" w:fill="auto"/>
            <w:noWrap/>
            <w:vAlign w:val="center"/>
            <w:hideMark/>
          </w:tcPr>
          <w:p w:rsidR="00C24A1C" w:rsidRPr="00FA2FBA" w:rsidRDefault="00C24A1C" w:rsidP="00203D68">
            <w:pPr>
              <w:rPr>
                <w:b/>
                <w:bCs/>
                <w:color w:val="auto"/>
                <w:szCs w:val="16"/>
              </w:rPr>
            </w:pPr>
            <w:r w:rsidRPr="00FA2FBA">
              <w:rPr>
                <w:b/>
                <w:bCs/>
                <w:color w:val="auto"/>
                <w:szCs w:val="16"/>
              </w:rPr>
              <w:t>I T E M S</w:t>
            </w:r>
          </w:p>
        </w:tc>
        <w:tc>
          <w:tcPr>
            <w:tcW w:w="648" w:type="dxa"/>
            <w:vMerge w:val="restart"/>
            <w:tcBorders>
              <w:top w:val="single" w:sz="12" w:space="0" w:color="auto"/>
              <w:left w:val="single" w:sz="4" w:space="0" w:color="auto"/>
              <w:right w:val="single" w:sz="4" w:space="0" w:color="auto"/>
            </w:tcBorders>
            <w:shd w:val="clear" w:color="auto" w:fill="auto"/>
            <w:tcMar>
              <w:left w:w="43" w:type="dxa"/>
              <w:right w:w="43" w:type="dxa"/>
            </w:tcMar>
            <w:vAlign w:val="center"/>
            <w:hideMark/>
          </w:tcPr>
          <w:p w:rsidR="00C24A1C" w:rsidRPr="00FA2FBA" w:rsidRDefault="00C24A1C" w:rsidP="00203D68">
            <w:pPr>
              <w:jc w:val="right"/>
              <w:rPr>
                <w:b/>
                <w:bCs/>
                <w:color w:val="auto"/>
                <w:szCs w:val="16"/>
              </w:rPr>
            </w:pPr>
            <w:r w:rsidRPr="00B4080E">
              <w:rPr>
                <w:b/>
                <w:bCs/>
                <w:color w:val="auto"/>
                <w:szCs w:val="16"/>
              </w:rPr>
              <w:t>FY17</w:t>
            </w:r>
          </w:p>
        </w:tc>
        <w:tc>
          <w:tcPr>
            <w:tcW w:w="737" w:type="dxa"/>
            <w:vMerge w:val="restart"/>
            <w:tcBorders>
              <w:top w:val="single" w:sz="12" w:space="0" w:color="auto"/>
              <w:left w:val="single" w:sz="4" w:space="0" w:color="auto"/>
            </w:tcBorders>
            <w:shd w:val="clear" w:color="auto" w:fill="auto"/>
            <w:tcMar>
              <w:left w:w="43" w:type="dxa"/>
              <w:right w:w="43" w:type="dxa"/>
            </w:tcMar>
            <w:vAlign w:val="center"/>
          </w:tcPr>
          <w:p w:rsidR="00C24A1C" w:rsidRPr="002D5FD9" w:rsidRDefault="00C24A1C" w:rsidP="00203D68">
            <w:pPr>
              <w:jc w:val="right"/>
              <w:rPr>
                <w:b/>
                <w:bCs/>
                <w:szCs w:val="16"/>
              </w:rPr>
            </w:pPr>
            <w:r>
              <w:rPr>
                <w:b/>
                <w:bCs/>
                <w:szCs w:val="16"/>
              </w:rPr>
              <w:t>FY18</w:t>
            </w:r>
          </w:p>
        </w:tc>
        <w:tc>
          <w:tcPr>
            <w:tcW w:w="815" w:type="dxa"/>
            <w:vMerge w:val="restart"/>
            <w:tcBorders>
              <w:top w:val="single" w:sz="12" w:space="0" w:color="auto"/>
              <w:left w:val="single" w:sz="4" w:space="0" w:color="auto"/>
              <w:bottom w:val="single" w:sz="12" w:space="0" w:color="auto"/>
            </w:tcBorders>
            <w:shd w:val="clear" w:color="auto" w:fill="auto"/>
            <w:vAlign w:val="center"/>
          </w:tcPr>
          <w:p w:rsidR="00C24A1C" w:rsidRPr="002D5FD9" w:rsidRDefault="00C24A1C" w:rsidP="00DE6559">
            <w:pPr>
              <w:jc w:val="right"/>
              <w:rPr>
                <w:b/>
                <w:bCs/>
                <w:szCs w:val="16"/>
              </w:rPr>
            </w:pPr>
            <w:r>
              <w:rPr>
                <w:b/>
                <w:bCs/>
                <w:szCs w:val="16"/>
              </w:rPr>
              <w:t>FY19</w:t>
            </w:r>
          </w:p>
        </w:tc>
        <w:tc>
          <w:tcPr>
            <w:tcW w:w="1470" w:type="dxa"/>
            <w:gridSpan w:val="2"/>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2019</w:t>
            </w:r>
          </w:p>
        </w:tc>
        <w:tc>
          <w:tcPr>
            <w:tcW w:w="2880" w:type="dxa"/>
            <w:gridSpan w:val="4"/>
            <w:tcBorders>
              <w:top w:val="single" w:sz="12" w:space="0" w:color="auto"/>
              <w:left w:val="single" w:sz="4" w:space="0" w:color="auto"/>
              <w:bottom w:val="single" w:sz="4" w:space="0" w:color="auto"/>
            </w:tcBorders>
            <w:shd w:val="clear" w:color="auto" w:fill="auto"/>
            <w:vAlign w:val="center"/>
          </w:tcPr>
          <w:p w:rsidR="00C24A1C" w:rsidRPr="00FA2FBA" w:rsidRDefault="00C24A1C" w:rsidP="00203D68">
            <w:pPr>
              <w:rPr>
                <w:b/>
                <w:bCs/>
                <w:color w:val="auto"/>
                <w:szCs w:val="16"/>
              </w:rPr>
            </w:pPr>
            <w:r>
              <w:rPr>
                <w:b/>
                <w:bCs/>
                <w:color w:val="auto"/>
                <w:szCs w:val="16"/>
              </w:rPr>
              <w:t>2020</w:t>
            </w:r>
          </w:p>
        </w:tc>
      </w:tr>
      <w:tr w:rsidR="00C81E06" w:rsidRPr="00FA2FBA" w:rsidTr="00BA577D">
        <w:trPr>
          <w:trHeight w:val="268"/>
        </w:trPr>
        <w:tc>
          <w:tcPr>
            <w:tcW w:w="4088" w:type="dxa"/>
            <w:vMerge/>
            <w:tcBorders>
              <w:bottom w:val="single" w:sz="12" w:space="0" w:color="auto"/>
              <w:right w:val="single" w:sz="4" w:space="0" w:color="auto"/>
            </w:tcBorders>
            <w:shd w:val="clear" w:color="auto" w:fill="auto"/>
            <w:noWrap/>
            <w:vAlign w:val="center"/>
            <w:hideMark/>
          </w:tcPr>
          <w:p w:rsidR="00C81E06" w:rsidRPr="00FA2FBA" w:rsidRDefault="00C81E06" w:rsidP="00C81E06">
            <w:pPr>
              <w:jc w:val="left"/>
              <w:rPr>
                <w:b/>
                <w:bCs/>
                <w:color w:val="auto"/>
                <w:szCs w:val="16"/>
              </w:rPr>
            </w:pPr>
          </w:p>
        </w:tc>
        <w:tc>
          <w:tcPr>
            <w:tcW w:w="648"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p>
        </w:tc>
        <w:tc>
          <w:tcPr>
            <w:tcW w:w="73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
        </w:tc>
        <w:tc>
          <w:tcPr>
            <w:tcW w:w="74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730" w:type="dxa"/>
            <w:tcBorders>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715" w:type="dxa"/>
            <w:tcBorders>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Mar</w:t>
            </w:r>
          </w:p>
        </w:tc>
        <w:tc>
          <w:tcPr>
            <w:tcW w:w="720" w:type="dxa"/>
            <w:tcBorders>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725" w:type="dxa"/>
            <w:tcBorders>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2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E12221" w:rsidRPr="00FA2FBA" w:rsidTr="002B6352">
        <w:trPr>
          <w:trHeight w:val="245"/>
        </w:trPr>
        <w:tc>
          <w:tcPr>
            <w:tcW w:w="4088" w:type="dxa"/>
            <w:tcBorders>
              <w:top w:val="single" w:sz="12" w:space="0" w:color="auto"/>
            </w:tcBorders>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3) Deposits included in broad money</w:t>
            </w:r>
          </w:p>
        </w:tc>
        <w:tc>
          <w:tcPr>
            <w:tcW w:w="648" w:type="dxa"/>
            <w:tcBorders>
              <w:top w:val="single" w:sz="12" w:space="0" w:color="auto"/>
            </w:tcBorders>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3,444</w:t>
            </w:r>
          </w:p>
        </w:tc>
        <w:tc>
          <w:tcPr>
            <w:tcW w:w="737" w:type="dxa"/>
            <w:tcBorders>
              <w:top w:val="single" w:sz="12" w:space="0" w:color="auto"/>
            </w:tcBorders>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2,793</w:t>
            </w:r>
          </w:p>
        </w:tc>
        <w:tc>
          <w:tcPr>
            <w:tcW w:w="815" w:type="dxa"/>
            <w:tcBorders>
              <w:top w:val="single" w:sz="12" w:space="0" w:color="auto"/>
            </w:tcBorders>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3,692</w:t>
            </w:r>
          </w:p>
        </w:tc>
        <w:tc>
          <w:tcPr>
            <w:tcW w:w="740" w:type="dxa"/>
            <w:tcBorders>
              <w:top w:val="single" w:sz="12" w:space="0" w:color="auto"/>
            </w:tcBorders>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3,898</w:t>
            </w:r>
          </w:p>
        </w:tc>
        <w:tc>
          <w:tcPr>
            <w:tcW w:w="730" w:type="dxa"/>
            <w:tcBorders>
              <w:top w:val="single" w:sz="12" w:space="0" w:color="auto"/>
            </w:tcBorders>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3,692</w:t>
            </w:r>
          </w:p>
        </w:tc>
        <w:tc>
          <w:tcPr>
            <w:tcW w:w="715" w:type="dxa"/>
            <w:tcBorders>
              <w:top w:val="single" w:sz="12" w:space="0" w:color="auto"/>
            </w:tcBorders>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3,503</w:t>
            </w:r>
          </w:p>
        </w:tc>
        <w:tc>
          <w:tcPr>
            <w:tcW w:w="720" w:type="dxa"/>
            <w:tcBorders>
              <w:top w:val="single" w:sz="12" w:space="0" w:color="auto"/>
            </w:tcBorders>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3,426</w:t>
            </w:r>
          </w:p>
        </w:tc>
        <w:tc>
          <w:tcPr>
            <w:tcW w:w="725" w:type="dxa"/>
            <w:tcBorders>
              <w:top w:val="single" w:sz="12" w:space="0" w:color="auto"/>
            </w:tcBorders>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3,095</w:t>
            </w:r>
          </w:p>
        </w:tc>
        <w:tc>
          <w:tcPr>
            <w:tcW w:w="720" w:type="dxa"/>
            <w:tcBorders>
              <w:top w:val="single" w:sz="12" w:space="0" w:color="auto"/>
            </w:tcBorders>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4,856</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156" w:firstLine="251"/>
              <w:jc w:val="left"/>
              <w:rPr>
                <w:b/>
                <w:bCs/>
                <w:color w:val="auto"/>
                <w:szCs w:val="16"/>
              </w:rPr>
            </w:pPr>
            <w:r w:rsidRPr="00FA2FBA">
              <w:rPr>
                <w:b/>
                <w:bCs/>
                <w:color w:val="auto"/>
                <w:szCs w:val="16"/>
              </w:rPr>
              <w:t>Transferable deposits</w:t>
            </w:r>
          </w:p>
        </w:tc>
        <w:tc>
          <w:tcPr>
            <w:tcW w:w="648"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1,499</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1,340</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1,438</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1,378</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1,438</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1,463</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1,439</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1,458</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1,455</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63</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3</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63</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90</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68</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74</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75</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342"/>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112</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132</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157</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156</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157</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146</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145</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160</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158</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1,387</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1,208</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1,218</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1,219</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1,218</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1,227</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1,226</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1,225</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1,222</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252"/>
              <w:jc w:val="left"/>
              <w:rPr>
                <w:b/>
                <w:bCs/>
                <w:color w:val="auto"/>
                <w:szCs w:val="16"/>
              </w:rPr>
            </w:pPr>
            <w:r w:rsidRPr="00FA2FBA">
              <w:rPr>
                <w:b/>
                <w:bCs/>
                <w:color w:val="auto"/>
                <w:szCs w:val="16"/>
              </w:rPr>
              <w:t>Other deposits</w:t>
            </w:r>
          </w:p>
        </w:tc>
        <w:tc>
          <w:tcPr>
            <w:tcW w:w="648"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1,945</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1,453</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2,254</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2,520</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2,254</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2,040</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1,986</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1,637</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3,401</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1,553</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941</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1,651</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1,865</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1,651</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1,406</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1,328</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1,110</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2,914</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392</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512</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602</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655</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602</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634</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659</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527</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487</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4) Securities other than shares included in broad money</w:t>
            </w:r>
          </w:p>
        </w:tc>
        <w:tc>
          <w:tcPr>
            <w:tcW w:w="648" w:type="dxa"/>
            <w:shd w:val="clear" w:color="auto" w:fill="auto"/>
            <w:tcMar>
              <w:left w:w="43" w:type="dxa"/>
              <w:right w:w="43" w:type="dxa"/>
            </w:tcMar>
            <w:vAlign w:val="center"/>
            <w:hideMark/>
          </w:tcPr>
          <w:p w:rsidR="00E12221" w:rsidRPr="00D670CE" w:rsidRDefault="00E12221" w:rsidP="00C81E06">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a) Other 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b) Public non-financial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c) Other non-financial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13" w:firstLine="341"/>
              <w:jc w:val="left"/>
              <w:rPr>
                <w:color w:val="auto"/>
                <w:szCs w:val="16"/>
              </w:rPr>
            </w:pPr>
            <w:r w:rsidRPr="00FA2FBA">
              <w:rPr>
                <w:color w:val="auto"/>
                <w:szCs w:val="16"/>
              </w:rPr>
              <w:t>d) Other resident sectors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Deposits excluded from broad money</w:t>
            </w:r>
          </w:p>
        </w:tc>
        <w:tc>
          <w:tcPr>
            <w:tcW w:w="648"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51,168</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57,424</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67,332</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66,399</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67,332</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67,209</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68,214</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71,995</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74,889</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E12221" w:rsidRDefault="00E12221" w:rsidP="00C81E06">
            <w:pPr>
              <w:ind w:firstLineChars="200" w:firstLine="320"/>
              <w:jc w:val="right"/>
              <w:rPr>
                <w:i/>
                <w:iCs/>
                <w:szCs w:val="16"/>
              </w:rPr>
            </w:pPr>
            <w:r>
              <w:rPr>
                <w:i/>
                <w:iCs/>
                <w:szCs w:val="16"/>
              </w:rPr>
              <w:t>-</w:t>
            </w:r>
          </w:p>
        </w:tc>
        <w:tc>
          <w:tcPr>
            <w:tcW w:w="737" w:type="dxa"/>
            <w:shd w:val="clear" w:color="auto" w:fill="auto"/>
            <w:tcMar>
              <w:left w:w="43" w:type="dxa"/>
              <w:right w:w="43" w:type="dxa"/>
            </w:tcMar>
            <w:vAlign w:val="center"/>
          </w:tcPr>
          <w:p w:rsidR="00E12221" w:rsidRDefault="00E12221" w:rsidP="00C81E06">
            <w:pPr>
              <w:ind w:firstLineChars="200" w:firstLine="320"/>
              <w:jc w:val="right"/>
              <w:rPr>
                <w:i/>
                <w:iCs/>
                <w:szCs w:val="16"/>
              </w:rPr>
            </w:pPr>
            <w:r>
              <w:rPr>
                <w:i/>
                <w:iCs/>
                <w:szCs w:val="16"/>
              </w:rPr>
              <w:t>-</w:t>
            </w:r>
          </w:p>
        </w:tc>
        <w:tc>
          <w:tcPr>
            <w:tcW w:w="815" w:type="dxa"/>
            <w:shd w:val="clear" w:color="auto" w:fill="auto"/>
            <w:tcMar>
              <w:left w:w="43" w:type="dxa"/>
              <w:right w:w="43" w:type="dxa"/>
            </w:tcMar>
            <w:vAlign w:val="center"/>
          </w:tcPr>
          <w:p w:rsidR="00E12221" w:rsidRDefault="00E12221" w:rsidP="00C81E06">
            <w:pPr>
              <w:ind w:firstLineChars="200" w:firstLine="320"/>
              <w:jc w:val="right"/>
              <w:rPr>
                <w:i/>
                <w:iCs/>
                <w:szCs w:val="16"/>
              </w:rPr>
            </w:pPr>
            <w:r>
              <w:rPr>
                <w:i/>
                <w:iCs/>
                <w:szCs w:val="16"/>
              </w:rPr>
              <w:t>-</w:t>
            </w:r>
          </w:p>
        </w:tc>
        <w:tc>
          <w:tcPr>
            <w:tcW w:w="740" w:type="dxa"/>
            <w:shd w:val="clear" w:color="auto" w:fill="auto"/>
            <w:tcMar>
              <w:left w:w="43" w:type="dxa"/>
              <w:right w:w="43" w:type="dxa"/>
            </w:tcMar>
            <w:vAlign w:val="center"/>
            <w:hideMark/>
          </w:tcPr>
          <w:p w:rsidR="00E12221" w:rsidRDefault="00E12221" w:rsidP="00C81E06">
            <w:pPr>
              <w:ind w:firstLineChars="200" w:firstLine="320"/>
              <w:jc w:val="right"/>
              <w:rPr>
                <w:i/>
                <w:iCs/>
                <w:szCs w:val="16"/>
              </w:rPr>
            </w:pPr>
            <w:r>
              <w:rPr>
                <w:i/>
                <w:iCs/>
                <w:szCs w:val="16"/>
              </w:rPr>
              <w:t>-</w:t>
            </w:r>
          </w:p>
        </w:tc>
        <w:tc>
          <w:tcPr>
            <w:tcW w:w="730" w:type="dxa"/>
            <w:shd w:val="clear" w:color="auto" w:fill="auto"/>
            <w:tcMar>
              <w:left w:w="43" w:type="dxa"/>
              <w:right w:w="43" w:type="dxa"/>
            </w:tcMar>
            <w:vAlign w:val="center"/>
          </w:tcPr>
          <w:p w:rsidR="00E12221" w:rsidRDefault="00E12221" w:rsidP="00012B38">
            <w:pPr>
              <w:ind w:firstLineChars="200" w:firstLine="320"/>
              <w:jc w:val="right"/>
              <w:rPr>
                <w:i/>
                <w:iCs/>
                <w:szCs w:val="16"/>
              </w:rPr>
            </w:pPr>
            <w:r>
              <w:rPr>
                <w:i/>
                <w:iCs/>
                <w:szCs w:val="16"/>
              </w:rPr>
              <w:t>-</w:t>
            </w:r>
          </w:p>
        </w:tc>
        <w:tc>
          <w:tcPr>
            <w:tcW w:w="715" w:type="dxa"/>
            <w:shd w:val="clear" w:color="auto" w:fill="auto"/>
            <w:tcMar>
              <w:left w:w="43" w:type="dxa"/>
              <w:right w:w="43" w:type="dxa"/>
            </w:tcMar>
            <w:vAlign w:val="center"/>
            <w:hideMark/>
          </w:tcPr>
          <w:p w:rsidR="00E12221" w:rsidRDefault="00E12221" w:rsidP="00C81E06">
            <w:pPr>
              <w:ind w:firstLineChars="200" w:firstLine="320"/>
              <w:jc w:val="right"/>
              <w:rPr>
                <w:i/>
                <w:iCs/>
                <w:szCs w:val="16"/>
              </w:rPr>
            </w:pPr>
            <w:r>
              <w:rPr>
                <w:i/>
                <w:iCs/>
                <w:szCs w:val="16"/>
              </w:rPr>
              <w:t>-</w:t>
            </w:r>
          </w:p>
        </w:tc>
        <w:tc>
          <w:tcPr>
            <w:tcW w:w="720" w:type="dxa"/>
            <w:shd w:val="clear" w:color="auto" w:fill="auto"/>
            <w:tcMar>
              <w:left w:w="43" w:type="dxa"/>
              <w:right w:w="43" w:type="dxa"/>
            </w:tcMar>
            <w:vAlign w:val="center"/>
          </w:tcPr>
          <w:p w:rsidR="00E12221" w:rsidRDefault="00E12221" w:rsidP="00C81E06">
            <w:pPr>
              <w:ind w:firstLineChars="200" w:firstLine="320"/>
              <w:jc w:val="right"/>
              <w:rPr>
                <w:i/>
                <w:iCs/>
                <w:szCs w:val="16"/>
              </w:rPr>
            </w:pPr>
            <w:r>
              <w:rPr>
                <w:i/>
                <w:iCs/>
                <w:szCs w:val="16"/>
              </w:rPr>
              <w:t>-</w:t>
            </w:r>
          </w:p>
        </w:tc>
        <w:tc>
          <w:tcPr>
            <w:tcW w:w="725" w:type="dxa"/>
            <w:shd w:val="clear" w:color="auto" w:fill="auto"/>
            <w:tcMar>
              <w:left w:w="43" w:type="dxa"/>
              <w:right w:w="43" w:type="dxa"/>
            </w:tcMar>
            <w:vAlign w:val="center"/>
          </w:tcPr>
          <w:p w:rsidR="00E12221" w:rsidRDefault="00E12221" w:rsidP="00C81E06">
            <w:pPr>
              <w:ind w:firstLineChars="200" w:firstLine="320"/>
              <w:jc w:val="right"/>
              <w:rPr>
                <w:i/>
                <w:iCs/>
                <w:szCs w:val="16"/>
              </w:rPr>
            </w:pPr>
            <w:r>
              <w:rPr>
                <w:i/>
                <w:iCs/>
                <w:szCs w:val="16"/>
              </w:rPr>
              <w:t>-</w:t>
            </w:r>
          </w:p>
        </w:tc>
        <w:tc>
          <w:tcPr>
            <w:tcW w:w="720" w:type="dxa"/>
            <w:shd w:val="clear" w:color="auto" w:fill="auto"/>
            <w:noWrap/>
            <w:tcMar>
              <w:left w:w="43" w:type="dxa"/>
              <w:right w:w="43" w:type="dxa"/>
            </w:tcMar>
            <w:vAlign w:val="center"/>
          </w:tcPr>
          <w:p w:rsidR="00E12221" w:rsidRDefault="00E12221" w:rsidP="00E12221">
            <w:pPr>
              <w:ind w:firstLineChars="200" w:firstLine="320"/>
              <w:jc w:val="right"/>
              <w:rPr>
                <w:i/>
                <w:iCs/>
                <w:szCs w:val="16"/>
              </w:rPr>
            </w:pPr>
            <w:r>
              <w:rPr>
                <w:i/>
                <w:iCs/>
                <w:szCs w:val="16"/>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Securities other than shares excluded from broad money</w:t>
            </w:r>
          </w:p>
        </w:tc>
        <w:tc>
          <w:tcPr>
            <w:tcW w:w="648" w:type="dxa"/>
            <w:shd w:val="clear" w:color="auto" w:fill="auto"/>
            <w:tcMar>
              <w:left w:w="43" w:type="dxa"/>
              <w:right w:w="43" w:type="dxa"/>
            </w:tcMar>
            <w:vAlign w:val="center"/>
            <w:hideMark/>
          </w:tcPr>
          <w:p w:rsidR="00E12221" w:rsidRPr="00D670CE" w:rsidRDefault="00E12221" w:rsidP="00C81E06">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Loans</w:t>
            </w:r>
          </w:p>
        </w:tc>
        <w:tc>
          <w:tcPr>
            <w:tcW w:w="648" w:type="dxa"/>
            <w:shd w:val="clear" w:color="auto" w:fill="auto"/>
            <w:tcMar>
              <w:left w:w="43" w:type="dxa"/>
              <w:right w:w="43" w:type="dxa"/>
            </w:tcMar>
            <w:vAlign w:val="center"/>
            <w:hideMark/>
          </w:tcPr>
          <w:p w:rsidR="00E12221" w:rsidRPr="00D670CE" w:rsidRDefault="00E12221" w:rsidP="00C81E06">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34,066</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152,134</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Financial derivatives</w:t>
            </w:r>
          </w:p>
        </w:tc>
        <w:tc>
          <w:tcPr>
            <w:tcW w:w="648"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Trade credit and advances</w:t>
            </w:r>
          </w:p>
        </w:tc>
        <w:tc>
          <w:tcPr>
            <w:tcW w:w="648" w:type="dxa"/>
            <w:shd w:val="clear" w:color="auto" w:fill="auto"/>
            <w:tcMar>
              <w:left w:w="43" w:type="dxa"/>
              <w:right w:w="43" w:type="dxa"/>
            </w:tcMar>
            <w:vAlign w:val="center"/>
            <w:hideMark/>
          </w:tcPr>
          <w:p w:rsidR="00E12221" w:rsidRPr="00D670CE" w:rsidRDefault="00E12221" w:rsidP="00C81E06">
            <w:pPr>
              <w:jc w:val="right"/>
              <w:rPr>
                <w:b/>
                <w:bCs/>
                <w:sz w:val="14"/>
                <w:szCs w:val="14"/>
              </w:rPr>
            </w:pPr>
            <w:r w:rsidRPr="00D670CE">
              <w:rPr>
                <w:b/>
                <w:bCs/>
                <w:sz w:val="14"/>
                <w:szCs w:val="14"/>
              </w:rPr>
              <w:t>-</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i/>
                <w:iCs/>
                <w:color w:val="auto"/>
                <w:szCs w:val="16"/>
              </w:rPr>
            </w:pPr>
            <w:r w:rsidRPr="00FA2FBA">
              <w:rPr>
                <w:i/>
                <w:iCs/>
                <w:color w:val="auto"/>
                <w:szCs w:val="16"/>
              </w:rPr>
              <w:t>Of which: Other financial corporations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Shares and Other equity</w:t>
            </w:r>
          </w:p>
        </w:tc>
        <w:tc>
          <w:tcPr>
            <w:tcW w:w="648"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611,317</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575,076</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743,141</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801,232</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743,141</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1,746,231</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1,900,716</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1,982,173</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2,036,202</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color w:val="auto"/>
                <w:szCs w:val="16"/>
              </w:rPr>
            </w:pPr>
            <w:r w:rsidRPr="00FA2FBA">
              <w:rPr>
                <w:color w:val="auto"/>
                <w:szCs w:val="16"/>
              </w:rPr>
              <w:t>a) Funds contributed by owners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100</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100</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100</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100</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100</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100</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100</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100</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100</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color w:val="auto"/>
                <w:szCs w:val="16"/>
              </w:rPr>
            </w:pPr>
            <w:r w:rsidRPr="00FA2FBA">
              <w:rPr>
                <w:color w:val="auto"/>
                <w:szCs w:val="16"/>
              </w:rPr>
              <w:t>b) Retained earnings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43,958</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12,779</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6,941</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168,304</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6,941</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942,736</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1,087,828</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1,150,132</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1,172,625</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color w:val="auto"/>
                <w:szCs w:val="16"/>
              </w:rPr>
            </w:pPr>
            <w:r w:rsidRPr="00FA2FBA">
              <w:rPr>
                <w:color w:val="auto"/>
                <w:szCs w:val="16"/>
              </w:rPr>
              <w:t>c) General &amp; special reserves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142,136</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110,715</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112,538</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110,522</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112,538</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99,731</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99,731</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99,731</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99,731</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color w:val="auto"/>
                <w:szCs w:val="16"/>
              </w:rPr>
            </w:pPr>
            <w:r w:rsidRPr="00FA2FBA">
              <w:rPr>
                <w:color w:val="auto"/>
                <w:szCs w:val="16"/>
              </w:rPr>
              <w:t>d) Valuation adjustment</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425,123</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451,482</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623,562</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522,306</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623,562</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703,664</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713,057</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732,210</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763,746</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jc w:val="left"/>
              <w:rPr>
                <w:b/>
                <w:bCs/>
                <w:color w:val="auto"/>
                <w:szCs w:val="16"/>
              </w:rPr>
            </w:pPr>
            <w:r w:rsidRPr="00FA2FBA">
              <w:rPr>
                <w:b/>
                <w:bCs/>
                <w:color w:val="auto"/>
                <w:szCs w:val="16"/>
              </w:rPr>
              <w:t>Other items (net)</w:t>
            </w:r>
          </w:p>
        </w:tc>
        <w:tc>
          <w:tcPr>
            <w:tcW w:w="648"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840</w:t>
            </w:r>
          </w:p>
        </w:tc>
        <w:tc>
          <w:tcPr>
            <w:tcW w:w="737"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9,896</w:t>
            </w:r>
          </w:p>
        </w:tc>
        <w:tc>
          <w:tcPr>
            <w:tcW w:w="81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197,208</w:t>
            </w:r>
          </w:p>
        </w:tc>
        <w:tc>
          <w:tcPr>
            <w:tcW w:w="740"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58,206</w:t>
            </w:r>
          </w:p>
        </w:tc>
        <w:tc>
          <w:tcPr>
            <w:tcW w:w="730" w:type="dxa"/>
            <w:shd w:val="clear" w:color="auto" w:fill="auto"/>
            <w:tcMar>
              <w:left w:w="43" w:type="dxa"/>
              <w:right w:w="43" w:type="dxa"/>
            </w:tcMar>
            <w:vAlign w:val="center"/>
          </w:tcPr>
          <w:p w:rsidR="00E12221" w:rsidRDefault="00E12221" w:rsidP="00012B38">
            <w:pPr>
              <w:jc w:val="right"/>
              <w:rPr>
                <w:b/>
                <w:bCs/>
                <w:sz w:val="14"/>
                <w:szCs w:val="14"/>
              </w:rPr>
            </w:pPr>
            <w:r>
              <w:rPr>
                <w:b/>
                <w:bCs/>
                <w:sz w:val="14"/>
                <w:szCs w:val="14"/>
              </w:rPr>
              <w:t>197,208</w:t>
            </w:r>
          </w:p>
        </w:tc>
        <w:tc>
          <w:tcPr>
            <w:tcW w:w="715" w:type="dxa"/>
            <w:shd w:val="clear" w:color="auto" w:fill="auto"/>
            <w:tcMar>
              <w:left w:w="43" w:type="dxa"/>
              <w:right w:w="43" w:type="dxa"/>
            </w:tcMar>
            <w:vAlign w:val="center"/>
            <w:hideMark/>
          </w:tcPr>
          <w:p w:rsidR="00E12221" w:rsidRDefault="00E12221" w:rsidP="00C81E06">
            <w:pPr>
              <w:jc w:val="right"/>
              <w:rPr>
                <w:b/>
                <w:bCs/>
                <w:sz w:val="14"/>
                <w:szCs w:val="14"/>
              </w:rPr>
            </w:pPr>
            <w:r>
              <w:rPr>
                <w:b/>
                <w:bCs/>
                <w:sz w:val="14"/>
                <w:szCs w:val="14"/>
              </w:rPr>
              <w:t>(620,835)</w:t>
            </w:r>
          </w:p>
        </w:tc>
        <w:tc>
          <w:tcPr>
            <w:tcW w:w="720"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(655,692)</w:t>
            </w:r>
          </w:p>
        </w:tc>
        <w:tc>
          <w:tcPr>
            <w:tcW w:w="725" w:type="dxa"/>
            <w:shd w:val="clear" w:color="auto" w:fill="auto"/>
            <w:tcMar>
              <w:left w:w="43" w:type="dxa"/>
              <w:right w:w="43" w:type="dxa"/>
            </w:tcMar>
            <w:vAlign w:val="center"/>
          </w:tcPr>
          <w:p w:rsidR="00E12221" w:rsidRDefault="00E12221" w:rsidP="00C81E06">
            <w:pPr>
              <w:jc w:val="right"/>
              <w:rPr>
                <w:b/>
                <w:bCs/>
                <w:sz w:val="14"/>
                <w:szCs w:val="14"/>
              </w:rPr>
            </w:pPr>
            <w:r>
              <w:rPr>
                <w:b/>
                <w:bCs/>
                <w:sz w:val="14"/>
                <w:szCs w:val="14"/>
              </w:rPr>
              <w:t>(696,062)</w:t>
            </w:r>
          </w:p>
        </w:tc>
        <w:tc>
          <w:tcPr>
            <w:tcW w:w="720" w:type="dxa"/>
            <w:shd w:val="clear" w:color="auto" w:fill="auto"/>
            <w:noWrap/>
            <w:tcMar>
              <w:left w:w="43" w:type="dxa"/>
              <w:right w:w="43" w:type="dxa"/>
            </w:tcMar>
            <w:vAlign w:val="center"/>
          </w:tcPr>
          <w:p w:rsidR="00E12221" w:rsidRDefault="00E12221" w:rsidP="00E12221">
            <w:pPr>
              <w:jc w:val="right"/>
              <w:rPr>
                <w:b/>
                <w:bCs/>
                <w:sz w:val="14"/>
                <w:szCs w:val="14"/>
              </w:rPr>
            </w:pPr>
            <w:r>
              <w:rPr>
                <w:b/>
                <w:bCs/>
                <w:sz w:val="14"/>
                <w:szCs w:val="14"/>
              </w:rPr>
              <w:t>(902,722)</w:t>
            </w:r>
          </w:p>
        </w:tc>
      </w:tr>
      <w:tr w:rsidR="00E12221" w:rsidRPr="00FA2FBA" w:rsidTr="002B6352">
        <w:trPr>
          <w:trHeight w:val="245"/>
        </w:trPr>
        <w:tc>
          <w:tcPr>
            <w:tcW w:w="4088" w:type="dxa"/>
            <w:shd w:val="clear" w:color="auto" w:fill="auto"/>
            <w:noWrap/>
            <w:vAlign w:val="center"/>
            <w:hideMark/>
          </w:tcPr>
          <w:p w:rsidR="00E12221" w:rsidRPr="00FA2FBA" w:rsidRDefault="00E12221" w:rsidP="00C81E06">
            <w:pPr>
              <w:ind w:firstLineChars="200" w:firstLine="320"/>
              <w:jc w:val="left"/>
              <w:rPr>
                <w:color w:val="auto"/>
                <w:szCs w:val="16"/>
              </w:rPr>
            </w:pPr>
            <w:r w:rsidRPr="00FA2FBA">
              <w:rPr>
                <w:color w:val="auto"/>
                <w:szCs w:val="16"/>
              </w:rPr>
              <w:t>Other liabilities</w:t>
            </w:r>
          </w:p>
        </w:tc>
        <w:tc>
          <w:tcPr>
            <w:tcW w:w="648"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180,353</w:t>
            </w:r>
          </w:p>
        </w:tc>
        <w:tc>
          <w:tcPr>
            <w:tcW w:w="737" w:type="dxa"/>
            <w:shd w:val="clear" w:color="auto" w:fill="auto"/>
            <w:tcMar>
              <w:left w:w="43" w:type="dxa"/>
              <w:right w:w="43" w:type="dxa"/>
            </w:tcMar>
            <w:vAlign w:val="center"/>
          </w:tcPr>
          <w:p w:rsidR="00E12221" w:rsidRDefault="00E12221" w:rsidP="00C81E06">
            <w:pPr>
              <w:jc w:val="right"/>
              <w:rPr>
                <w:sz w:val="14"/>
                <w:szCs w:val="14"/>
              </w:rPr>
            </w:pPr>
            <w:r>
              <w:rPr>
                <w:sz w:val="14"/>
                <w:szCs w:val="14"/>
              </w:rPr>
              <w:t>161,463</w:t>
            </w:r>
          </w:p>
        </w:tc>
        <w:tc>
          <w:tcPr>
            <w:tcW w:w="815" w:type="dxa"/>
            <w:shd w:val="clear" w:color="auto" w:fill="auto"/>
            <w:tcMar>
              <w:left w:w="43" w:type="dxa"/>
              <w:right w:w="43" w:type="dxa"/>
            </w:tcMar>
            <w:vAlign w:val="center"/>
          </w:tcPr>
          <w:p w:rsidR="00E12221" w:rsidRDefault="00E12221" w:rsidP="00C81E06">
            <w:pPr>
              <w:jc w:val="right"/>
              <w:rPr>
                <w:sz w:val="14"/>
                <w:szCs w:val="14"/>
              </w:rPr>
            </w:pPr>
            <w:r>
              <w:rPr>
                <w:sz w:val="14"/>
                <w:szCs w:val="14"/>
              </w:rPr>
              <w:t>394,703</w:t>
            </w:r>
          </w:p>
        </w:tc>
        <w:tc>
          <w:tcPr>
            <w:tcW w:w="740"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306,627</w:t>
            </w:r>
          </w:p>
        </w:tc>
        <w:tc>
          <w:tcPr>
            <w:tcW w:w="730" w:type="dxa"/>
            <w:shd w:val="clear" w:color="auto" w:fill="auto"/>
            <w:tcMar>
              <w:left w:w="43" w:type="dxa"/>
              <w:right w:w="43" w:type="dxa"/>
            </w:tcMar>
            <w:vAlign w:val="center"/>
          </w:tcPr>
          <w:p w:rsidR="00E12221" w:rsidRDefault="00E12221" w:rsidP="00012B38">
            <w:pPr>
              <w:jc w:val="right"/>
              <w:rPr>
                <w:sz w:val="14"/>
                <w:szCs w:val="14"/>
              </w:rPr>
            </w:pPr>
            <w:r>
              <w:rPr>
                <w:sz w:val="14"/>
                <w:szCs w:val="14"/>
              </w:rPr>
              <w:t>394,703</w:t>
            </w:r>
          </w:p>
        </w:tc>
        <w:tc>
          <w:tcPr>
            <w:tcW w:w="715" w:type="dxa"/>
            <w:shd w:val="clear" w:color="auto" w:fill="auto"/>
            <w:tcMar>
              <w:left w:w="43" w:type="dxa"/>
              <w:right w:w="43" w:type="dxa"/>
            </w:tcMar>
            <w:vAlign w:val="center"/>
            <w:hideMark/>
          </w:tcPr>
          <w:p w:rsidR="00E12221" w:rsidRDefault="00E12221" w:rsidP="00C81E06">
            <w:pPr>
              <w:jc w:val="right"/>
              <w:rPr>
                <w:sz w:val="14"/>
                <w:szCs w:val="14"/>
              </w:rPr>
            </w:pPr>
            <w:r>
              <w:rPr>
                <w:sz w:val="14"/>
                <w:szCs w:val="14"/>
              </w:rPr>
              <w:t>181,693</w:t>
            </w:r>
          </w:p>
        </w:tc>
        <w:tc>
          <w:tcPr>
            <w:tcW w:w="720" w:type="dxa"/>
            <w:shd w:val="clear" w:color="auto" w:fill="auto"/>
            <w:tcMar>
              <w:left w:w="43" w:type="dxa"/>
              <w:right w:w="43" w:type="dxa"/>
            </w:tcMar>
            <w:vAlign w:val="center"/>
          </w:tcPr>
          <w:p w:rsidR="00E12221" w:rsidRDefault="00E12221" w:rsidP="00C81E06">
            <w:pPr>
              <w:jc w:val="right"/>
              <w:rPr>
                <w:sz w:val="14"/>
                <w:szCs w:val="14"/>
              </w:rPr>
            </w:pPr>
            <w:r>
              <w:rPr>
                <w:sz w:val="14"/>
                <w:szCs w:val="14"/>
              </w:rPr>
              <w:t>181,911</w:t>
            </w:r>
          </w:p>
        </w:tc>
        <w:tc>
          <w:tcPr>
            <w:tcW w:w="725" w:type="dxa"/>
            <w:shd w:val="clear" w:color="auto" w:fill="auto"/>
            <w:tcMar>
              <w:left w:w="43" w:type="dxa"/>
              <w:right w:w="43" w:type="dxa"/>
            </w:tcMar>
            <w:vAlign w:val="center"/>
          </w:tcPr>
          <w:p w:rsidR="00E12221" w:rsidRDefault="00E12221" w:rsidP="00C81E06">
            <w:pPr>
              <w:jc w:val="right"/>
              <w:rPr>
                <w:sz w:val="14"/>
                <w:szCs w:val="14"/>
              </w:rPr>
            </w:pPr>
            <w:r>
              <w:rPr>
                <w:sz w:val="14"/>
                <w:szCs w:val="14"/>
              </w:rPr>
              <w:t>127,884</w:t>
            </w:r>
          </w:p>
        </w:tc>
        <w:tc>
          <w:tcPr>
            <w:tcW w:w="720" w:type="dxa"/>
            <w:shd w:val="clear" w:color="auto" w:fill="auto"/>
            <w:noWrap/>
            <w:tcMar>
              <w:left w:w="43" w:type="dxa"/>
              <w:right w:w="43" w:type="dxa"/>
            </w:tcMar>
            <w:vAlign w:val="center"/>
          </w:tcPr>
          <w:p w:rsidR="00E12221" w:rsidRDefault="00E12221" w:rsidP="00E12221">
            <w:pPr>
              <w:jc w:val="right"/>
              <w:rPr>
                <w:sz w:val="14"/>
                <w:szCs w:val="14"/>
              </w:rPr>
            </w:pPr>
            <w:r>
              <w:rPr>
                <w:sz w:val="14"/>
                <w:szCs w:val="14"/>
              </w:rPr>
              <w:t>208,375</w:t>
            </w:r>
          </w:p>
        </w:tc>
      </w:tr>
      <w:tr w:rsidR="00E12221" w:rsidRPr="00FA2FBA" w:rsidTr="002B6352">
        <w:trPr>
          <w:trHeight w:val="245"/>
        </w:trPr>
        <w:tc>
          <w:tcPr>
            <w:tcW w:w="4088" w:type="dxa"/>
            <w:tcBorders>
              <w:bottom w:val="single" w:sz="12" w:space="0" w:color="auto"/>
            </w:tcBorders>
            <w:shd w:val="clear" w:color="auto" w:fill="auto"/>
            <w:noWrap/>
            <w:vAlign w:val="center"/>
            <w:hideMark/>
          </w:tcPr>
          <w:p w:rsidR="00E12221" w:rsidRPr="00FA2FBA" w:rsidRDefault="00E12221" w:rsidP="00C81E06">
            <w:pPr>
              <w:jc w:val="left"/>
              <w:rPr>
                <w:i/>
                <w:iCs/>
                <w:color w:val="auto"/>
                <w:szCs w:val="16"/>
              </w:rPr>
            </w:pPr>
            <w:r w:rsidRPr="00FA2FBA">
              <w:rPr>
                <w:i/>
                <w:iCs/>
                <w:color w:val="auto"/>
                <w:szCs w:val="16"/>
              </w:rPr>
              <w:t>Less: Other Assets</w:t>
            </w:r>
          </w:p>
        </w:tc>
        <w:tc>
          <w:tcPr>
            <w:tcW w:w="648" w:type="dxa"/>
            <w:tcBorders>
              <w:bottom w:val="single" w:sz="12" w:space="0" w:color="auto"/>
            </w:tcBorders>
            <w:shd w:val="clear" w:color="auto" w:fill="auto"/>
            <w:tcMar>
              <w:left w:w="43" w:type="dxa"/>
              <w:right w:w="43" w:type="dxa"/>
            </w:tcMar>
            <w:vAlign w:val="center"/>
            <w:hideMark/>
          </w:tcPr>
          <w:p w:rsidR="00E12221" w:rsidRDefault="00E12221" w:rsidP="00C81E06">
            <w:pPr>
              <w:jc w:val="right"/>
              <w:rPr>
                <w:i/>
                <w:iCs/>
                <w:sz w:val="14"/>
                <w:szCs w:val="14"/>
              </w:rPr>
            </w:pPr>
            <w:r>
              <w:rPr>
                <w:i/>
                <w:iCs/>
                <w:sz w:val="14"/>
                <w:szCs w:val="14"/>
              </w:rPr>
              <w:t>179,512</w:t>
            </w:r>
          </w:p>
        </w:tc>
        <w:tc>
          <w:tcPr>
            <w:tcW w:w="737" w:type="dxa"/>
            <w:tcBorders>
              <w:bottom w:val="single" w:sz="12" w:space="0" w:color="auto"/>
            </w:tcBorders>
            <w:shd w:val="clear" w:color="auto" w:fill="auto"/>
            <w:tcMar>
              <w:left w:w="43" w:type="dxa"/>
              <w:right w:w="43" w:type="dxa"/>
            </w:tcMar>
            <w:vAlign w:val="center"/>
          </w:tcPr>
          <w:p w:rsidR="00E12221" w:rsidRDefault="00E12221" w:rsidP="00C81E06">
            <w:pPr>
              <w:jc w:val="right"/>
              <w:rPr>
                <w:i/>
                <w:iCs/>
                <w:sz w:val="14"/>
                <w:szCs w:val="14"/>
              </w:rPr>
            </w:pPr>
            <w:r>
              <w:rPr>
                <w:i/>
                <w:iCs/>
                <w:sz w:val="14"/>
                <w:szCs w:val="14"/>
              </w:rPr>
              <w:t>151,567</w:t>
            </w:r>
          </w:p>
        </w:tc>
        <w:tc>
          <w:tcPr>
            <w:tcW w:w="815" w:type="dxa"/>
            <w:tcBorders>
              <w:bottom w:val="single" w:sz="12" w:space="0" w:color="auto"/>
            </w:tcBorders>
            <w:shd w:val="clear" w:color="auto" w:fill="auto"/>
            <w:tcMar>
              <w:left w:w="43" w:type="dxa"/>
              <w:right w:w="43" w:type="dxa"/>
            </w:tcMar>
            <w:vAlign w:val="center"/>
          </w:tcPr>
          <w:p w:rsidR="00E12221" w:rsidRDefault="00E12221" w:rsidP="00C81E06">
            <w:pPr>
              <w:jc w:val="right"/>
              <w:rPr>
                <w:i/>
                <w:iCs/>
                <w:sz w:val="14"/>
                <w:szCs w:val="14"/>
              </w:rPr>
            </w:pPr>
            <w:r>
              <w:rPr>
                <w:i/>
                <w:iCs/>
                <w:sz w:val="14"/>
                <w:szCs w:val="14"/>
              </w:rPr>
              <w:t>197,495</w:t>
            </w:r>
          </w:p>
        </w:tc>
        <w:tc>
          <w:tcPr>
            <w:tcW w:w="740" w:type="dxa"/>
            <w:tcBorders>
              <w:bottom w:val="single" w:sz="12" w:space="0" w:color="auto"/>
            </w:tcBorders>
            <w:shd w:val="clear" w:color="auto" w:fill="auto"/>
            <w:tcMar>
              <w:left w:w="43" w:type="dxa"/>
              <w:right w:w="43" w:type="dxa"/>
            </w:tcMar>
            <w:vAlign w:val="center"/>
            <w:hideMark/>
          </w:tcPr>
          <w:p w:rsidR="00E12221" w:rsidRDefault="00E12221" w:rsidP="00C81E06">
            <w:pPr>
              <w:jc w:val="right"/>
              <w:rPr>
                <w:i/>
                <w:iCs/>
                <w:sz w:val="14"/>
                <w:szCs w:val="14"/>
              </w:rPr>
            </w:pPr>
            <w:r>
              <w:rPr>
                <w:i/>
                <w:iCs/>
                <w:sz w:val="14"/>
                <w:szCs w:val="14"/>
              </w:rPr>
              <w:t>248,421</w:t>
            </w:r>
          </w:p>
        </w:tc>
        <w:tc>
          <w:tcPr>
            <w:tcW w:w="730" w:type="dxa"/>
            <w:tcBorders>
              <w:bottom w:val="single" w:sz="12" w:space="0" w:color="auto"/>
            </w:tcBorders>
            <w:shd w:val="clear" w:color="auto" w:fill="auto"/>
            <w:tcMar>
              <w:left w:w="43" w:type="dxa"/>
              <w:right w:w="43" w:type="dxa"/>
            </w:tcMar>
            <w:vAlign w:val="center"/>
          </w:tcPr>
          <w:p w:rsidR="00E12221" w:rsidRDefault="00E12221" w:rsidP="00012B38">
            <w:pPr>
              <w:jc w:val="right"/>
              <w:rPr>
                <w:i/>
                <w:iCs/>
                <w:sz w:val="14"/>
                <w:szCs w:val="14"/>
              </w:rPr>
            </w:pPr>
            <w:r>
              <w:rPr>
                <w:i/>
                <w:iCs/>
                <w:sz w:val="14"/>
                <w:szCs w:val="14"/>
              </w:rPr>
              <w:t>197,495</w:t>
            </w:r>
          </w:p>
        </w:tc>
        <w:tc>
          <w:tcPr>
            <w:tcW w:w="715" w:type="dxa"/>
            <w:tcBorders>
              <w:bottom w:val="single" w:sz="12" w:space="0" w:color="auto"/>
            </w:tcBorders>
            <w:shd w:val="clear" w:color="auto" w:fill="auto"/>
            <w:tcMar>
              <w:left w:w="43" w:type="dxa"/>
              <w:right w:w="43" w:type="dxa"/>
            </w:tcMar>
            <w:vAlign w:val="center"/>
            <w:hideMark/>
          </w:tcPr>
          <w:p w:rsidR="00E12221" w:rsidRDefault="00E12221" w:rsidP="00C81E06">
            <w:pPr>
              <w:jc w:val="right"/>
              <w:rPr>
                <w:i/>
                <w:iCs/>
                <w:sz w:val="14"/>
                <w:szCs w:val="14"/>
              </w:rPr>
            </w:pPr>
            <w:r>
              <w:rPr>
                <w:i/>
                <w:iCs/>
                <w:sz w:val="14"/>
                <w:szCs w:val="14"/>
              </w:rPr>
              <w:t>802,528</w:t>
            </w:r>
          </w:p>
        </w:tc>
        <w:tc>
          <w:tcPr>
            <w:tcW w:w="720" w:type="dxa"/>
            <w:tcBorders>
              <w:bottom w:val="single" w:sz="12" w:space="0" w:color="auto"/>
            </w:tcBorders>
            <w:shd w:val="clear" w:color="auto" w:fill="auto"/>
            <w:tcMar>
              <w:left w:w="43" w:type="dxa"/>
              <w:right w:w="43" w:type="dxa"/>
            </w:tcMar>
            <w:vAlign w:val="center"/>
          </w:tcPr>
          <w:p w:rsidR="00E12221" w:rsidRDefault="00E12221" w:rsidP="00C81E06">
            <w:pPr>
              <w:jc w:val="right"/>
              <w:rPr>
                <w:i/>
                <w:iCs/>
                <w:sz w:val="14"/>
                <w:szCs w:val="14"/>
              </w:rPr>
            </w:pPr>
            <w:r>
              <w:rPr>
                <w:i/>
                <w:iCs/>
                <w:sz w:val="14"/>
                <w:szCs w:val="14"/>
              </w:rPr>
              <w:t>837,603</w:t>
            </w:r>
          </w:p>
        </w:tc>
        <w:tc>
          <w:tcPr>
            <w:tcW w:w="725" w:type="dxa"/>
            <w:tcBorders>
              <w:bottom w:val="single" w:sz="12" w:space="0" w:color="auto"/>
            </w:tcBorders>
            <w:shd w:val="clear" w:color="auto" w:fill="auto"/>
            <w:tcMar>
              <w:left w:w="43" w:type="dxa"/>
              <w:right w:w="43" w:type="dxa"/>
            </w:tcMar>
            <w:vAlign w:val="center"/>
          </w:tcPr>
          <w:p w:rsidR="00E12221" w:rsidRDefault="00E12221" w:rsidP="00C81E06">
            <w:pPr>
              <w:jc w:val="right"/>
              <w:rPr>
                <w:i/>
                <w:iCs/>
                <w:sz w:val="14"/>
                <w:szCs w:val="14"/>
              </w:rPr>
            </w:pPr>
            <w:r>
              <w:rPr>
                <w:i/>
                <w:iCs/>
                <w:sz w:val="14"/>
                <w:szCs w:val="14"/>
              </w:rPr>
              <w:t>823,946</w:t>
            </w:r>
          </w:p>
        </w:tc>
        <w:tc>
          <w:tcPr>
            <w:tcW w:w="720" w:type="dxa"/>
            <w:tcBorders>
              <w:bottom w:val="single" w:sz="12" w:space="0" w:color="auto"/>
            </w:tcBorders>
            <w:shd w:val="clear" w:color="auto" w:fill="auto"/>
            <w:noWrap/>
            <w:tcMar>
              <w:left w:w="43" w:type="dxa"/>
              <w:right w:w="43" w:type="dxa"/>
            </w:tcMar>
            <w:vAlign w:val="center"/>
          </w:tcPr>
          <w:p w:rsidR="00E12221" w:rsidRDefault="00E12221" w:rsidP="00E12221">
            <w:pPr>
              <w:jc w:val="right"/>
              <w:rPr>
                <w:i/>
                <w:iCs/>
                <w:sz w:val="14"/>
                <w:szCs w:val="14"/>
              </w:rPr>
            </w:pPr>
            <w:r>
              <w:rPr>
                <w:i/>
                <w:iCs/>
                <w:sz w:val="14"/>
                <w:szCs w:val="14"/>
              </w:rPr>
              <w:t>1,111,097</w:t>
            </w:r>
          </w:p>
        </w:tc>
      </w:tr>
      <w:tr w:rsidR="00C81E06" w:rsidRPr="00FA2FBA" w:rsidTr="007A445B">
        <w:trPr>
          <w:trHeight w:val="375"/>
        </w:trPr>
        <w:tc>
          <w:tcPr>
            <w:tcW w:w="10638" w:type="dxa"/>
            <w:gridSpan w:val="10"/>
            <w:tcBorders>
              <w:top w:val="single" w:sz="12" w:space="0" w:color="auto"/>
            </w:tcBorders>
            <w:shd w:val="clear" w:color="auto" w:fill="auto"/>
            <w:noWrap/>
            <w:hideMark/>
          </w:tcPr>
          <w:p w:rsidR="00C81E06" w:rsidRDefault="00C81E06" w:rsidP="00C81E06">
            <w:pPr>
              <w:jc w:val="right"/>
              <w:rPr>
                <w:b/>
                <w:bCs/>
                <w:color w:val="auto"/>
                <w:sz w:val="14"/>
                <w:szCs w:val="14"/>
              </w:rPr>
            </w:pPr>
            <w:r>
              <w:rPr>
                <w:sz w:val="14"/>
                <w:szCs w:val="14"/>
              </w:rPr>
              <w:t>Source: Statistics &amp; Data Warehouse Department SBP</w:t>
            </w:r>
          </w:p>
          <w:p w:rsidR="00C81E06" w:rsidRPr="00FA2FBA" w:rsidRDefault="00C81E06" w:rsidP="00C81E06">
            <w:pPr>
              <w:jc w:val="left"/>
              <w:rPr>
                <w:rFonts w:ascii="Calibri" w:hAnsi="Calibri"/>
                <w:sz w:val="22"/>
                <w:szCs w:val="22"/>
              </w:rPr>
            </w:pPr>
            <w:r w:rsidRPr="004F1CC1">
              <w:rPr>
                <w:b/>
                <w:bCs/>
                <w:color w:val="auto"/>
                <w:sz w:val="14"/>
                <w:szCs w:val="14"/>
              </w:rPr>
              <w:t xml:space="preserve">Note :  </w:t>
            </w:r>
          </w:p>
        </w:tc>
      </w:tr>
      <w:tr w:rsidR="00C81E06" w:rsidRPr="00FA2FBA" w:rsidTr="00846691">
        <w:trPr>
          <w:trHeight w:val="423"/>
        </w:trPr>
        <w:tc>
          <w:tcPr>
            <w:tcW w:w="10638" w:type="dxa"/>
            <w:gridSpan w:val="10"/>
            <w:shd w:val="clear" w:color="auto" w:fill="auto"/>
            <w:noWrap/>
            <w:vAlign w:val="center"/>
            <w:hideMark/>
          </w:tcPr>
          <w:p w:rsidR="00C81E06" w:rsidRPr="006A1E59" w:rsidRDefault="00C81E06" w:rsidP="00C81E06">
            <w:pPr>
              <w:pStyle w:val="ListParagraph"/>
              <w:numPr>
                <w:ilvl w:val="0"/>
                <w:numId w:val="14"/>
              </w:numPr>
              <w:spacing w:after="0"/>
              <w:ind w:left="360"/>
              <w:rPr>
                <w:rFonts w:asciiTheme="majorBidi" w:hAnsiTheme="majorBidi" w:cstheme="majorBidi"/>
                <w:sz w:val="14"/>
                <w:szCs w:val="14"/>
              </w:rPr>
            </w:pPr>
            <w:r w:rsidRPr="006A1E59">
              <w:rPr>
                <w:rFonts w:asciiTheme="majorBidi" w:hAnsiTheme="majorBidi" w:cstheme="majorBidi"/>
                <w:sz w:val="14"/>
                <w:szCs w:val="14"/>
              </w:rPr>
              <w:t xml:space="preserve">The table shows monetary statistics of the Central Bank (State Bank of Pakistan) according to the guidelines of IMF Monetary and Financial Statistics Manual (MFSM 2000). Compilation methodology is available at: </w:t>
            </w:r>
            <w:hyperlink r:id="rId9" w:history="1">
              <w:r w:rsidRPr="006A1E59">
                <w:rPr>
                  <w:rFonts w:asciiTheme="majorBidi" w:hAnsiTheme="majorBidi" w:cstheme="majorBidi"/>
                  <w:sz w:val="14"/>
                  <w:szCs w:val="14"/>
                </w:rPr>
                <w:t>http://www.sbp.org.pk/departments/Guidelines.htm</w:t>
              </w:r>
            </w:hyperlink>
          </w:p>
          <w:p w:rsidR="00C81E06" w:rsidRPr="006A1E59" w:rsidRDefault="00C81E06" w:rsidP="00C81E06">
            <w:pPr>
              <w:numPr>
                <w:ilvl w:val="0"/>
                <w:numId w:val="14"/>
              </w:numPr>
              <w:tabs>
                <w:tab w:val="left" w:pos="450"/>
              </w:tabs>
              <w:ind w:left="360"/>
              <w:jc w:val="left"/>
              <w:rPr>
                <w:rFonts w:asciiTheme="majorBidi" w:hAnsiTheme="majorBidi" w:cstheme="majorBidi"/>
                <w:color w:val="auto"/>
                <w:szCs w:val="16"/>
              </w:rPr>
            </w:pPr>
            <w:r w:rsidRPr="006A1E59">
              <w:rPr>
                <w:rFonts w:asciiTheme="majorBidi" w:hAnsiTheme="majorBidi" w:cstheme="majorBidi"/>
                <w:color w:val="auto"/>
                <w:sz w:val="14"/>
                <w:szCs w:val="14"/>
              </w:rPr>
              <w:t>General Government includes Central and Provincial Government &amp; Provincial Governments includes Provincial and Local Governments</w:t>
            </w:r>
          </w:p>
        </w:tc>
      </w:tr>
      <w:tr w:rsidR="00C81E06" w:rsidRPr="00FA2FBA" w:rsidTr="00846691">
        <w:trPr>
          <w:trHeight w:val="268"/>
        </w:trPr>
        <w:tc>
          <w:tcPr>
            <w:tcW w:w="10638" w:type="dxa"/>
            <w:gridSpan w:val="10"/>
            <w:shd w:val="clear" w:color="auto" w:fill="auto"/>
            <w:noWrap/>
            <w:vAlign w:val="center"/>
            <w:hideMark/>
          </w:tcPr>
          <w:p w:rsidR="00C81E06" w:rsidRPr="00CE511E" w:rsidRDefault="00C81E06" w:rsidP="00C81E06">
            <w:pPr>
              <w:jc w:val="left"/>
              <w:rPr>
                <w:color w:val="0000FF"/>
                <w:sz w:val="14"/>
                <w:szCs w:val="14"/>
                <w:u w:val="single"/>
              </w:rPr>
            </w:pPr>
            <w:r w:rsidRPr="00CE511E">
              <w:rPr>
                <w:color w:val="auto"/>
                <w:sz w:val="14"/>
                <w:szCs w:val="14"/>
              </w:rPr>
              <w:t xml:space="preserve">Archive link: </w:t>
            </w:r>
            <w:hyperlink r:id="rId10" w:history="1">
              <w:r w:rsidRPr="00CE511E">
                <w:rPr>
                  <w:rStyle w:val="Hyperlink"/>
                  <w:sz w:val="14"/>
                  <w:szCs w:val="14"/>
                </w:rPr>
                <w:t>http://www.sbp.org.pk/ecodata/AnaAccArc.xls</w:t>
              </w:r>
            </w:hyperlink>
          </w:p>
        </w:tc>
      </w:tr>
    </w:tbl>
    <w:p w:rsidR="00DF368E" w:rsidRDefault="00DF368E" w:rsidP="0069571C">
      <w:pPr>
        <w:jc w:val="left"/>
        <w:rPr>
          <w:b/>
          <w:color w:val="auto"/>
        </w:rPr>
      </w:pPr>
    </w:p>
    <w:p w:rsidR="00DF368E" w:rsidRDefault="00DF368E" w:rsidP="0069571C">
      <w:pPr>
        <w:jc w:val="left"/>
        <w:rPr>
          <w:b/>
          <w:color w:val="auto"/>
        </w:rPr>
      </w:pPr>
    </w:p>
    <w:p w:rsidR="00D63291" w:rsidRDefault="00D63291"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p w:rsidR="009024A8" w:rsidRDefault="009024A8" w:rsidP="0069571C">
      <w:pPr>
        <w:jc w:val="left"/>
        <w:rPr>
          <w:b/>
          <w:color w:val="auto"/>
        </w:rPr>
      </w:pPr>
    </w:p>
    <w:p w:rsidR="001821A1" w:rsidRDefault="001821A1" w:rsidP="0069571C">
      <w:pPr>
        <w:jc w:val="left"/>
        <w:rPr>
          <w:b/>
          <w:color w:val="auto"/>
        </w:rPr>
      </w:pPr>
    </w:p>
    <w:p w:rsidR="00261F80" w:rsidRDefault="00261F80" w:rsidP="0069571C">
      <w:pPr>
        <w:jc w:val="left"/>
        <w:rPr>
          <w:b/>
          <w:color w:val="auto"/>
        </w:rPr>
      </w:pPr>
    </w:p>
    <w:p w:rsidR="009024A8" w:rsidRDefault="009024A8" w:rsidP="0069571C">
      <w:pPr>
        <w:jc w:val="left"/>
        <w:rPr>
          <w:b/>
          <w:color w:val="auto"/>
        </w:rPr>
      </w:pPr>
    </w:p>
    <w:p w:rsidR="009024A8" w:rsidRDefault="009024A8"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6A1E59" w:rsidRDefault="006A1E59" w:rsidP="0069571C">
      <w:pPr>
        <w:jc w:val="left"/>
        <w:rPr>
          <w:b/>
          <w:color w:val="auto"/>
        </w:rPr>
      </w:pPr>
    </w:p>
    <w:p w:rsidR="009024A8" w:rsidRDefault="009024A8" w:rsidP="0069571C">
      <w:pPr>
        <w:jc w:val="left"/>
        <w:rPr>
          <w:b/>
          <w:color w:val="auto"/>
        </w:rPr>
      </w:pPr>
    </w:p>
    <w:p w:rsidR="00DF368E" w:rsidRDefault="00DF368E" w:rsidP="0069571C">
      <w:pPr>
        <w:jc w:val="left"/>
        <w:rPr>
          <w:b/>
          <w:color w:val="auto"/>
        </w:rPr>
      </w:pPr>
    </w:p>
    <w:p w:rsidR="00DF368E" w:rsidRDefault="00DF368E" w:rsidP="0069571C">
      <w:pPr>
        <w:jc w:val="left"/>
        <w:rPr>
          <w:b/>
          <w:color w:val="auto"/>
        </w:rPr>
      </w:pPr>
    </w:p>
    <w:tbl>
      <w:tblPr>
        <w:tblpPr w:leftFromText="180" w:rightFromText="180" w:vertAnchor="page" w:horzAnchor="margin" w:tblpY="1096"/>
        <w:tblW w:w="9918" w:type="dxa"/>
        <w:tblLook w:val="04A0" w:firstRow="1" w:lastRow="0" w:firstColumn="1" w:lastColumn="0" w:noHBand="0" w:noVBand="1"/>
      </w:tblPr>
      <w:tblGrid>
        <w:gridCol w:w="2930"/>
        <w:gridCol w:w="760"/>
        <w:gridCol w:w="741"/>
        <w:gridCol w:w="807"/>
        <w:gridCol w:w="810"/>
        <w:gridCol w:w="794"/>
        <w:gridCol w:w="720"/>
        <w:gridCol w:w="736"/>
        <w:gridCol w:w="810"/>
        <w:gridCol w:w="810"/>
      </w:tblGrid>
      <w:tr w:rsidR="006146BD" w:rsidRPr="008245E8" w:rsidTr="009E36CE">
        <w:trPr>
          <w:trHeight w:val="216"/>
        </w:trPr>
        <w:tc>
          <w:tcPr>
            <w:tcW w:w="9918" w:type="dxa"/>
            <w:gridSpan w:val="10"/>
            <w:tcBorders>
              <w:top w:val="nil"/>
              <w:left w:val="nil"/>
              <w:bottom w:val="nil"/>
              <w:right w:val="nil"/>
            </w:tcBorders>
            <w:shd w:val="clear" w:color="auto" w:fill="auto"/>
            <w:noWrap/>
            <w:vAlign w:val="bottom"/>
            <w:hideMark/>
          </w:tcPr>
          <w:p w:rsidR="006146BD" w:rsidRPr="008245E8" w:rsidRDefault="006146BD" w:rsidP="00FB5CDC">
            <w:pPr>
              <w:rPr>
                <w:b/>
                <w:bCs/>
                <w:color w:val="auto"/>
                <w:sz w:val="28"/>
                <w:szCs w:val="28"/>
              </w:rPr>
            </w:pPr>
            <w:r>
              <w:rPr>
                <w:b/>
                <w:bCs/>
                <w:color w:val="auto"/>
                <w:sz w:val="28"/>
                <w:szCs w:val="28"/>
              </w:rPr>
              <w:t>2.2</w:t>
            </w:r>
            <w:r w:rsidRPr="008245E8">
              <w:rPr>
                <w:b/>
                <w:bCs/>
                <w:color w:val="auto"/>
                <w:sz w:val="28"/>
                <w:szCs w:val="28"/>
              </w:rPr>
              <w:t xml:space="preserve">  Other Depository Corporations Survey </w:t>
            </w:r>
          </w:p>
        </w:tc>
      </w:tr>
      <w:tr w:rsidR="006146BD" w:rsidRPr="008245E8" w:rsidTr="009E36CE">
        <w:trPr>
          <w:trHeight w:val="216"/>
        </w:trPr>
        <w:tc>
          <w:tcPr>
            <w:tcW w:w="9918" w:type="dxa"/>
            <w:gridSpan w:val="10"/>
            <w:tcBorders>
              <w:top w:val="nil"/>
              <w:left w:val="nil"/>
              <w:bottom w:val="single" w:sz="12" w:space="0" w:color="auto"/>
              <w:right w:val="nil"/>
            </w:tcBorders>
            <w:shd w:val="clear" w:color="auto" w:fill="auto"/>
            <w:vAlign w:val="bottom"/>
            <w:hideMark/>
          </w:tcPr>
          <w:p w:rsidR="006146BD" w:rsidRPr="008245E8" w:rsidRDefault="006146BD" w:rsidP="00FB5CDC">
            <w:pPr>
              <w:jc w:val="right"/>
              <w:rPr>
                <w:color w:val="auto"/>
                <w:szCs w:val="16"/>
              </w:rPr>
            </w:pPr>
            <w:r w:rsidRPr="008245E8">
              <w:rPr>
                <w:color w:val="auto"/>
                <w:szCs w:val="16"/>
              </w:rPr>
              <w:t>(Million Rupees)</w:t>
            </w:r>
          </w:p>
        </w:tc>
      </w:tr>
      <w:tr w:rsidR="003E0EA6" w:rsidRPr="008245E8" w:rsidTr="002B6352">
        <w:trPr>
          <w:trHeight w:val="216"/>
        </w:trPr>
        <w:tc>
          <w:tcPr>
            <w:tcW w:w="2930" w:type="dxa"/>
            <w:vMerge w:val="restart"/>
            <w:tcBorders>
              <w:top w:val="nil"/>
              <w:left w:val="nil"/>
              <w:bottom w:val="single" w:sz="12" w:space="0" w:color="000000"/>
              <w:right w:val="single" w:sz="4" w:space="0" w:color="auto"/>
            </w:tcBorders>
            <w:shd w:val="clear" w:color="auto" w:fill="auto"/>
            <w:noWrap/>
            <w:vAlign w:val="center"/>
            <w:hideMark/>
          </w:tcPr>
          <w:p w:rsidR="003E0EA6" w:rsidRPr="008245E8" w:rsidRDefault="003E0EA6" w:rsidP="00203D68">
            <w:pPr>
              <w:rPr>
                <w:b/>
                <w:bCs/>
                <w:color w:val="auto"/>
                <w:szCs w:val="16"/>
              </w:rPr>
            </w:pPr>
            <w:r w:rsidRPr="008245E8">
              <w:rPr>
                <w:b/>
                <w:bCs/>
                <w:color w:val="auto"/>
                <w:szCs w:val="16"/>
              </w:rPr>
              <w:t>I T E M S</w:t>
            </w:r>
          </w:p>
        </w:tc>
        <w:tc>
          <w:tcPr>
            <w:tcW w:w="760" w:type="dxa"/>
            <w:vMerge w:val="restart"/>
            <w:tcBorders>
              <w:top w:val="single" w:sz="12" w:space="0" w:color="auto"/>
              <w:left w:val="single" w:sz="4" w:space="0" w:color="auto"/>
              <w:right w:val="single" w:sz="4" w:space="0" w:color="auto"/>
            </w:tcBorders>
            <w:shd w:val="clear" w:color="auto" w:fill="auto"/>
            <w:vAlign w:val="center"/>
            <w:hideMark/>
          </w:tcPr>
          <w:p w:rsidR="003E0EA6" w:rsidRPr="008245E8" w:rsidRDefault="003E0EA6" w:rsidP="00203D68">
            <w:pPr>
              <w:jc w:val="right"/>
              <w:rPr>
                <w:b/>
                <w:bCs/>
                <w:color w:val="auto"/>
                <w:szCs w:val="16"/>
              </w:rPr>
            </w:pPr>
            <w:r w:rsidRPr="009311D7">
              <w:rPr>
                <w:b/>
                <w:bCs/>
                <w:color w:val="auto"/>
                <w:szCs w:val="16"/>
              </w:rPr>
              <w:t>FY17</w:t>
            </w:r>
          </w:p>
        </w:tc>
        <w:tc>
          <w:tcPr>
            <w:tcW w:w="741" w:type="dxa"/>
            <w:vMerge w:val="restart"/>
            <w:tcBorders>
              <w:top w:val="nil"/>
              <w:left w:val="single" w:sz="4" w:space="0" w:color="auto"/>
              <w:right w:val="single" w:sz="4" w:space="0" w:color="auto"/>
            </w:tcBorders>
            <w:shd w:val="clear" w:color="auto" w:fill="auto"/>
            <w:vAlign w:val="center"/>
          </w:tcPr>
          <w:p w:rsidR="003E0EA6" w:rsidRPr="002D5FD9" w:rsidRDefault="003E0EA6" w:rsidP="00203D68">
            <w:pPr>
              <w:jc w:val="right"/>
              <w:rPr>
                <w:b/>
                <w:bCs/>
                <w:szCs w:val="16"/>
              </w:rPr>
            </w:pPr>
            <w:r>
              <w:rPr>
                <w:b/>
                <w:bCs/>
                <w:szCs w:val="16"/>
              </w:rPr>
              <w:t>FY18</w:t>
            </w:r>
          </w:p>
        </w:tc>
        <w:tc>
          <w:tcPr>
            <w:tcW w:w="807" w:type="dxa"/>
            <w:vMerge w:val="restart"/>
            <w:tcBorders>
              <w:top w:val="nil"/>
              <w:left w:val="single" w:sz="4" w:space="0" w:color="auto"/>
              <w:right w:val="single" w:sz="4" w:space="0" w:color="auto"/>
            </w:tcBorders>
            <w:shd w:val="clear" w:color="auto" w:fill="auto"/>
            <w:vAlign w:val="center"/>
          </w:tcPr>
          <w:p w:rsidR="003E0EA6" w:rsidRPr="002D5FD9" w:rsidRDefault="003E0EA6" w:rsidP="00DE6559">
            <w:pPr>
              <w:jc w:val="right"/>
              <w:rPr>
                <w:b/>
                <w:bCs/>
                <w:szCs w:val="16"/>
              </w:rPr>
            </w:pPr>
            <w:r>
              <w:rPr>
                <w:b/>
                <w:bCs/>
                <w:szCs w:val="16"/>
              </w:rPr>
              <w:t>FY19</w:t>
            </w:r>
          </w:p>
        </w:tc>
        <w:tc>
          <w:tcPr>
            <w:tcW w:w="1604" w:type="dxa"/>
            <w:gridSpan w:val="2"/>
            <w:tcBorders>
              <w:top w:val="nil"/>
              <w:left w:val="single" w:sz="4" w:space="0" w:color="auto"/>
              <w:bottom w:val="single" w:sz="4" w:space="0" w:color="auto"/>
              <w:right w:val="single" w:sz="4" w:space="0" w:color="auto"/>
            </w:tcBorders>
            <w:shd w:val="clear" w:color="auto" w:fill="auto"/>
            <w:vAlign w:val="center"/>
          </w:tcPr>
          <w:p w:rsidR="003E0EA6" w:rsidRPr="008245E8" w:rsidRDefault="003E0EA6" w:rsidP="00203D68">
            <w:pPr>
              <w:rPr>
                <w:b/>
                <w:bCs/>
                <w:color w:val="auto"/>
                <w:szCs w:val="16"/>
              </w:rPr>
            </w:pPr>
            <w:r>
              <w:rPr>
                <w:b/>
                <w:bCs/>
                <w:color w:val="auto"/>
                <w:szCs w:val="16"/>
              </w:rPr>
              <w:t>2019</w:t>
            </w:r>
          </w:p>
        </w:tc>
        <w:tc>
          <w:tcPr>
            <w:tcW w:w="3076" w:type="dxa"/>
            <w:gridSpan w:val="4"/>
            <w:tcBorders>
              <w:top w:val="single" w:sz="12" w:space="0" w:color="auto"/>
              <w:left w:val="single" w:sz="4" w:space="0" w:color="auto"/>
              <w:bottom w:val="single" w:sz="4" w:space="0" w:color="auto"/>
              <w:right w:val="nil"/>
            </w:tcBorders>
            <w:shd w:val="clear" w:color="auto" w:fill="auto"/>
            <w:vAlign w:val="center"/>
          </w:tcPr>
          <w:p w:rsidR="003E0EA6" w:rsidRPr="008245E8" w:rsidRDefault="003E0EA6" w:rsidP="00203D68">
            <w:pPr>
              <w:rPr>
                <w:b/>
                <w:bCs/>
                <w:color w:val="auto"/>
                <w:szCs w:val="16"/>
              </w:rPr>
            </w:pPr>
            <w:r>
              <w:rPr>
                <w:b/>
                <w:bCs/>
                <w:color w:val="auto"/>
                <w:szCs w:val="16"/>
              </w:rPr>
              <w:t>2020</w:t>
            </w:r>
          </w:p>
        </w:tc>
      </w:tr>
      <w:tr w:rsidR="00C81E06" w:rsidRPr="008245E8" w:rsidTr="002B6352">
        <w:trPr>
          <w:trHeight w:val="216"/>
        </w:trPr>
        <w:tc>
          <w:tcPr>
            <w:tcW w:w="2930" w:type="dxa"/>
            <w:vMerge/>
            <w:tcBorders>
              <w:top w:val="nil"/>
              <w:left w:val="nil"/>
              <w:bottom w:val="single" w:sz="12" w:space="0" w:color="000000"/>
              <w:right w:val="single" w:sz="4" w:space="0" w:color="auto"/>
            </w:tcBorders>
            <w:shd w:val="clear" w:color="auto" w:fill="auto"/>
            <w:vAlign w:val="center"/>
            <w:hideMark/>
          </w:tcPr>
          <w:p w:rsidR="00C81E06" w:rsidRPr="008245E8" w:rsidRDefault="00C81E06" w:rsidP="00C81E06">
            <w:pPr>
              <w:jc w:val="left"/>
              <w:rPr>
                <w:b/>
                <w:bCs/>
                <w:color w:val="auto"/>
                <w:szCs w:val="16"/>
              </w:rPr>
            </w:pPr>
          </w:p>
        </w:tc>
        <w:tc>
          <w:tcPr>
            <w:tcW w:w="76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p>
        </w:tc>
        <w:tc>
          <w:tcPr>
            <w:tcW w:w="741"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
        </w:tc>
        <w:tc>
          <w:tcPr>
            <w:tcW w:w="807"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794"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Mar</w:t>
            </w:r>
          </w:p>
        </w:tc>
        <w:tc>
          <w:tcPr>
            <w:tcW w:w="736"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roofErr w:type="spellStart"/>
            <w:r>
              <w:rPr>
                <w:b/>
                <w:color w:val="auto"/>
                <w:sz w:val="14"/>
                <w:szCs w:val="14"/>
              </w:rPr>
              <w:t>May</w:t>
            </w:r>
            <w:r w:rsidR="00FD61D4" w:rsidRPr="00FD61D4">
              <w:rPr>
                <w:b/>
                <w:color w:val="auto"/>
                <w:sz w:val="14"/>
                <w:szCs w:val="14"/>
                <w:vertAlign w:val="superscript"/>
              </w:rPr>
              <w:t>R</w:t>
            </w:r>
            <w:proofErr w:type="spellEnd"/>
          </w:p>
        </w:tc>
        <w:tc>
          <w:tcPr>
            <w:tcW w:w="810"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Net Foreign Assets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(5,711)</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(72,715)</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(180,417)</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(183,325)</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(180,417)</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(261,006)</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(305,560)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(262,598)</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(208,786)</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Claims on nonresidents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505,554</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514,474</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604,432</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560,502</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604,432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572,732</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519,314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539,700</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603,425</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a) Foreign currency</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29,434</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35,023</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59,945</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45,318</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59,945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43,107</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50,404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57,523</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67,102</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b) Deposits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159,099</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132,663</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162,224</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154,962</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162,224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157,184</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120,690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147,335</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181,346</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c)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126,665</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145,176</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156,463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147,613</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156,463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151,845</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128,857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117,069</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121,658</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d) Loans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17,727</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7,684</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440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410</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440</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2,113</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3,395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1,421</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3,574</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e)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805</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1,548</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2,869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1,561</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2,869</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3,114</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1,325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1,225</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970</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f)  Shares &amp; other equity</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169,719</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189,517</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217,233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206,067</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217,233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209,143</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208,759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208,859</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221,967</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g) Other</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2,104</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2,864</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5,258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4,570</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5,258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6,226</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5,883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6,268</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6,808</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less: Liabilities to nonresidents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511,265</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587,189</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784,848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743,826</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784,848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833,738</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824,874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802,298</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812,211</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131,865</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178,373</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249,754</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243,188</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249,754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297,648</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300,148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305,216</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309,856</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b)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c) Loans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369,598</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395,529</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520,753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485,036</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520,753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517,738</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508,237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480,855</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487,075</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d) Financial derivatives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292</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2,564</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3,378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2,734</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3,378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4,548</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2,457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1,753</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2,409</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e) Other</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9,510</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10,723</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10,963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12,868</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10,963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13,805</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14,032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14,473</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12,871</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Claims on Central bank</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947,849</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1,080,602</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1,733,741</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1,369,622</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1,733,741</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1,341,249</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1,329,956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1,209,640</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1,510,596</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a) Currency</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268,288</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260,756</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349,590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394,566</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349,590</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350,038</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364,032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381,088</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331,789</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b) Reserve deposits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656,394</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808,104</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1,253,753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867,665</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1,253,753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936,659</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809,142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808,412</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1,155,088</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c) Other claims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23,167</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11,742</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130,397</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107,391</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130,397</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54,552</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156,782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20,141</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23,719</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Net Claims on General Government</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6,895,270</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6,747,146</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5,822,118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5,617,924</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5,822,118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7,558,204</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8,121,081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8,498,067</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8,649,793</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Net 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7,132,523</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6,913,695</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6,137,617</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5,931,688</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6,137,617</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8,042,350</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8,561,083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8,802,066</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9,080,116</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Claims on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8,026,138</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8,009,697</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7,384,672</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7,054,392</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7,384,672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9,324,059</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9,866,447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10,302,471</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10,470,924</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7,801,618</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7,761,847</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7,116,683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6,785,105</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7,116,683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9,054,272</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9,605,698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9,992,124</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10,190,640</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224,520</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247,850</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267,989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269,287</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267,989</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269,787</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260,749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310,348</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280,285</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less: Liabilities to Central Government</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1,122,704</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1,247,054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1,281,709</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1,305,364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1,500,405</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1,390,808</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893,614</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1,096,002</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1,247,054</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1,122,704</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1,247,054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1,281,709</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1,305,364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1,500,405</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1,390,808</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Net 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(237,253)</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(166,549)</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(315,499)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(313,764)</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(315,499)</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(484,146)</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(440,002)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(303,999)</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(430,323)</w:t>
            </w:r>
          </w:p>
        </w:tc>
      </w:tr>
      <w:tr w:rsidR="00FD61D4" w:rsidRPr="008245E8" w:rsidTr="001734D6">
        <w:trPr>
          <w:trHeight w:val="363"/>
        </w:trPr>
        <w:tc>
          <w:tcPr>
            <w:tcW w:w="2930" w:type="dxa"/>
            <w:tcBorders>
              <w:top w:val="nil"/>
              <w:left w:val="nil"/>
              <w:bottom w:val="nil"/>
              <w:right w:val="nil"/>
            </w:tcBorders>
            <w:shd w:val="clear" w:color="auto" w:fill="auto"/>
            <w:noWrap/>
            <w:vAlign w:val="center"/>
            <w:hideMark/>
          </w:tcPr>
          <w:p w:rsidR="00FD61D4" w:rsidRPr="008245E8" w:rsidRDefault="00FD61D4" w:rsidP="00C81E06">
            <w:pPr>
              <w:jc w:val="left"/>
              <w:rPr>
                <w:b/>
                <w:bCs/>
                <w:color w:val="auto"/>
                <w:szCs w:val="16"/>
              </w:rPr>
            </w:pPr>
            <w:r w:rsidRPr="008245E8">
              <w:rPr>
                <w:b/>
                <w:bCs/>
                <w:color w:val="auto"/>
                <w:szCs w:val="16"/>
              </w:rPr>
              <w:t>Claims on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556,668</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565,321</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457,800</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502,981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631,425</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627,236</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ind w:firstLineChars="200" w:firstLine="320"/>
              <w:jc w:val="left"/>
              <w:rPr>
                <w:color w:val="auto"/>
                <w:szCs w:val="16"/>
              </w:rPr>
            </w:pPr>
            <w:r w:rsidRPr="008245E8">
              <w:rPr>
                <w:color w:val="auto"/>
                <w:szCs w:val="16"/>
              </w:rPr>
              <w:t>a) Securities other than Shares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pPr>
            <w:r w:rsidRPr="00A264DB">
              <w:rPr>
                <w:sz w:val="14"/>
                <w:szCs w:val="14"/>
              </w:rPr>
              <w:t>..</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i/>
                <w:iCs/>
                <w:sz w:val="14"/>
                <w:szCs w:val="14"/>
              </w:rPr>
            </w:pPr>
            <w:r>
              <w:rPr>
                <w:i/>
                <w:iCs/>
                <w:sz w:val="14"/>
                <w:szCs w:val="14"/>
              </w:rPr>
              <w:t>..</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i/>
                <w:iCs/>
                <w:sz w:val="14"/>
                <w:szCs w:val="14"/>
              </w:rPr>
            </w:pPr>
            <w:r>
              <w:rPr>
                <w:i/>
                <w:iCs/>
                <w:sz w:val="14"/>
                <w:szCs w:val="14"/>
              </w:rPr>
              <w:t>..</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i/>
                <w:iCs/>
                <w:sz w:val="14"/>
                <w:szCs w:val="14"/>
              </w:rPr>
            </w:pPr>
            <w:r>
              <w:rPr>
                <w:i/>
                <w:iCs/>
                <w:sz w:val="14"/>
                <w:szCs w:val="14"/>
              </w:rPr>
              <w:t>..</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ind w:firstLineChars="200" w:firstLine="320"/>
              <w:jc w:val="left"/>
              <w:rPr>
                <w:color w:val="auto"/>
                <w:szCs w:val="16"/>
              </w:rPr>
            </w:pPr>
            <w:r w:rsidRPr="008245E8">
              <w:rPr>
                <w:color w:val="auto"/>
                <w:szCs w:val="16"/>
              </w:rPr>
              <w:t>b) Other claims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483,331</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602,715</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565,321</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556,668</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565,321</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457,800</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502,981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631,425</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627,236</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jc w:val="left"/>
              <w:rPr>
                <w:b/>
                <w:bCs/>
                <w:color w:val="auto"/>
                <w:szCs w:val="16"/>
              </w:rPr>
            </w:pPr>
            <w:r w:rsidRPr="008245E8">
              <w:rPr>
                <w:b/>
                <w:bCs/>
                <w:color w:val="auto"/>
                <w:szCs w:val="16"/>
              </w:rPr>
              <w:t>less: Liabilities to Provincial Governments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b/>
                <w:bCs/>
                <w:sz w:val="14"/>
                <w:szCs w:val="14"/>
              </w:rPr>
            </w:pPr>
            <w:r>
              <w:rPr>
                <w:b/>
                <w:bCs/>
                <w:sz w:val="14"/>
                <w:szCs w:val="14"/>
              </w:rPr>
              <w:t>720,584</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769,264</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880,820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b/>
                <w:bCs/>
                <w:sz w:val="14"/>
                <w:szCs w:val="14"/>
              </w:rPr>
            </w:pPr>
            <w:r>
              <w:rPr>
                <w:b/>
                <w:bCs/>
                <w:sz w:val="14"/>
                <w:szCs w:val="14"/>
              </w:rPr>
              <w:t>870,433</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880,820</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b/>
                <w:bCs/>
                <w:sz w:val="14"/>
                <w:szCs w:val="14"/>
              </w:rPr>
            </w:pPr>
            <w:r>
              <w:rPr>
                <w:b/>
                <w:bCs/>
                <w:sz w:val="14"/>
                <w:szCs w:val="14"/>
              </w:rPr>
              <w:t>941,946</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942,982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935,424</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1,057,559</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ind w:firstLineChars="200" w:firstLine="320"/>
              <w:jc w:val="left"/>
              <w:rPr>
                <w:color w:val="auto"/>
                <w:szCs w:val="16"/>
              </w:rPr>
            </w:pPr>
            <w:r w:rsidRPr="008245E8">
              <w:rPr>
                <w:color w:val="auto"/>
                <w:szCs w:val="16"/>
              </w:rPr>
              <w:t>a) Deposits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715,991</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760,398</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871,915</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861,360</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871,915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932,705</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933,966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926,326</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1,050,685</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ind w:firstLineChars="200" w:firstLine="320"/>
              <w:jc w:val="left"/>
              <w:rPr>
                <w:color w:val="auto"/>
                <w:szCs w:val="16"/>
              </w:rPr>
            </w:pPr>
            <w:r w:rsidRPr="008245E8">
              <w:rPr>
                <w:color w:val="auto"/>
                <w:szCs w:val="16"/>
              </w:rPr>
              <w:t>b) Other liabilities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4,593</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8,866</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8,905</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9,073</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8,905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9,241</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9,017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9,098</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6,874</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jc w:val="left"/>
              <w:rPr>
                <w:b/>
                <w:bCs/>
                <w:color w:val="auto"/>
                <w:szCs w:val="16"/>
              </w:rPr>
            </w:pPr>
            <w:r w:rsidRPr="008245E8">
              <w:rPr>
                <w:b/>
                <w:bCs/>
                <w:color w:val="auto"/>
                <w:szCs w:val="16"/>
              </w:rPr>
              <w:t>Claims on other sectors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b/>
                <w:bCs/>
                <w:sz w:val="14"/>
                <w:szCs w:val="14"/>
              </w:rPr>
            </w:pPr>
            <w:r>
              <w:rPr>
                <w:b/>
                <w:bCs/>
                <w:sz w:val="14"/>
                <w:szCs w:val="14"/>
              </w:rPr>
              <w:t>6,251,044</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7,318,333</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8,323,196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b/>
                <w:bCs/>
                <w:sz w:val="14"/>
                <w:szCs w:val="14"/>
              </w:rPr>
            </w:pPr>
            <w:r>
              <w:rPr>
                <w:b/>
                <w:bCs/>
                <w:sz w:val="14"/>
                <w:szCs w:val="14"/>
              </w:rPr>
              <w:t>8,265,979</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8,323,196</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b/>
                <w:bCs/>
                <w:sz w:val="14"/>
                <w:szCs w:val="14"/>
              </w:rPr>
            </w:pPr>
            <w:r>
              <w:rPr>
                <w:b/>
                <w:bCs/>
                <w:sz w:val="14"/>
                <w:szCs w:val="14"/>
              </w:rPr>
              <w:t>8,640,873</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8,656,686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8,755,538</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8,602,896</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ind w:firstLineChars="200" w:firstLine="320"/>
              <w:jc w:val="left"/>
              <w:rPr>
                <w:color w:val="auto"/>
                <w:szCs w:val="16"/>
              </w:rPr>
            </w:pPr>
            <w:r w:rsidRPr="008245E8">
              <w:rPr>
                <w:color w:val="auto"/>
                <w:szCs w:val="16"/>
              </w:rPr>
              <w:t>a) Other 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98,726</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105,183</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99,030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100,825</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99,030</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91,370</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94,461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97,652</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91,901</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ind w:firstLineChars="200" w:firstLine="320"/>
              <w:jc w:val="left"/>
              <w:rPr>
                <w:color w:val="auto"/>
                <w:szCs w:val="16"/>
              </w:rPr>
            </w:pPr>
            <w:r w:rsidRPr="008245E8">
              <w:rPr>
                <w:color w:val="auto"/>
                <w:szCs w:val="16"/>
              </w:rPr>
              <w:t>b) Public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1,025,871</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1,268,801</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1,581,154</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1,589,720</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1,581,154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1,634,612</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1,640,829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1,788,861</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1,727,878</w:t>
            </w:r>
          </w:p>
        </w:tc>
      </w:tr>
      <w:tr w:rsidR="00FD61D4" w:rsidRPr="008245E8" w:rsidTr="001734D6">
        <w:trPr>
          <w:trHeight w:val="245"/>
        </w:trPr>
        <w:tc>
          <w:tcPr>
            <w:tcW w:w="2930" w:type="dxa"/>
            <w:tcBorders>
              <w:top w:val="nil"/>
              <w:left w:val="nil"/>
              <w:bottom w:val="nil"/>
              <w:right w:val="nil"/>
            </w:tcBorders>
            <w:shd w:val="clear" w:color="auto" w:fill="auto"/>
            <w:noWrap/>
            <w:vAlign w:val="center"/>
            <w:hideMark/>
          </w:tcPr>
          <w:p w:rsidR="00FD61D4" w:rsidRPr="008245E8" w:rsidRDefault="00FD61D4" w:rsidP="00FD61D4">
            <w:pPr>
              <w:ind w:firstLineChars="200" w:firstLine="320"/>
              <w:jc w:val="left"/>
              <w:rPr>
                <w:color w:val="auto"/>
                <w:szCs w:val="16"/>
              </w:rPr>
            </w:pPr>
            <w:r w:rsidRPr="008245E8">
              <w:rPr>
                <w:color w:val="auto"/>
                <w:szCs w:val="16"/>
              </w:rPr>
              <w:t>c) Other non-financial corporations</w:t>
            </w:r>
          </w:p>
        </w:tc>
        <w:tc>
          <w:tcPr>
            <w:tcW w:w="76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4,059,627</w:t>
            </w:r>
          </w:p>
        </w:tc>
        <w:tc>
          <w:tcPr>
            <w:tcW w:w="741"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4,700,394</w:t>
            </w:r>
          </w:p>
        </w:tc>
        <w:tc>
          <w:tcPr>
            <w:tcW w:w="807"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5,224,698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5,172,032</w:t>
            </w:r>
          </w:p>
        </w:tc>
        <w:tc>
          <w:tcPr>
            <w:tcW w:w="794"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5,224,698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5,526,576</w:t>
            </w:r>
          </w:p>
        </w:tc>
        <w:tc>
          <w:tcPr>
            <w:tcW w:w="736"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5,512,862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5,471,707</w:t>
            </w:r>
          </w:p>
        </w:tc>
        <w:tc>
          <w:tcPr>
            <w:tcW w:w="81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5,374,610</w:t>
            </w:r>
          </w:p>
        </w:tc>
      </w:tr>
      <w:tr w:rsidR="00FD61D4" w:rsidRPr="008245E8" w:rsidTr="001734D6">
        <w:trPr>
          <w:trHeight w:val="245"/>
        </w:trPr>
        <w:tc>
          <w:tcPr>
            <w:tcW w:w="2930" w:type="dxa"/>
            <w:tcBorders>
              <w:top w:val="nil"/>
              <w:left w:val="nil"/>
              <w:bottom w:val="single" w:sz="12" w:space="0" w:color="auto"/>
              <w:right w:val="nil"/>
            </w:tcBorders>
            <w:shd w:val="clear" w:color="auto" w:fill="auto"/>
            <w:noWrap/>
            <w:vAlign w:val="center"/>
            <w:hideMark/>
          </w:tcPr>
          <w:p w:rsidR="00FD61D4" w:rsidRPr="008245E8" w:rsidRDefault="00FD61D4" w:rsidP="00FD61D4">
            <w:pPr>
              <w:ind w:firstLineChars="200" w:firstLine="320"/>
              <w:jc w:val="left"/>
              <w:rPr>
                <w:color w:val="auto"/>
                <w:szCs w:val="16"/>
              </w:rPr>
            </w:pPr>
            <w:r w:rsidRPr="008245E8">
              <w:rPr>
                <w:color w:val="auto"/>
                <w:szCs w:val="16"/>
              </w:rPr>
              <w:t>d) Other resident sectors</w:t>
            </w:r>
          </w:p>
        </w:tc>
        <w:tc>
          <w:tcPr>
            <w:tcW w:w="760" w:type="dxa"/>
            <w:tcBorders>
              <w:top w:val="nil"/>
              <w:left w:val="nil"/>
              <w:bottom w:val="single" w:sz="12" w:space="0" w:color="auto"/>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1,066,820</w:t>
            </w:r>
          </w:p>
        </w:tc>
        <w:tc>
          <w:tcPr>
            <w:tcW w:w="741"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1,243,954</w:t>
            </w:r>
          </w:p>
        </w:tc>
        <w:tc>
          <w:tcPr>
            <w:tcW w:w="807"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1,418,315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1,403,403</w:t>
            </w:r>
          </w:p>
        </w:tc>
        <w:tc>
          <w:tcPr>
            <w:tcW w:w="794"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1,418,315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D61D4" w:rsidRDefault="00FD61D4" w:rsidP="00FD61D4">
            <w:pPr>
              <w:jc w:val="right"/>
              <w:rPr>
                <w:sz w:val="14"/>
                <w:szCs w:val="14"/>
              </w:rPr>
            </w:pPr>
            <w:r>
              <w:rPr>
                <w:sz w:val="14"/>
                <w:szCs w:val="14"/>
              </w:rPr>
              <w:t>1,388,316</w:t>
            </w:r>
          </w:p>
        </w:tc>
        <w:tc>
          <w:tcPr>
            <w:tcW w:w="736"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1,408,533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1,397,319</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1,408,507</w:t>
            </w:r>
          </w:p>
        </w:tc>
      </w:tr>
    </w:tbl>
    <w:p w:rsidR="006146BD" w:rsidRDefault="006146BD" w:rsidP="0069571C">
      <w:pPr>
        <w:jc w:val="left"/>
        <w:rPr>
          <w:b/>
          <w:color w:val="auto"/>
        </w:rPr>
      </w:pPr>
    </w:p>
    <w:p w:rsidR="006146BD" w:rsidRPr="006146BD" w:rsidRDefault="006146BD" w:rsidP="006146BD"/>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p w:rsidR="006146BD" w:rsidRDefault="006146BD" w:rsidP="006146BD"/>
    <w:tbl>
      <w:tblPr>
        <w:tblpPr w:leftFromText="180" w:rightFromText="180" w:vertAnchor="page" w:horzAnchor="margin" w:tblpY="931"/>
        <w:tblW w:w="9990" w:type="dxa"/>
        <w:tblLayout w:type="fixed"/>
        <w:tblLook w:val="04A0" w:firstRow="1" w:lastRow="0" w:firstColumn="1" w:lastColumn="0" w:noHBand="0" w:noVBand="1"/>
      </w:tblPr>
      <w:tblGrid>
        <w:gridCol w:w="3076"/>
        <w:gridCol w:w="812"/>
        <w:gridCol w:w="810"/>
        <w:gridCol w:w="810"/>
        <w:gridCol w:w="720"/>
        <w:gridCol w:w="810"/>
        <w:gridCol w:w="720"/>
        <w:gridCol w:w="720"/>
        <w:gridCol w:w="720"/>
        <w:gridCol w:w="792"/>
      </w:tblGrid>
      <w:tr w:rsidR="006146BD" w:rsidRPr="00E5171C" w:rsidTr="006146BD">
        <w:trPr>
          <w:trHeight w:val="245"/>
        </w:trPr>
        <w:tc>
          <w:tcPr>
            <w:tcW w:w="9990" w:type="dxa"/>
            <w:gridSpan w:val="10"/>
            <w:tcBorders>
              <w:top w:val="nil"/>
              <w:left w:val="nil"/>
              <w:bottom w:val="nil"/>
              <w:right w:val="nil"/>
            </w:tcBorders>
            <w:shd w:val="clear" w:color="auto" w:fill="auto"/>
            <w:noWrap/>
            <w:vAlign w:val="bottom"/>
            <w:hideMark/>
          </w:tcPr>
          <w:p w:rsidR="006146BD" w:rsidRPr="00E5171C" w:rsidRDefault="006146BD" w:rsidP="006146BD">
            <w:pPr>
              <w:rPr>
                <w:b/>
                <w:bCs/>
                <w:color w:val="auto"/>
                <w:sz w:val="28"/>
                <w:szCs w:val="28"/>
              </w:rPr>
            </w:pPr>
            <w:r>
              <w:rPr>
                <w:b/>
                <w:bCs/>
                <w:color w:val="auto"/>
                <w:sz w:val="28"/>
                <w:szCs w:val="28"/>
              </w:rPr>
              <w:lastRenderedPageBreak/>
              <w:t>2.2</w:t>
            </w:r>
            <w:r w:rsidRPr="00E5171C">
              <w:rPr>
                <w:b/>
                <w:bCs/>
                <w:color w:val="auto"/>
                <w:sz w:val="28"/>
                <w:szCs w:val="28"/>
              </w:rPr>
              <w:t xml:space="preserve">  Other Depository Corporations Survey </w:t>
            </w:r>
          </w:p>
        </w:tc>
      </w:tr>
      <w:tr w:rsidR="006146BD" w:rsidRPr="00E5171C" w:rsidTr="006146BD">
        <w:trPr>
          <w:trHeight w:val="245"/>
        </w:trPr>
        <w:tc>
          <w:tcPr>
            <w:tcW w:w="9990" w:type="dxa"/>
            <w:gridSpan w:val="10"/>
            <w:tcBorders>
              <w:top w:val="nil"/>
              <w:left w:val="nil"/>
              <w:bottom w:val="single" w:sz="12" w:space="0" w:color="auto"/>
              <w:right w:val="nil"/>
            </w:tcBorders>
            <w:shd w:val="clear" w:color="auto" w:fill="auto"/>
            <w:vAlign w:val="bottom"/>
            <w:hideMark/>
          </w:tcPr>
          <w:p w:rsidR="006146BD" w:rsidRPr="00E5171C" w:rsidRDefault="006146BD" w:rsidP="006146BD">
            <w:pPr>
              <w:jc w:val="right"/>
              <w:rPr>
                <w:color w:val="auto"/>
                <w:szCs w:val="16"/>
              </w:rPr>
            </w:pPr>
            <w:r w:rsidRPr="00E5171C">
              <w:rPr>
                <w:color w:val="auto"/>
                <w:szCs w:val="16"/>
              </w:rPr>
              <w:t>(Million Rupees)</w:t>
            </w:r>
          </w:p>
        </w:tc>
      </w:tr>
      <w:tr w:rsidR="00B53B15" w:rsidRPr="00E5171C" w:rsidTr="002B6352">
        <w:trPr>
          <w:trHeight w:val="245"/>
        </w:trPr>
        <w:tc>
          <w:tcPr>
            <w:tcW w:w="3076" w:type="dxa"/>
            <w:vMerge w:val="restart"/>
            <w:tcBorders>
              <w:top w:val="nil"/>
              <w:left w:val="nil"/>
              <w:bottom w:val="single" w:sz="12" w:space="0" w:color="000000"/>
              <w:right w:val="single" w:sz="4" w:space="0" w:color="auto"/>
            </w:tcBorders>
            <w:shd w:val="clear" w:color="auto" w:fill="auto"/>
            <w:noWrap/>
            <w:vAlign w:val="center"/>
            <w:hideMark/>
          </w:tcPr>
          <w:p w:rsidR="00B53B15" w:rsidRPr="00E5171C" w:rsidRDefault="00B53B15" w:rsidP="00203D68">
            <w:pPr>
              <w:rPr>
                <w:b/>
                <w:bCs/>
                <w:color w:val="auto"/>
                <w:szCs w:val="16"/>
              </w:rPr>
            </w:pPr>
            <w:r w:rsidRPr="00E5171C">
              <w:rPr>
                <w:b/>
                <w:bCs/>
                <w:color w:val="auto"/>
                <w:szCs w:val="16"/>
              </w:rPr>
              <w:t>I T E M S</w:t>
            </w:r>
          </w:p>
        </w:tc>
        <w:tc>
          <w:tcPr>
            <w:tcW w:w="812" w:type="dxa"/>
            <w:vMerge w:val="restart"/>
            <w:tcBorders>
              <w:top w:val="single" w:sz="12" w:space="0" w:color="auto"/>
              <w:left w:val="single" w:sz="4" w:space="0" w:color="auto"/>
              <w:right w:val="single" w:sz="4" w:space="0" w:color="auto"/>
            </w:tcBorders>
            <w:shd w:val="clear" w:color="auto" w:fill="auto"/>
            <w:vAlign w:val="center"/>
            <w:hideMark/>
          </w:tcPr>
          <w:p w:rsidR="00B53B15" w:rsidRPr="00E5171C" w:rsidRDefault="00B53B15" w:rsidP="00203D68">
            <w:pPr>
              <w:jc w:val="right"/>
              <w:rPr>
                <w:b/>
                <w:bCs/>
                <w:color w:val="auto"/>
                <w:szCs w:val="16"/>
              </w:rPr>
            </w:pPr>
            <w:r w:rsidRPr="009311D7">
              <w:rPr>
                <w:b/>
                <w:bCs/>
                <w:color w:val="auto"/>
                <w:szCs w:val="16"/>
              </w:rPr>
              <w:t>FY17</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0" w:type="dxa"/>
            <w:vMerge w:val="restart"/>
            <w:tcBorders>
              <w:top w:val="nil"/>
              <w:left w:val="single" w:sz="4" w:space="0" w:color="auto"/>
              <w:right w:val="single" w:sz="4" w:space="0" w:color="auto"/>
            </w:tcBorders>
            <w:shd w:val="clear" w:color="auto" w:fill="auto"/>
            <w:vAlign w:val="center"/>
          </w:tcPr>
          <w:p w:rsidR="00B53B15" w:rsidRPr="002D5FD9" w:rsidRDefault="00B53B15" w:rsidP="00DE6559">
            <w:pPr>
              <w:jc w:val="right"/>
              <w:rPr>
                <w:b/>
                <w:bCs/>
                <w:szCs w:val="16"/>
              </w:rPr>
            </w:pPr>
            <w:r>
              <w:rPr>
                <w:b/>
                <w:bCs/>
                <w:szCs w:val="16"/>
              </w:rPr>
              <w:t>FY19</w:t>
            </w:r>
          </w:p>
        </w:tc>
        <w:tc>
          <w:tcPr>
            <w:tcW w:w="1530" w:type="dxa"/>
            <w:gridSpan w:val="2"/>
            <w:tcBorders>
              <w:top w:val="nil"/>
              <w:left w:val="single" w:sz="4" w:space="0" w:color="auto"/>
              <w:bottom w:val="single" w:sz="4" w:space="0" w:color="auto"/>
              <w:right w:val="single" w:sz="4" w:space="0" w:color="auto"/>
            </w:tcBorders>
            <w:shd w:val="clear" w:color="auto" w:fill="auto"/>
            <w:vAlign w:val="center"/>
          </w:tcPr>
          <w:p w:rsidR="00B53B15" w:rsidRPr="00E5171C" w:rsidRDefault="00B53B15" w:rsidP="00203D68">
            <w:pPr>
              <w:rPr>
                <w:b/>
                <w:bCs/>
                <w:color w:val="auto"/>
                <w:szCs w:val="16"/>
              </w:rPr>
            </w:pPr>
            <w:r>
              <w:rPr>
                <w:b/>
                <w:bCs/>
                <w:color w:val="auto"/>
                <w:szCs w:val="16"/>
              </w:rPr>
              <w:t>2019</w:t>
            </w:r>
          </w:p>
        </w:tc>
        <w:tc>
          <w:tcPr>
            <w:tcW w:w="2952" w:type="dxa"/>
            <w:gridSpan w:val="4"/>
            <w:tcBorders>
              <w:top w:val="single" w:sz="12" w:space="0" w:color="auto"/>
              <w:left w:val="single" w:sz="4" w:space="0" w:color="auto"/>
              <w:bottom w:val="single" w:sz="4" w:space="0" w:color="auto"/>
              <w:right w:val="nil"/>
            </w:tcBorders>
            <w:shd w:val="clear" w:color="auto" w:fill="auto"/>
            <w:vAlign w:val="center"/>
          </w:tcPr>
          <w:p w:rsidR="00B53B15" w:rsidRPr="00E5171C" w:rsidRDefault="00B53B15" w:rsidP="00203D68">
            <w:pPr>
              <w:rPr>
                <w:b/>
                <w:bCs/>
                <w:color w:val="auto"/>
                <w:szCs w:val="16"/>
              </w:rPr>
            </w:pPr>
            <w:r>
              <w:rPr>
                <w:b/>
                <w:bCs/>
                <w:color w:val="auto"/>
                <w:szCs w:val="16"/>
              </w:rPr>
              <w:t>2020</w:t>
            </w:r>
          </w:p>
        </w:tc>
      </w:tr>
      <w:tr w:rsidR="00C81E06" w:rsidRPr="00E5171C" w:rsidTr="002B6352">
        <w:trPr>
          <w:trHeight w:val="245"/>
        </w:trPr>
        <w:tc>
          <w:tcPr>
            <w:tcW w:w="3076" w:type="dxa"/>
            <w:vMerge/>
            <w:tcBorders>
              <w:top w:val="nil"/>
              <w:left w:val="nil"/>
              <w:bottom w:val="single" w:sz="12" w:space="0" w:color="000000"/>
              <w:right w:val="single" w:sz="4" w:space="0" w:color="auto"/>
            </w:tcBorders>
            <w:shd w:val="clear" w:color="auto" w:fill="auto"/>
            <w:vAlign w:val="center"/>
            <w:hideMark/>
          </w:tcPr>
          <w:p w:rsidR="00C81E06" w:rsidRPr="00E5171C" w:rsidRDefault="00C81E06" w:rsidP="00C81E06">
            <w:pPr>
              <w:jc w:val="left"/>
              <w:rPr>
                <w:b/>
                <w:bCs/>
                <w:color w:val="auto"/>
                <w:szCs w:val="16"/>
              </w:rPr>
            </w:pPr>
          </w:p>
        </w:tc>
        <w:tc>
          <w:tcPr>
            <w:tcW w:w="812"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proofErr w:type="spellStart"/>
            <w:r>
              <w:rPr>
                <w:b/>
                <w:color w:val="auto"/>
                <w:sz w:val="14"/>
                <w:szCs w:val="14"/>
              </w:rPr>
              <w:t>May</w:t>
            </w:r>
            <w:r w:rsidR="00FD61D4" w:rsidRPr="00FD61D4">
              <w:rPr>
                <w:b/>
                <w:color w:val="auto"/>
                <w:sz w:val="14"/>
                <w:szCs w:val="14"/>
                <w:vertAlign w:val="superscript"/>
              </w:rPr>
              <w:t>R</w:t>
            </w:r>
            <w:proofErr w:type="spellEnd"/>
          </w:p>
        </w:tc>
        <w:tc>
          <w:tcPr>
            <w:tcW w:w="792"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Liabilities to central bank</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1,881,628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2,057,073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1,451,331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1,380,753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1,702,070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2,049,966</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2,360,770</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1,771,900</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Deposits included in broad money(1+2)</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10,483,658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11,377,575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12,511,977</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11,771,095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12,511,977</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13,393,768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13,345,201</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13,478,182</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14,499,736</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1)  Transferable deposits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7,991,825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8,733,675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8,912,186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9,470,778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10,139,343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10,160,310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10,288,879</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11,077,237</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249,897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217,753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225,854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230,162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421,624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278,180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255,637</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369,567</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312,106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359,520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367,831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383,870</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494,902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535,553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547,887</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543,548</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2,358,188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2,503,447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2,389,861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2,517,224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2,797,185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2,860,406</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2,866,731</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3,182,727</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5,071,634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5,652,955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5,928,640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6,339,522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6,425,632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6,486,171</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6,618,625</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6,981,395</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2)  Other deposits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2,491,833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2,643,900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3,041,199</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2,858,909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3,041,199</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3,254,424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3,184,891</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3,189,303</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3,422,499</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168" w:firstLine="269"/>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74,546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80,923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98,038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78,947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98,038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73,188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71,911</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82,483</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78,927</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168" w:firstLine="269"/>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411,242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428,607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494,185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460,312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494,185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595,240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565,501</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557,069</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591,289</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168" w:firstLine="269"/>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828,116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862,865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887,278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819,047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887,278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946,147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904,893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899,539</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992,225</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168" w:firstLine="269"/>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1,177,930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1,271,505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1,561,698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1,500,603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1,561,698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1,639,849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1,642,587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1,650,212</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1,760,058</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Securities other than shares, included in broad money</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17</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18</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color w:val="auto"/>
                <w:szCs w:val="16"/>
              </w:rPr>
            </w:pPr>
            <w:r w:rsidRPr="00E5171C">
              <w:rPr>
                <w:color w:val="auto"/>
                <w:szCs w:val="16"/>
              </w:rPr>
              <w:t>a)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14</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color w:val="auto"/>
                <w:szCs w:val="16"/>
              </w:rPr>
            </w:pPr>
            <w:r w:rsidRPr="00E5171C">
              <w:rPr>
                <w:color w:val="auto"/>
                <w:szCs w:val="16"/>
              </w:rPr>
              <w:t>b) Public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color w:val="auto"/>
                <w:szCs w:val="16"/>
              </w:rPr>
            </w:pPr>
            <w:r w:rsidRPr="00E5171C">
              <w:rPr>
                <w:color w:val="auto"/>
                <w:szCs w:val="16"/>
              </w:rPr>
              <w:t>c) Other non-financial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color w:val="auto"/>
                <w:szCs w:val="16"/>
              </w:rPr>
            </w:pPr>
            <w:r w:rsidRPr="00E5171C">
              <w:rPr>
                <w:color w:val="auto"/>
                <w:szCs w:val="16"/>
              </w:rPr>
              <w:t>d) Other resident sectors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Deposits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Securities other than shares, excluded from broad money</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15,535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19,530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38,369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36,745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41,008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41,821</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39,863</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39,072</w:t>
            </w:r>
          </w:p>
        </w:tc>
      </w:tr>
      <w:tr w:rsidR="00FD61D4" w:rsidRPr="00E5171C" w:rsidTr="001734D6">
        <w:trPr>
          <w:trHeight w:val="245"/>
        </w:trPr>
        <w:tc>
          <w:tcPr>
            <w:tcW w:w="3076" w:type="dxa"/>
            <w:tcBorders>
              <w:top w:val="nil"/>
              <w:left w:val="nil"/>
              <w:bottom w:val="nil"/>
              <w:right w:val="nil"/>
            </w:tcBorders>
            <w:shd w:val="clear" w:color="auto" w:fill="auto"/>
            <w:vAlign w:val="center"/>
            <w:hideMark/>
          </w:tcPr>
          <w:p w:rsidR="00FD61D4" w:rsidRPr="00E5171C" w:rsidRDefault="00FD61D4" w:rsidP="00C81E06">
            <w:pPr>
              <w:ind w:firstLineChars="200" w:firstLine="320"/>
              <w:jc w:val="left"/>
              <w:rPr>
                <w:i/>
                <w:iCs/>
                <w:color w:val="auto"/>
                <w:szCs w:val="16"/>
              </w:rPr>
            </w:pPr>
            <w:r w:rsidRPr="00E5171C">
              <w:rPr>
                <w:i/>
                <w:iCs/>
                <w:color w:val="auto"/>
                <w:szCs w:val="16"/>
              </w:rPr>
              <w:t>Of which: Other financial corporations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11,582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12,876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20,460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i/>
                <w:iCs/>
                <w:sz w:val="14"/>
                <w:szCs w:val="14"/>
              </w:rPr>
            </w:pPr>
            <w:r>
              <w:rPr>
                <w:i/>
                <w:iCs/>
                <w:sz w:val="14"/>
                <w:szCs w:val="14"/>
              </w:rPr>
              <w:t>19,053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21,616</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22,715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20,472</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i/>
                <w:iCs/>
                <w:sz w:val="14"/>
                <w:szCs w:val="14"/>
              </w:rPr>
            </w:pPr>
            <w:r>
              <w:rPr>
                <w:i/>
                <w:iCs/>
                <w:sz w:val="14"/>
                <w:szCs w:val="14"/>
              </w:rPr>
              <w:t>20,306</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Loans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11,395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12,744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15,257</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14,904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15,257</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24,555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25,554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29,954</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28,145</w:t>
            </w:r>
          </w:p>
        </w:tc>
      </w:tr>
      <w:tr w:rsidR="00FD61D4" w:rsidRPr="00E5171C" w:rsidTr="001734D6">
        <w:trPr>
          <w:trHeight w:val="245"/>
        </w:trPr>
        <w:tc>
          <w:tcPr>
            <w:tcW w:w="3076" w:type="dxa"/>
            <w:tcBorders>
              <w:top w:val="nil"/>
              <w:left w:val="nil"/>
              <w:bottom w:val="nil"/>
              <w:right w:val="nil"/>
            </w:tcBorders>
            <w:shd w:val="clear" w:color="auto" w:fill="auto"/>
            <w:vAlign w:val="center"/>
            <w:hideMark/>
          </w:tcPr>
          <w:p w:rsidR="00FD61D4" w:rsidRPr="00E5171C" w:rsidRDefault="00FD61D4" w:rsidP="00C81E0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1,743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3,411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6,628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6,185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i/>
                <w:iCs/>
                <w:sz w:val="14"/>
                <w:szCs w:val="14"/>
              </w:rPr>
            </w:pPr>
            <w:r>
              <w:rPr>
                <w:i/>
                <w:iCs/>
                <w:sz w:val="14"/>
                <w:szCs w:val="14"/>
              </w:rPr>
              <w:t>6,628</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16,218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17,217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21,799</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i/>
                <w:iCs/>
                <w:sz w:val="14"/>
                <w:szCs w:val="14"/>
              </w:rPr>
            </w:pPr>
            <w:r>
              <w:rPr>
                <w:i/>
                <w:iCs/>
                <w:sz w:val="14"/>
                <w:szCs w:val="14"/>
              </w:rPr>
              <w:t>19,990</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Financial derivatives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962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3,686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5,397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10,259</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6,574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5,349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5,331</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6,447</w:t>
            </w:r>
          </w:p>
        </w:tc>
      </w:tr>
      <w:tr w:rsidR="00FD61D4" w:rsidRPr="00E5171C" w:rsidTr="00D978CC">
        <w:trPr>
          <w:trHeight w:val="245"/>
        </w:trPr>
        <w:tc>
          <w:tcPr>
            <w:tcW w:w="3076" w:type="dxa"/>
            <w:tcBorders>
              <w:top w:val="nil"/>
              <w:left w:val="nil"/>
              <w:bottom w:val="nil"/>
              <w:right w:val="nil"/>
            </w:tcBorders>
            <w:shd w:val="clear" w:color="auto" w:fill="auto"/>
            <w:vAlign w:val="center"/>
            <w:hideMark/>
          </w:tcPr>
          <w:p w:rsidR="00FD61D4" w:rsidRPr="00E5171C" w:rsidRDefault="00FD61D4" w:rsidP="00C81E0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i/>
                <w:iCs/>
                <w:sz w:val="14"/>
                <w:szCs w:val="14"/>
              </w:rPr>
            </w:pPr>
            <w:r>
              <w:rPr>
                <w:i/>
                <w:iCs/>
                <w:sz w:val="14"/>
                <w:szCs w:val="14"/>
              </w:rPr>
              <w:t>-</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Trade credit and advances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127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136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73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24</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27</w:t>
            </w:r>
          </w:p>
        </w:tc>
      </w:tr>
      <w:tr w:rsidR="00FD61D4" w:rsidRPr="00E5171C" w:rsidTr="001734D6">
        <w:trPr>
          <w:trHeight w:val="245"/>
        </w:trPr>
        <w:tc>
          <w:tcPr>
            <w:tcW w:w="3076" w:type="dxa"/>
            <w:tcBorders>
              <w:top w:val="nil"/>
              <w:left w:val="nil"/>
              <w:bottom w:val="nil"/>
              <w:right w:val="nil"/>
            </w:tcBorders>
            <w:shd w:val="clear" w:color="auto" w:fill="auto"/>
            <w:vAlign w:val="center"/>
            <w:hideMark/>
          </w:tcPr>
          <w:p w:rsidR="00FD61D4" w:rsidRPr="00E5171C" w:rsidRDefault="00FD61D4" w:rsidP="00C81E06">
            <w:pPr>
              <w:ind w:firstLineChars="200" w:firstLine="320"/>
              <w:jc w:val="left"/>
              <w:rPr>
                <w:i/>
                <w:iCs/>
                <w:color w:val="auto"/>
                <w:szCs w:val="16"/>
              </w:rPr>
            </w:pPr>
            <w:r w:rsidRPr="00E5171C">
              <w:rPr>
                <w:i/>
                <w:iCs/>
                <w:color w:val="auto"/>
                <w:szCs w:val="16"/>
              </w:rPr>
              <w:t xml:space="preserve">Of which: Other financial corporations </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Shares and other equity</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1,682,897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1,678,673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1,719,972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1,693,405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1,719,972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1,943,575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2,071,484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2,053,649</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2,059,884</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color w:val="auto"/>
                <w:szCs w:val="16"/>
              </w:rPr>
            </w:pPr>
            <w:r w:rsidRPr="00E5171C">
              <w:rPr>
                <w:color w:val="auto"/>
                <w:szCs w:val="16"/>
              </w:rPr>
              <w:t>a) Funds contributed by owners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737,674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610,095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633,292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629,339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633,292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649,008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648,830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649,416</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651,811</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color w:val="auto"/>
                <w:szCs w:val="16"/>
              </w:rPr>
            </w:pPr>
            <w:r w:rsidRPr="00E5171C">
              <w:rPr>
                <w:color w:val="auto"/>
                <w:szCs w:val="16"/>
              </w:rPr>
              <w:t>b) Retained earnings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385,969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447,303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500,105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485,880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500,105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545,672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538,895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568,023</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600,949</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color w:val="auto"/>
                <w:szCs w:val="16"/>
              </w:rPr>
            </w:pPr>
            <w:r w:rsidRPr="00E5171C">
              <w:rPr>
                <w:color w:val="auto"/>
                <w:szCs w:val="16"/>
              </w:rPr>
              <w:t>c) General and special reserves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288,062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377,673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439,292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430,290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439,292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471,510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488,712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485,271</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484,743</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ind w:firstLineChars="200" w:firstLine="320"/>
              <w:jc w:val="left"/>
              <w:rPr>
                <w:color w:val="auto"/>
                <w:szCs w:val="16"/>
              </w:rPr>
            </w:pPr>
            <w:r w:rsidRPr="00E5171C">
              <w:rPr>
                <w:color w:val="auto"/>
                <w:szCs w:val="16"/>
              </w:rPr>
              <w:t>d) Valuation adjustment</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271,191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243,601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147,282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147,896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sz w:val="14"/>
                <w:szCs w:val="14"/>
              </w:rPr>
            </w:pPr>
            <w:r>
              <w:rPr>
                <w:sz w:val="14"/>
                <w:szCs w:val="14"/>
              </w:rPr>
              <w:t>147,282</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277,385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395,047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350,939</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322,382</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Other items (net)</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12,494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(75,794)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95,763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23,733</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167,779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262,793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232,906</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149,324</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Other liabilities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1,325,403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1,453,328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1,741,724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1,739,122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1,741,724</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2,066,189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2,049,383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2,022,511</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2,082,863</w:t>
            </w:r>
          </w:p>
        </w:tc>
      </w:tr>
      <w:tr w:rsidR="00FD61D4" w:rsidRPr="00E5171C" w:rsidTr="001734D6">
        <w:trPr>
          <w:trHeight w:val="245"/>
        </w:trPr>
        <w:tc>
          <w:tcPr>
            <w:tcW w:w="3076" w:type="dxa"/>
            <w:tcBorders>
              <w:top w:val="nil"/>
              <w:left w:val="nil"/>
              <w:bottom w:val="nil"/>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less: Other assets</w:t>
            </w:r>
          </w:p>
        </w:tc>
        <w:tc>
          <w:tcPr>
            <w:tcW w:w="81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1,269,919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1,462,839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1,673,745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1,597,857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1,673,745</w:t>
            </w:r>
          </w:p>
        </w:tc>
        <w:tc>
          <w:tcPr>
            <w:tcW w:w="72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1,783,326</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1,735,143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1,752,437</w:t>
            </w:r>
          </w:p>
        </w:tc>
        <w:tc>
          <w:tcPr>
            <w:tcW w:w="792"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1,809,106</w:t>
            </w:r>
          </w:p>
        </w:tc>
      </w:tr>
      <w:tr w:rsidR="00FD61D4" w:rsidRPr="00E5171C" w:rsidTr="001734D6">
        <w:trPr>
          <w:trHeight w:val="245"/>
        </w:trPr>
        <w:tc>
          <w:tcPr>
            <w:tcW w:w="3076" w:type="dxa"/>
            <w:tcBorders>
              <w:top w:val="nil"/>
              <w:left w:val="nil"/>
              <w:bottom w:val="single" w:sz="12" w:space="0" w:color="auto"/>
              <w:right w:val="nil"/>
            </w:tcBorders>
            <w:shd w:val="clear" w:color="auto" w:fill="auto"/>
            <w:noWrap/>
            <w:vAlign w:val="center"/>
            <w:hideMark/>
          </w:tcPr>
          <w:p w:rsidR="00FD61D4" w:rsidRPr="00E5171C" w:rsidRDefault="00FD61D4" w:rsidP="00C81E06">
            <w:pPr>
              <w:jc w:val="left"/>
              <w:rPr>
                <w:b/>
                <w:bCs/>
                <w:color w:val="auto"/>
                <w:szCs w:val="16"/>
              </w:rPr>
            </w:pPr>
            <w:r w:rsidRPr="00E5171C">
              <w:rPr>
                <w:b/>
                <w:bCs/>
                <w:color w:val="auto"/>
                <w:szCs w:val="16"/>
              </w:rPr>
              <w:t>plus: Consolidation adjustment</w:t>
            </w:r>
          </w:p>
        </w:tc>
        <w:tc>
          <w:tcPr>
            <w:tcW w:w="812" w:type="dxa"/>
            <w:tcBorders>
              <w:top w:val="nil"/>
              <w:left w:val="nil"/>
              <w:bottom w:val="single" w:sz="12" w:space="0" w:color="auto"/>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(42,990)</w:t>
            </w:r>
          </w:p>
        </w:tc>
        <w:tc>
          <w:tcPr>
            <w:tcW w:w="810"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(66,283)</w:t>
            </w:r>
          </w:p>
        </w:tc>
        <w:tc>
          <w:tcPr>
            <w:tcW w:w="810"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(44,245)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(45,501)</w:t>
            </w:r>
          </w:p>
        </w:tc>
        <w:tc>
          <w:tcPr>
            <w:tcW w:w="810"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5E42A0">
            <w:pPr>
              <w:jc w:val="right"/>
              <w:rPr>
                <w:b/>
                <w:bCs/>
                <w:sz w:val="14"/>
                <w:szCs w:val="14"/>
              </w:rPr>
            </w:pPr>
            <w:r>
              <w:rPr>
                <w:b/>
                <w:bCs/>
                <w:sz w:val="14"/>
                <w:szCs w:val="14"/>
              </w:rPr>
              <w:t>(44,245)</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(115,084)</w:t>
            </w:r>
          </w:p>
        </w:tc>
        <w:tc>
          <w:tcPr>
            <w:tcW w:w="720"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(51,447)</w:t>
            </w:r>
          </w:p>
        </w:tc>
        <w:tc>
          <w:tcPr>
            <w:tcW w:w="720" w:type="dxa"/>
            <w:tcBorders>
              <w:top w:val="nil"/>
              <w:left w:val="nil"/>
              <w:bottom w:val="single" w:sz="12" w:space="0" w:color="auto"/>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(37,168)</w:t>
            </w:r>
          </w:p>
        </w:tc>
        <w:tc>
          <w:tcPr>
            <w:tcW w:w="792" w:type="dxa"/>
            <w:tcBorders>
              <w:top w:val="nil"/>
              <w:left w:val="nil"/>
              <w:bottom w:val="single" w:sz="12" w:space="0" w:color="auto"/>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(124,433)</w:t>
            </w:r>
          </w:p>
        </w:tc>
      </w:tr>
      <w:tr w:rsidR="00C81E06" w:rsidRPr="00E5171C" w:rsidTr="00CE511E">
        <w:trPr>
          <w:trHeight w:val="245"/>
        </w:trPr>
        <w:tc>
          <w:tcPr>
            <w:tcW w:w="9990" w:type="dxa"/>
            <w:gridSpan w:val="10"/>
            <w:tcBorders>
              <w:top w:val="single" w:sz="12" w:space="0" w:color="auto"/>
              <w:left w:val="nil"/>
              <w:bottom w:val="nil"/>
              <w:right w:val="nil"/>
            </w:tcBorders>
            <w:shd w:val="clear" w:color="auto" w:fill="auto"/>
            <w:noWrap/>
            <w:vAlign w:val="center"/>
            <w:hideMark/>
          </w:tcPr>
          <w:p w:rsidR="00C81E06" w:rsidRDefault="00C81E06" w:rsidP="00C81E06">
            <w:pPr>
              <w:jc w:val="right"/>
              <w:rPr>
                <w:b/>
                <w:bCs/>
                <w:color w:val="auto"/>
                <w:sz w:val="14"/>
                <w:szCs w:val="14"/>
              </w:rPr>
            </w:pPr>
            <w:r>
              <w:rPr>
                <w:sz w:val="14"/>
                <w:szCs w:val="14"/>
              </w:rPr>
              <w:t>Source: Statistics &amp; Data Warehouse Department SBP</w:t>
            </w:r>
          </w:p>
          <w:p w:rsidR="00C81E06" w:rsidRPr="006A1E59" w:rsidRDefault="00C81E06" w:rsidP="00C81E06">
            <w:pPr>
              <w:jc w:val="left"/>
              <w:rPr>
                <w:rFonts w:ascii="Calibri" w:hAnsi="Calibri"/>
                <w:sz w:val="14"/>
                <w:szCs w:val="14"/>
              </w:rPr>
            </w:pPr>
            <w:r w:rsidRPr="006A1E59">
              <w:rPr>
                <w:b/>
                <w:bCs/>
                <w:color w:val="auto"/>
                <w:sz w:val="14"/>
                <w:szCs w:val="14"/>
              </w:rPr>
              <w:t xml:space="preserve">Note:  </w:t>
            </w:r>
          </w:p>
        </w:tc>
      </w:tr>
      <w:tr w:rsidR="00C81E06" w:rsidRPr="00E5171C" w:rsidTr="00916320">
        <w:trPr>
          <w:trHeight w:val="942"/>
        </w:trPr>
        <w:tc>
          <w:tcPr>
            <w:tcW w:w="9990" w:type="dxa"/>
            <w:gridSpan w:val="10"/>
            <w:tcBorders>
              <w:top w:val="nil"/>
              <w:left w:val="nil"/>
              <w:bottom w:val="nil"/>
              <w:right w:val="nil"/>
            </w:tcBorders>
            <w:shd w:val="clear" w:color="auto" w:fill="auto"/>
            <w:noWrap/>
            <w:vAlign w:val="center"/>
            <w:hideMark/>
          </w:tcPr>
          <w:p w:rsidR="00C81E06" w:rsidRPr="006A1E59" w:rsidRDefault="00C81E06" w:rsidP="00C81E06">
            <w:pPr>
              <w:numPr>
                <w:ilvl w:val="0"/>
                <w:numId w:val="12"/>
              </w:numPr>
              <w:tabs>
                <w:tab w:val="left" w:pos="450"/>
              </w:tabs>
              <w:ind w:left="360"/>
              <w:jc w:val="left"/>
              <w:rPr>
                <w:color w:val="auto"/>
                <w:sz w:val="14"/>
                <w:szCs w:val="14"/>
              </w:rPr>
            </w:pPr>
            <w:r w:rsidRPr="006A1E59">
              <w:rPr>
                <w:color w:val="auto"/>
                <w:sz w:val="14"/>
                <w:szCs w:val="14"/>
              </w:rPr>
              <w:t>Other Depository Corporations (ODCs) include the data of Banks, DFIs, MFBs, Deposit Accepting Non-Bank Financial Companies and Money Market Mutual Funds (MMMFs</w:t>
            </w:r>
            <w:proofErr w:type="gramStart"/>
            <w:r w:rsidRPr="006A1E59">
              <w:rPr>
                <w:color w:val="auto"/>
                <w:sz w:val="14"/>
                <w:szCs w:val="14"/>
              </w:rPr>
              <w:t>) .</w:t>
            </w:r>
            <w:proofErr w:type="gramEnd"/>
            <w:r w:rsidRPr="006A1E59">
              <w:rPr>
                <w:color w:val="auto"/>
                <w:sz w:val="14"/>
                <w:szCs w:val="14"/>
              </w:rPr>
              <w:t xml:space="preserve"> The scope of ODCs survey has been enhanced with the inclusion of MMMFs with effect from April 2017. The archive of the ODCs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w:t>
            </w:r>
          </w:p>
          <w:p w:rsidR="00C81E06" w:rsidRPr="006A1E59" w:rsidRDefault="00C81E06" w:rsidP="00C81E06">
            <w:pPr>
              <w:numPr>
                <w:ilvl w:val="0"/>
                <w:numId w:val="12"/>
              </w:numPr>
              <w:tabs>
                <w:tab w:val="left" w:pos="450"/>
              </w:tabs>
              <w:ind w:left="360"/>
              <w:jc w:val="left"/>
              <w:rPr>
                <w:color w:val="auto"/>
                <w:sz w:val="14"/>
                <w:szCs w:val="14"/>
              </w:rPr>
            </w:pPr>
            <w:r w:rsidRPr="006A1E59">
              <w:rPr>
                <w:color w:val="auto"/>
                <w:sz w:val="14"/>
                <w:szCs w:val="14"/>
              </w:rPr>
              <w:t xml:space="preserve">The Stock of Government Deposits for July 2019 </w:t>
            </w:r>
            <w:proofErr w:type="gramStart"/>
            <w:r w:rsidRPr="006A1E59">
              <w:rPr>
                <w:color w:val="auto"/>
                <w:sz w:val="14"/>
                <w:szCs w:val="14"/>
              </w:rPr>
              <w:t>have</w:t>
            </w:r>
            <w:proofErr w:type="gramEnd"/>
            <w:r w:rsidRPr="006A1E59">
              <w:rPr>
                <w:color w:val="auto"/>
                <w:sz w:val="14"/>
                <w:szCs w:val="14"/>
              </w:rPr>
              <w:t xml:space="preserve"> been revised due to reclassification of some of the PSEs, which were previously reported under Government Institutions. The coverage of PSEs has been enhanced.</w:t>
            </w:r>
          </w:p>
          <w:p w:rsidR="00C81E06" w:rsidRPr="006A1E59" w:rsidRDefault="00C81E06" w:rsidP="00C81E06">
            <w:pPr>
              <w:numPr>
                <w:ilvl w:val="0"/>
                <w:numId w:val="12"/>
              </w:numPr>
              <w:tabs>
                <w:tab w:val="left" w:pos="450"/>
              </w:tabs>
              <w:ind w:left="360"/>
              <w:jc w:val="left"/>
              <w:rPr>
                <w:color w:val="auto"/>
                <w:sz w:val="14"/>
                <w:szCs w:val="14"/>
              </w:rPr>
            </w:pPr>
            <w:r w:rsidRPr="006A1E59">
              <w:rPr>
                <w:color w:val="auto"/>
                <w:sz w:val="14"/>
                <w:szCs w:val="14"/>
              </w:rPr>
              <w:t>General Government includes Central and Provincial Government &amp; Provincial Governments includes Provincial and Local Governments</w:t>
            </w:r>
          </w:p>
          <w:p w:rsidR="00C81E06" w:rsidRPr="006A1E59" w:rsidRDefault="00C81E06" w:rsidP="00C81E06">
            <w:pPr>
              <w:numPr>
                <w:ilvl w:val="0"/>
                <w:numId w:val="12"/>
              </w:numPr>
              <w:tabs>
                <w:tab w:val="left" w:pos="450"/>
              </w:tabs>
              <w:ind w:left="360"/>
              <w:jc w:val="left"/>
              <w:rPr>
                <w:color w:val="auto"/>
                <w:sz w:val="14"/>
                <w:szCs w:val="14"/>
              </w:rPr>
            </w:pPr>
            <w:r w:rsidRPr="006A1E59">
              <w:rPr>
                <w:color w:val="auto"/>
                <w:sz w:val="14"/>
                <w:szCs w:val="14"/>
              </w:rPr>
              <w:t xml:space="preserve">Islamic Financings, Advances (against </w:t>
            </w:r>
            <w:proofErr w:type="spellStart"/>
            <w:r w:rsidRPr="006A1E59">
              <w:rPr>
                <w:color w:val="auto"/>
                <w:sz w:val="14"/>
                <w:szCs w:val="14"/>
              </w:rPr>
              <w:t>Murabaha</w:t>
            </w:r>
            <w:proofErr w:type="spellEnd"/>
            <w:r w:rsidRPr="006A1E59">
              <w:rPr>
                <w:color w:val="auto"/>
                <w:sz w:val="14"/>
                <w:szCs w:val="14"/>
              </w:rPr>
              <w:t xml:space="preserve"> </w:t>
            </w:r>
            <w:proofErr w:type="spellStart"/>
            <w:r w:rsidRPr="006A1E59">
              <w:rPr>
                <w:color w:val="auto"/>
                <w:sz w:val="14"/>
                <w:szCs w:val="14"/>
              </w:rPr>
              <w:t>etc</w:t>
            </w:r>
            <w:proofErr w:type="spellEnd"/>
            <w:r w:rsidRPr="006A1E59">
              <w:rPr>
                <w:color w:val="auto"/>
                <w:sz w:val="14"/>
                <w:szCs w:val="14"/>
              </w:rPr>
              <w:t xml:space="preserve">) and other related items previously reported under Other Assets has been reclassified as domestic claims / credit from June 2014. Details of reclassifications/revisions are available in revision study on SBP website at: </w:t>
            </w:r>
            <w:hyperlink r:id="rId11" w:history="1">
              <w:r w:rsidRPr="006A1E59">
                <w:rPr>
                  <w:rStyle w:val="Hyperlink"/>
                  <w:sz w:val="14"/>
                  <w:szCs w:val="14"/>
                </w:rPr>
                <w:t>www.sbp.org.pk/ecodata/Revision_Monetary_Stats.pdf</w:t>
              </w:r>
            </w:hyperlink>
          </w:p>
          <w:p w:rsidR="00C81E06" w:rsidRPr="006A1E59" w:rsidRDefault="00C81E06" w:rsidP="00C81E06">
            <w:pPr>
              <w:tabs>
                <w:tab w:val="left" w:pos="450"/>
              </w:tabs>
              <w:jc w:val="left"/>
              <w:rPr>
                <w:color w:val="auto"/>
                <w:sz w:val="14"/>
                <w:szCs w:val="14"/>
              </w:rPr>
            </w:pPr>
            <w:r w:rsidRPr="006A1E59">
              <w:rPr>
                <w:sz w:val="14"/>
                <w:szCs w:val="14"/>
              </w:rPr>
              <w:t xml:space="preserve">Archive Link:  </w:t>
            </w:r>
            <w:hyperlink r:id="rId12" w:history="1">
              <w:r w:rsidRPr="006A1E59">
                <w:rPr>
                  <w:rStyle w:val="Hyperlink"/>
                  <w:sz w:val="14"/>
                  <w:szCs w:val="14"/>
                </w:rPr>
                <w:t>http://www.sbp.org.pk/ecodata/AnaAccDepArch.xls</w:t>
              </w:r>
            </w:hyperlink>
          </w:p>
        </w:tc>
      </w:tr>
    </w:tbl>
    <w:p w:rsidR="006146BD" w:rsidRPr="006146BD" w:rsidRDefault="006146BD" w:rsidP="006146BD"/>
    <w:p w:rsidR="006146BD" w:rsidRPr="006146BD" w:rsidRDefault="006146BD" w:rsidP="006146BD"/>
    <w:p w:rsidR="006146BD" w:rsidRPr="006146BD" w:rsidRDefault="006146BD" w:rsidP="006146BD"/>
    <w:p w:rsidR="006146BD" w:rsidRDefault="006146BD" w:rsidP="006146BD"/>
    <w:p w:rsidR="00916320" w:rsidRDefault="00916320" w:rsidP="006146BD"/>
    <w:p w:rsidR="00916320" w:rsidRDefault="00916320" w:rsidP="006146BD"/>
    <w:p w:rsidR="006A1E59" w:rsidRDefault="006A1E59" w:rsidP="006146BD"/>
    <w:p w:rsidR="006A1E59" w:rsidRDefault="006A1E59" w:rsidP="006146BD"/>
    <w:p w:rsidR="006A1E59" w:rsidRPr="006146BD" w:rsidRDefault="006A1E59" w:rsidP="006146BD"/>
    <w:p w:rsidR="006146BD" w:rsidRPr="006146BD" w:rsidRDefault="006146BD" w:rsidP="006146BD"/>
    <w:p w:rsidR="006146BD" w:rsidRPr="006146BD" w:rsidRDefault="006146BD" w:rsidP="006146BD"/>
    <w:p w:rsidR="00F46CD6" w:rsidRDefault="00F46CD6" w:rsidP="00F46CD6">
      <w:pPr>
        <w:jc w:val="left"/>
        <w:rPr>
          <w:color w:val="auto"/>
        </w:rPr>
      </w:pPr>
    </w:p>
    <w:tbl>
      <w:tblPr>
        <w:tblpPr w:leftFromText="187" w:rightFromText="187" w:vertAnchor="text" w:tblpXSpec="center" w:tblpY="1"/>
        <w:tblOverlap w:val="never"/>
        <w:tblW w:w="10188" w:type="dxa"/>
        <w:tblLayout w:type="fixed"/>
        <w:tblLook w:val="04A0" w:firstRow="1" w:lastRow="0" w:firstColumn="1" w:lastColumn="0" w:noHBand="0" w:noVBand="1"/>
      </w:tblPr>
      <w:tblGrid>
        <w:gridCol w:w="3142"/>
        <w:gridCol w:w="788"/>
        <w:gridCol w:w="813"/>
        <w:gridCol w:w="813"/>
        <w:gridCol w:w="762"/>
        <w:gridCol w:w="720"/>
        <w:gridCol w:w="810"/>
        <w:gridCol w:w="810"/>
        <w:gridCol w:w="810"/>
        <w:gridCol w:w="720"/>
      </w:tblGrid>
      <w:tr w:rsidR="00F46CD6" w:rsidRPr="002D5FD9" w:rsidTr="00D40958">
        <w:trPr>
          <w:trHeight w:val="216"/>
        </w:trPr>
        <w:tc>
          <w:tcPr>
            <w:tcW w:w="10188" w:type="dxa"/>
            <w:gridSpan w:val="10"/>
            <w:tcBorders>
              <w:top w:val="nil"/>
              <w:left w:val="nil"/>
              <w:bottom w:val="nil"/>
              <w:right w:val="nil"/>
            </w:tcBorders>
            <w:shd w:val="clear" w:color="auto" w:fill="auto"/>
            <w:noWrap/>
            <w:vAlign w:val="bottom"/>
            <w:hideMark/>
          </w:tcPr>
          <w:p w:rsidR="00F46CD6" w:rsidRPr="002D5FD9" w:rsidRDefault="00F46CD6" w:rsidP="00261F80">
            <w:pPr>
              <w:rPr>
                <w:b/>
                <w:bCs/>
                <w:sz w:val="28"/>
                <w:szCs w:val="28"/>
              </w:rPr>
            </w:pPr>
            <w:r>
              <w:rPr>
                <w:b/>
                <w:bCs/>
                <w:sz w:val="28"/>
                <w:szCs w:val="28"/>
              </w:rPr>
              <w:lastRenderedPageBreak/>
              <w:t>2.3</w:t>
            </w:r>
            <w:r w:rsidRPr="002D5FD9">
              <w:rPr>
                <w:b/>
                <w:bCs/>
                <w:sz w:val="28"/>
                <w:szCs w:val="28"/>
              </w:rPr>
              <w:t xml:space="preserve">   Depository</w:t>
            </w:r>
            <w:r w:rsidRPr="002D5FD9">
              <w:rPr>
                <w:b/>
                <w:bCs/>
                <w:i/>
                <w:iCs/>
                <w:sz w:val="24"/>
                <w:szCs w:val="24"/>
              </w:rPr>
              <w:t xml:space="preserve"> </w:t>
            </w:r>
            <w:r w:rsidRPr="002D5FD9">
              <w:rPr>
                <w:b/>
                <w:bCs/>
                <w:sz w:val="28"/>
                <w:szCs w:val="28"/>
              </w:rPr>
              <w:t xml:space="preserve">Corporations Survey  </w:t>
            </w:r>
          </w:p>
        </w:tc>
      </w:tr>
      <w:tr w:rsidR="00F46CD6" w:rsidRPr="002D5FD9" w:rsidTr="00D40958">
        <w:trPr>
          <w:trHeight w:val="216"/>
        </w:trPr>
        <w:tc>
          <w:tcPr>
            <w:tcW w:w="10188" w:type="dxa"/>
            <w:gridSpan w:val="10"/>
            <w:tcBorders>
              <w:top w:val="nil"/>
              <w:left w:val="nil"/>
              <w:bottom w:val="single" w:sz="12" w:space="0" w:color="auto"/>
              <w:right w:val="nil"/>
            </w:tcBorders>
            <w:shd w:val="clear" w:color="auto" w:fill="auto"/>
            <w:noWrap/>
            <w:vAlign w:val="bottom"/>
            <w:hideMark/>
          </w:tcPr>
          <w:p w:rsidR="00F46CD6" w:rsidRPr="002D5FD9" w:rsidRDefault="00F46CD6" w:rsidP="00261F80">
            <w:pPr>
              <w:jc w:val="right"/>
              <w:rPr>
                <w:sz w:val="14"/>
                <w:szCs w:val="14"/>
              </w:rPr>
            </w:pPr>
            <w:r w:rsidRPr="002D5FD9">
              <w:rPr>
                <w:sz w:val="14"/>
                <w:szCs w:val="16"/>
              </w:rPr>
              <w:t>(Million Rupees)</w:t>
            </w:r>
          </w:p>
        </w:tc>
      </w:tr>
      <w:tr w:rsidR="00B53B15" w:rsidRPr="002D5FD9" w:rsidTr="002B6352">
        <w:trPr>
          <w:trHeight w:val="216"/>
        </w:trPr>
        <w:tc>
          <w:tcPr>
            <w:tcW w:w="3142" w:type="dxa"/>
            <w:vMerge w:val="restart"/>
            <w:tcBorders>
              <w:top w:val="nil"/>
              <w:left w:val="nil"/>
              <w:bottom w:val="single" w:sz="12" w:space="0" w:color="000000"/>
              <w:right w:val="single" w:sz="4" w:space="0" w:color="auto"/>
            </w:tcBorders>
            <w:shd w:val="clear" w:color="auto" w:fill="auto"/>
            <w:noWrap/>
            <w:vAlign w:val="center"/>
            <w:hideMark/>
          </w:tcPr>
          <w:p w:rsidR="00B53B15" w:rsidRPr="002D5FD9" w:rsidRDefault="00B53B15" w:rsidP="00203D68">
            <w:pPr>
              <w:rPr>
                <w:b/>
                <w:bCs/>
                <w:szCs w:val="16"/>
              </w:rPr>
            </w:pPr>
            <w:r w:rsidRPr="002D5FD9">
              <w:rPr>
                <w:b/>
                <w:bCs/>
                <w:szCs w:val="16"/>
              </w:rPr>
              <w:t>I T E M S</w:t>
            </w:r>
          </w:p>
        </w:tc>
        <w:tc>
          <w:tcPr>
            <w:tcW w:w="788" w:type="dxa"/>
            <w:vMerge w:val="restart"/>
            <w:tcBorders>
              <w:top w:val="single" w:sz="12" w:space="0" w:color="auto"/>
              <w:left w:val="single" w:sz="4" w:space="0" w:color="auto"/>
              <w:right w:val="single" w:sz="4" w:space="0" w:color="auto"/>
            </w:tcBorders>
            <w:shd w:val="clear" w:color="auto" w:fill="auto"/>
            <w:vAlign w:val="center"/>
            <w:hideMark/>
          </w:tcPr>
          <w:p w:rsidR="00B53B15" w:rsidRPr="002D5FD9" w:rsidRDefault="00B53B15" w:rsidP="00203D68">
            <w:pPr>
              <w:jc w:val="right"/>
              <w:rPr>
                <w:b/>
                <w:bCs/>
                <w:szCs w:val="16"/>
              </w:rPr>
            </w:pPr>
            <w:r w:rsidRPr="00D304D4">
              <w:rPr>
                <w:b/>
                <w:bCs/>
                <w:szCs w:val="16"/>
              </w:rPr>
              <w:t>FY17</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FY18</w:t>
            </w:r>
          </w:p>
        </w:tc>
        <w:tc>
          <w:tcPr>
            <w:tcW w:w="813" w:type="dxa"/>
            <w:vMerge w:val="restart"/>
            <w:tcBorders>
              <w:top w:val="nil"/>
              <w:left w:val="single" w:sz="4" w:space="0" w:color="auto"/>
              <w:right w:val="single" w:sz="4" w:space="0" w:color="auto"/>
            </w:tcBorders>
            <w:shd w:val="clear" w:color="auto" w:fill="auto"/>
            <w:vAlign w:val="center"/>
          </w:tcPr>
          <w:p w:rsidR="00B53B15" w:rsidRPr="002D5FD9" w:rsidRDefault="00B53B15" w:rsidP="00203D68">
            <w:pPr>
              <w:jc w:val="right"/>
              <w:rPr>
                <w:b/>
                <w:bCs/>
                <w:szCs w:val="16"/>
              </w:rPr>
            </w:pPr>
            <w:r>
              <w:rPr>
                <w:b/>
                <w:bCs/>
                <w:szCs w:val="16"/>
              </w:rPr>
              <w:t>FY19</w:t>
            </w:r>
          </w:p>
        </w:tc>
        <w:tc>
          <w:tcPr>
            <w:tcW w:w="1482" w:type="dxa"/>
            <w:gridSpan w:val="2"/>
            <w:tcBorders>
              <w:top w:val="nil"/>
              <w:left w:val="single" w:sz="4" w:space="0" w:color="auto"/>
              <w:bottom w:val="single" w:sz="4" w:space="0" w:color="auto"/>
              <w:right w:val="single" w:sz="4" w:space="0" w:color="auto"/>
            </w:tcBorders>
            <w:shd w:val="clear" w:color="auto" w:fill="auto"/>
            <w:vAlign w:val="center"/>
          </w:tcPr>
          <w:p w:rsidR="00B53B15" w:rsidRPr="002D5FD9" w:rsidRDefault="00B53B15" w:rsidP="00203D68">
            <w:pPr>
              <w:rPr>
                <w:b/>
                <w:bCs/>
                <w:szCs w:val="16"/>
              </w:rPr>
            </w:pPr>
            <w:r>
              <w:rPr>
                <w:b/>
                <w:bCs/>
                <w:szCs w:val="16"/>
              </w:rPr>
              <w:t>2019</w:t>
            </w:r>
          </w:p>
        </w:tc>
        <w:tc>
          <w:tcPr>
            <w:tcW w:w="3150" w:type="dxa"/>
            <w:gridSpan w:val="4"/>
            <w:tcBorders>
              <w:top w:val="single" w:sz="12" w:space="0" w:color="auto"/>
              <w:left w:val="single" w:sz="4" w:space="0" w:color="auto"/>
              <w:bottom w:val="single" w:sz="4" w:space="0" w:color="auto"/>
              <w:right w:val="nil"/>
            </w:tcBorders>
            <w:shd w:val="clear" w:color="auto" w:fill="auto"/>
            <w:vAlign w:val="center"/>
          </w:tcPr>
          <w:p w:rsidR="00B53B15" w:rsidRPr="002D5FD9" w:rsidRDefault="00B53B15" w:rsidP="00203D68">
            <w:pPr>
              <w:rPr>
                <w:b/>
                <w:bCs/>
                <w:szCs w:val="16"/>
              </w:rPr>
            </w:pPr>
            <w:r>
              <w:rPr>
                <w:b/>
                <w:bCs/>
                <w:szCs w:val="16"/>
              </w:rPr>
              <w:t>2020</w:t>
            </w:r>
          </w:p>
        </w:tc>
      </w:tr>
      <w:tr w:rsidR="00C81E06" w:rsidRPr="00414936" w:rsidTr="002B6352">
        <w:trPr>
          <w:trHeight w:val="216"/>
        </w:trPr>
        <w:tc>
          <w:tcPr>
            <w:tcW w:w="3142" w:type="dxa"/>
            <w:vMerge/>
            <w:tcBorders>
              <w:top w:val="nil"/>
              <w:left w:val="nil"/>
              <w:bottom w:val="single" w:sz="12" w:space="0" w:color="000000"/>
              <w:right w:val="single" w:sz="4" w:space="0" w:color="auto"/>
            </w:tcBorders>
            <w:shd w:val="clear" w:color="auto" w:fill="auto"/>
            <w:vAlign w:val="center"/>
            <w:hideMark/>
          </w:tcPr>
          <w:p w:rsidR="00C81E06" w:rsidRPr="002D5FD9" w:rsidRDefault="00C81E06" w:rsidP="00C81E06">
            <w:pPr>
              <w:rPr>
                <w:b/>
                <w:bCs/>
                <w:szCs w:val="16"/>
              </w:rPr>
            </w:pPr>
          </w:p>
        </w:tc>
        <w:tc>
          <w:tcPr>
            <w:tcW w:w="788" w:type="dxa"/>
            <w:vMerge/>
            <w:tcBorders>
              <w:left w:val="single" w:sz="4" w:space="0" w:color="auto"/>
              <w:bottom w:val="single" w:sz="12" w:space="0" w:color="auto"/>
              <w:right w:val="single" w:sz="4" w:space="0" w:color="auto"/>
            </w:tcBorders>
            <w:shd w:val="clear" w:color="auto" w:fill="auto"/>
            <w:vAlign w:val="center"/>
            <w:hideMark/>
          </w:tcPr>
          <w:p w:rsidR="00C81E06" w:rsidRPr="006619BF" w:rsidRDefault="00C81E06" w:rsidP="00C81E06">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C81E06" w:rsidRPr="006619BF" w:rsidRDefault="00C81E06" w:rsidP="00C81E06">
            <w:pPr>
              <w:jc w:val="right"/>
              <w:rPr>
                <w:b/>
                <w:color w:val="auto"/>
                <w:sz w:val="14"/>
                <w:szCs w:val="14"/>
              </w:rPr>
            </w:pPr>
          </w:p>
        </w:tc>
        <w:tc>
          <w:tcPr>
            <w:tcW w:w="813" w:type="dxa"/>
            <w:vMerge/>
            <w:tcBorders>
              <w:left w:val="single" w:sz="4" w:space="0" w:color="auto"/>
              <w:bottom w:val="single" w:sz="12" w:space="0" w:color="auto"/>
              <w:right w:val="single" w:sz="4" w:space="0" w:color="auto"/>
            </w:tcBorders>
            <w:shd w:val="clear" w:color="auto" w:fill="auto"/>
            <w:vAlign w:val="center"/>
          </w:tcPr>
          <w:p w:rsidR="00C81E06" w:rsidRPr="006619BF" w:rsidRDefault="00C81E06" w:rsidP="00C81E06">
            <w:pPr>
              <w:jc w:val="right"/>
              <w:rPr>
                <w:b/>
                <w:color w:val="auto"/>
                <w:sz w:val="14"/>
                <w:szCs w:val="14"/>
              </w:rPr>
            </w:pPr>
          </w:p>
        </w:tc>
        <w:tc>
          <w:tcPr>
            <w:tcW w:w="762" w:type="dxa"/>
            <w:tcBorders>
              <w:top w:val="single" w:sz="4" w:space="0" w:color="auto"/>
              <w:left w:val="single" w:sz="4" w:space="0" w:color="auto"/>
              <w:bottom w:val="single" w:sz="12" w:space="0" w:color="auto"/>
            </w:tcBorders>
            <w:shd w:val="clear" w:color="auto" w:fill="auto"/>
            <w:vAlign w:val="center"/>
            <w:hideMark/>
          </w:tcPr>
          <w:p w:rsidR="00C81E06" w:rsidRPr="006619BF" w:rsidRDefault="00C81E06" w:rsidP="00C81E06">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single" w:sz="4" w:space="0" w:color="auto"/>
            </w:tcBorders>
            <w:shd w:val="clear" w:color="auto" w:fill="auto"/>
            <w:vAlign w:val="center"/>
          </w:tcPr>
          <w:p w:rsidR="00C81E06" w:rsidRPr="006619BF" w:rsidRDefault="00C81E06" w:rsidP="00C81E06">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vAlign w:val="center"/>
            <w:hideMark/>
          </w:tcPr>
          <w:p w:rsidR="00C81E06" w:rsidRPr="006619BF" w:rsidRDefault="00C81E06" w:rsidP="00C81E06">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vAlign w:val="center"/>
          </w:tcPr>
          <w:p w:rsidR="00C81E06" w:rsidRPr="006619BF" w:rsidRDefault="00C81E06" w:rsidP="00C81E06">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vAlign w:val="center"/>
          </w:tcPr>
          <w:p w:rsidR="00C81E06" w:rsidRPr="006619BF" w:rsidRDefault="00C81E06" w:rsidP="00C81E06">
            <w:pPr>
              <w:jc w:val="right"/>
              <w:rPr>
                <w:b/>
                <w:color w:val="auto"/>
                <w:sz w:val="14"/>
                <w:szCs w:val="14"/>
              </w:rPr>
            </w:pPr>
            <w:proofErr w:type="spellStart"/>
            <w:r>
              <w:rPr>
                <w:b/>
                <w:color w:val="auto"/>
                <w:sz w:val="14"/>
                <w:szCs w:val="14"/>
              </w:rPr>
              <w:t>May</w:t>
            </w:r>
            <w:r w:rsidR="002A1179" w:rsidRPr="002A1179">
              <w:rPr>
                <w:b/>
                <w:color w:val="auto"/>
                <w:sz w:val="14"/>
                <w:szCs w:val="14"/>
                <w:vertAlign w:val="superscript"/>
              </w:rPr>
              <w:t>R</w:t>
            </w:r>
            <w:proofErr w:type="spellEnd"/>
          </w:p>
        </w:tc>
        <w:tc>
          <w:tcPr>
            <w:tcW w:w="720" w:type="dxa"/>
            <w:tcBorders>
              <w:top w:val="single" w:sz="4" w:space="0" w:color="auto"/>
              <w:bottom w:val="single" w:sz="12" w:space="0" w:color="auto"/>
              <w:right w:val="nil"/>
            </w:tcBorders>
            <w:shd w:val="clear" w:color="auto" w:fill="auto"/>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Net Foreign Assets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1,095,438</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257,804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(833,736)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(677,314)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(833,736)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(50,822)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107,292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(152,733)</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236,226</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Claims on nonresidents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2,920,693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2,562,079</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3,035,989</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2,823,522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3,035,989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3,746,936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3,792,814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3,553,565</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4,010,858</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less: Liabilities to nonresidents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1,825,255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2,304,275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3,869,725</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3,500,836</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3,869,725</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3,797,759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3,685,522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3,706,298</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3,774,632</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Domestic claims (</w:t>
            </w:r>
            <w:proofErr w:type="spellStart"/>
            <w:r w:rsidRPr="002D5FD9">
              <w:rPr>
                <w:b/>
                <w:bCs/>
                <w:szCs w:val="16"/>
              </w:rPr>
              <w:t>a+b</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15,500,156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17,681,190</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20,839,912</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20,069,664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20,839,912</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22,416,736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22,831,260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23,644,728</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23,811,167</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Pr>
                <w:b/>
                <w:bCs/>
                <w:szCs w:val="16"/>
              </w:rPr>
              <w:t xml:space="preserve">a. </w:t>
            </w:r>
            <w:r w:rsidRPr="002D5FD9">
              <w:rPr>
                <w:b/>
                <w:bCs/>
                <w:szCs w:val="16"/>
              </w:rPr>
              <w:t>Net Claims on general government (1+2)</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9,224,704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10,338,362</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12,490,626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11,777,904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12,490,626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13,750,325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14,149,149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14,863,562</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15,182,724</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 w:val="14"/>
                <w:szCs w:val="14"/>
              </w:rPr>
            </w:pPr>
            <w:r w:rsidRPr="002D5FD9">
              <w:rPr>
                <w:b/>
                <w:bCs/>
                <w:sz w:val="14"/>
                <w:szCs w:val="14"/>
              </w:rPr>
              <w:t xml:space="preserve">     1- </w:t>
            </w:r>
            <w:r w:rsidRPr="002D5FD9">
              <w:rPr>
                <w:b/>
                <w:bCs/>
                <w:szCs w:val="16"/>
              </w:rPr>
              <w:t>Net 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9,557,201</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10,564,370</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12,953,916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12,356,978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12,953,916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14,711,091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15,024,442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15,548,261</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15,830,945</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Claims on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10,550,305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11,718,699</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15,187,246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14,335,672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15,187,246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17,125,843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17,733,130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18,257,504</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17,786,706</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less: Liabilities to central government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993,103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1,154,329</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2,233,330</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1,978,694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2,233,330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2,414,752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2,708,688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2,709,243</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1,955,761</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1"/>
              <w:jc w:val="left"/>
              <w:rPr>
                <w:b/>
                <w:bCs/>
                <w:szCs w:val="16"/>
              </w:rPr>
            </w:pPr>
            <w:r w:rsidRPr="002D5FD9">
              <w:rPr>
                <w:b/>
                <w:bCs/>
                <w:szCs w:val="16"/>
              </w:rPr>
              <w:t>2-Net 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(332,497)</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(226,008)</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(463,289)</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(579,074)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(463,289)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(960,766)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(875,294)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(684,700)</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(648,221)</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szCs w:val="16"/>
              </w:rPr>
            </w:pPr>
            <w:r w:rsidRPr="002D5FD9">
              <w:rPr>
                <w:szCs w:val="16"/>
              </w:rPr>
              <w:t>Claims on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483,331</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652,076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569,012</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556,964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569,012</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458,096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503,276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632,323</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648,924</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less: Liabilities to provincial governments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815,829</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878,084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1,032,301</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1,136,039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1,032,301</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1,418,862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1,378,570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1,317,022</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1,297,145</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Pr>
                <w:b/>
                <w:bCs/>
                <w:szCs w:val="16"/>
              </w:rPr>
              <w:t xml:space="preserve">b. </w:t>
            </w:r>
            <w:r w:rsidRPr="002D5FD9">
              <w:rPr>
                <w:b/>
                <w:bCs/>
                <w:szCs w:val="16"/>
              </w:rPr>
              <w:t>Claims on other sectors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6,275,452</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7,342,828</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8,349,286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8,291,760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8,349,286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8,666,411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8,682,112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8,781,167</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8,628,443</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103,714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109,575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103,389</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104,747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103,389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95,714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98,732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102,168</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96,549</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1,025,883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1,268,858</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1,581,258</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1,589,822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1,581,258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1,634,673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1,640,895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1,788,894</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1,727,914</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4,059,627</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4,700,394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5,224,698</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5,172,032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5,224,698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5,526,576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5,512,862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5,471,707</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5,374,610</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1,086,228</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1,264,000</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1,439,941</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1,425,160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1,439,941</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1,409,448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1,429,622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1,418,398</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1,429,370</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Broad money liabilities (</w:t>
            </w:r>
            <w:proofErr w:type="spellStart"/>
            <w:r w:rsidRPr="002D5FD9">
              <w:rPr>
                <w:b/>
                <w:bCs/>
                <w:szCs w:val="16"/>
              </w:rPr>
              <w:t>a+b+c+d</w:t>
            </w:r>
            <w:proofErr w:type="spellEnd"/>
            <w:r w:rsidRPr="002D5FD9">
              <w:rPr>
                <w:b/>
                <w:bCs/>
                <w:szCs w:val="16"/>
              </w:rPr>
              <w: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14,385,960</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15,754,775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17,451,119</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16,792,805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17,451,119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19,055,008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19,277,712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19,845,075</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20,631,584</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left="144" w:hanging="144"/>
              <w:jc w:val="left"/>
              <w:rPr>
                <w:b/>
                <w:bCs/>
                <w:szCs w:val="16"/>
              </w:rPr>
            </w:pPr>
            <w:r w:rsidRPr="002D5FD9">
              <w:rPr>
                <w:b/>
                <w:bCs/>
                <w:szCs w:val="16"/>
              </w:rPr>
              <w:t>a. Cur</w:t>
            </w:r>
            <w:r>
              <w:rPr>
                <w:b/>
                <w:bCs/>
                <w:szCs w:val="16"/>
              </w:rPr>
              <w:t xml:space="preserve">rency outside depository </w:t>
            </w:r>
            <w:r w:rsidRPr="002D5FD9">
              <w:rPr>
                <w:b/>
                <w:bCs/>
                <w:szCs w:val="16"/>
              </w:rPr>
              <w:t>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3,898,848</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4,374,391</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4,935,435</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5,017,796</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4,935,435</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5,657,720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5,929,068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6,363,780</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6,126,974</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b. Transferable deposits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7,993,324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8,735,016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9,472,216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8,913,564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9,472,216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10,140,806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10,161,749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10,290,337</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11,078,692</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249,897</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217,753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230,225</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225,857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230,225</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421,714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278,248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255,711</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369,642</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312,106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359,520</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383,870</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367,831</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383,870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494,902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535,553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547,887</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543,548</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2,358,300</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2,503,579</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2,517,381</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2,390,018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2,517,381</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2,797,331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2,860,551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2,866,890</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3,182,885</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5,073,021</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5,654,163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6,340,740</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5,929,859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6,340,740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6,426,859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6,487,397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6,619,849</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6,982,617</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less: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c. Other Deposits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2,493,779</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2,645,353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3,043,453</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2,861,429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3,043,453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3,256,465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3,186,878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3,190,939</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3,425,900</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76,099</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81,864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99,689</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80,812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99,689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74,594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73,239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83,593</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81,841</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411,242</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428,607</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494,185</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460,312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494,185</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595,240</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565,501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557,069</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591,289</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828,116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862,865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887,278</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819,047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887,278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946,147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904,893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899,539</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992,225</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1,178,322</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1,272,017</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1,562,300</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1,501,257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1,562,300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1,640,483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1,643,245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1,650,739</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1,760,545</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left="324" w:hanging="324"/>
              <w:jc w:val="left"/>
              <w:rPr>
                <w:b/>
                <w:bCs/>
                <w:szCs w:val="16"/>
              </w:rPr>
            </w:pPr>
            <w:r w:rsidRPr="002D5FD9">
              <w:rPr>
                <w:b/>
                <w:bCs/>
                <w:szCs w:val="16"/>
              </w:rPr>
              <w:t>d. Securities other than shares included in broad money</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10</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16</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17</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18</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7</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12</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13</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14</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14</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Public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non-financial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3</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resident sectors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Deposits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51,168</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57,424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67,332</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66,399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67,332</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67,209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68,214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71,995</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74,889</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Securities other than shares excluded from broad money</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15,535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19,530</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36,745</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38,369</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36,745</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41,008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41,821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39,863</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39,072</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11,582</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12,876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19,053</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20,460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19,053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21,616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22,715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20,472</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i/>
                <w:iCs/>
                <w:sz w:val="14"/>
                <w:szCs w:val="14"/>
              </w:rPr>
            </w:pPr>
            <w:r>
              <w:rPr>
                <w:i/>
                <w:iCs/>
                <w:sz w:val="14"/>
                <w:szCs w:val="14"/>
              </w:rPr>
              <w:t>20,306</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Loans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11,395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12,744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15,257</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14,904</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15,257</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24,555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25,554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29,954</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28,145</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1,743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3,411</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6,628</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6,185</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6,628</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16,218</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17,217</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21,799</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i/>
                <w:iCs/>
                <w:sz w:val="14"/>
                <w:szCs w:val="14"/>
              </w:rPr>
            </w:pPr>
            <w:r>
              <w:rPr>
                <w:i/>
                <w:iCs/>
                <w:sz w:val="14"/>
                <w:szCs w:val="14"/>
              </w:rPr>
              <w:t>19,990</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Financial Derivatives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962</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3,686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10,259</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5,397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10,259</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6,574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5,349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5,331</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6,447</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1</w:t>
            </w:r>
          </w:p>
        </w:tc>
        <w:tc>
          <w:tcPr>
            <w:tcW w:w="720" w:type="dxa"/>
            <w:tcBorders>
              <w:top w:val="nil"/>
              <w:left w:val="nil"/>
              <w:bottom w:val="nil"/>
              <w:right w:val="nil"/>
            </w:tcBorders>
            <w:shd w:val="clear" w:color="auto" w:fill="auto"/>
            <w:tcMar>
              <w:left w:w="43" w:type="dxa"/>
              <w:right w:w="43" w:type="dxa"/>
            </w:tcMar>
            <w:vAlign w:val="center"/>
          </w:tcPr>
          <w:p w:rsidR="00FD61D4" w:rsidRDefault="007C37AC" w:rsidP="00FD61D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i/>
                <w:iCs/>
                <w:sz w:val="14"/>
                <w:szCs w:val="14"/>
              </w:rPr>
            </w:pPr>
            <w:r>
              <w:rPr>
                <w:i/>
                <w:iCs/>
                <w:sz w:val="14"/>
                <w:szCs w:val="14"/>
              </w:rPr>
              <w:t>-</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Trade credit &amp; advances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127</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136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73</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80</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73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24</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27</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i/>
                <w:iCs/>
                <w:szCs w:val="16"/>
              </w:rPr>
            </w:pPr>
            <w:r w:rsidRPr="002D5FD9">
              <w:rPr>
                <w:i/>
                <w:iCs/>
                <w:szCs w:val="16"/>
              </w:rPr>
              <w:t>of which: Other financial corporations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i/>
                <w:iCs/>
                <w:sz w:val="14"/>
                <w:szCs w:val="14"/>
              </w:rPr>
            </w:pPr>
            <w:r>
              <w:rPr>
                <w:i/>
                <w:iCs/>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i/>
                <w:iCs/>
                <w:sz w:val="14"/>
                <w:szCs w:val="14"/>
              </w:rPr>
            </w:pPr>
            <w:r>
              <w:rPr>
                <w:i/>
                <w:iCs/>
                <w:sz w:val="14"/>
                <w:szCs w:val="14"/>
              </w:rPr>
              <w:t>-</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i/>
                <w:iCs/>
                <w:sz w:val="14"/>
                <w:szCs w:val="14"/>
              </w:rPr>
            </w:pPr>
            <w:r>
              <w:rPr>
                <w:i/>
                <w:iCs/>
                <w:sz w:val="14"/>
                <w:szCs w:val="14"/>
              </w:rPr>
              <w:t>-</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Shares &amp; other equity</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2,294,214</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2,253,749</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2,463,113</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2,494,637</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2,463,113</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3,689,805</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3,972,199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4,035,822</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4,096,086</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jc w:val="left"/>
              <w:rPr>
                <w:b/>
                <w:bCs/>
                <w:szCs w:val="16"/>
              </w:rPr>
            </w:pPr>
            <w:r w:rsidRPr="002D5FD9">
              <w:rPr>
                <w:b/>
                <w:bCs/>
                <w:szCs w:val="16"/>
              </w:rPr>
              <w:t>Other items (net)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(163,513)</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(162,778)</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(37,576)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(20,082)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(37,576)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b/>
                <w:bCs/>
                <w:sz w:val="14"/>
                <w:szCs w:val="14"/>
              </w:rPr>
            </w:pPr>
            <w:r>
              <w:rPr>
                <w:b/>
                <w:bCs/>
                <w:sz w:val="14"/>
                <w:szCs w:val="14"/>
              </w:rPr>
              <w:t>(518,221)</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b/>
                <w:bCs/>
                <w:sz w:val="14"/>
                <w:szCs w:val="14"/>
              </w:rPr>
            </w:pPr>
            <w:r>
              <w:rPr>
                <w:b/>
                <w:bCs/>
                <w:sz w:val="14"/>
                <w:szCs w:val="14"/>
              </w:rPr>
              <w:t>(452,274)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b/>
                <w:bCs/>
                <w:sz w:val="14"/>
                <w:szCs w:val="14"/>
              </w:rPr>
            </w:pPr>
            <w:r>
              <w:rPr>
                <w:b/>
                <w:bCs/>
                <w:sz w:val="14"/>
                <w:szCs w:val="14"/>
              </w:rPr>
              <w:t>(536,019)</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b/>
                <w:bCs/>
                <w:sz w:val="14"/>
                <w:szCs w:val="14"/>
              </w:rPr>
            </w:pPr>
            <w:r>
              <w:rPr>
                <w:b/>
                <w:bCs/>
                <w:sz w:val="14"/>
                <w:szCs w:val="14"/>
              </w:rPr>
              <w:t>(828,804)</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Other liabilities (includes central bank float)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1,505,755</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1,614,791</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2,136,426</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2,045,748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2,136,426</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2,247,882</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2,231,294</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2,150,395</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2,291,238</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less: Other assets</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1,449,431</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1,614,406</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1,871,240</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1,846,278</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1,871,240</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2,585,853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2,572,746</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2,576,383</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2,920,203</w:t>
            </w:r>
          </w:p>
        </w:tc>
      </w:tr>
      <w:tr w:rsidR="00FD61D4" w:rsidRPr="002D5FD9" w:rsidTr="00BD56D8">
        <w:trPr>
          <w:trHeight w:val="216"/>
        </w:trPr>
        <w:tc>
          <w:tcPr>
            <w:tcW w:w="3142" w:type="dxa"/>
            <w:tcBorders>
              <w:top w:val="nil"/>
              <w:left w:val="nil"/>
              <w:bottom w:val="nil"/>
              <w:right w:val="nil"/>
            </w:tcBorders>
            <w:shd w:val="clear" w:color="auto" w:fill="auto"/>
            <w:noWrap/>
            <w:tcMar>
              <w:left w:w="29" w:type="dxa"/>
              <w:right w:w="29" w:type="dxa"/>
            </w:tcMar>
            <w:vAlign w:val="center"/>
            <w:hideMark/>
          </w:tcPr>
          <w:p w:rsidR="00FD61D4" w:rsidRPr="002D5FD9" w:rsidRDefault="00FD61D4" w:rsidP="00C81E06">
            <w:pPr>
              <w:ind w:firstLineChars="100" w:firstLine="160"/>
              <w:jc w:val="left"/>
              <w:rPr>
                <w:szCs w:val="16"/>
              </w:rPr>
            </w:pPr>
            <w:r w:rsidRPr="002D5FD9">
              <w:rPr>
                <w:szCs w:val="16"/>
              </w:rPr>
              <w:t>plus: Consolidation adjustment</w:t>
            </w:r>
          </w:p>
        </w:tc>
        <w:tc>
          <w:tcPr>
            <w:tcW w:w="788"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(219,837)</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(163,162)</w:t>
            </w:r>
          </w:p>
        </w:tc>
        <w:tc>
          <w:tcPr>
            <w:tcW w:w="813"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(302,762)</w:t>
            </w:r>
          </w:p>
        </w:tc>
        <w:tc>
          <w:tcPr>
            <w:tcW w:w="762"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(219,552)</w:t>
            </w:r>
          </w:p>
        </w:tc>
        <w:tc>
          <w:tcPr>
            <w:tcW w:w="72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(302,762)</w:t>
            </w:r>
          </w:p>
        </w:tc>
        <w:tc>
          <w:tcPr>
            <w:tcW w:w="810" w:type="dxa"/>
            <w:tcBorders>
              <w:top w:val="nil"/>
              <w:left w:val="nil"/>
              <w:bottom w:val="nil"/>
              <w:right w:val="nil"/>
            </w:tcBorders>
            <w:shd w:val="clear" w:color="auto" w:fill="auto"/>
            <w:tcMar>
              <w:left w:w="43" w:type="dxa"/>
              <w:right w:w="43" w:type="dxa"/>
            </w:tcMar>
            <w:vAlign w:val="center"/>
            <w:hideMark/>
          </w:tcPr>
          <w:p w:rsidR="00FD61D4" w:rsidRDefault="00FD61D4" w:rsidP="00C81E06">
            <w:pPr>
              <w:jc w:val="right"/>
              <w:rPr>
                <w:sz w:val="14"/>
                <w:szCs w:val="14"/>
              </w:rPr>
            </w:pPr>
            <w:r>
              <w:rPr>
                <w:sz w:val="14"/>
                <w:szCs w:val="14"/>
              </w:rPr>
              <w:t>(180,249)</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C81E06">
            <w:pPr>
              <w:jc w:val="right"/>
              <w:rPr>
                <w:sz w:val="14"/>
                <w:szCs w:val="14"/>
              </w:rPr>
            </w:pPr>
            <w:r>
              <w:rPr>
                <w:sz w:val="14"/>
                <w:szCs w:val="14"/>
              </w:rPr>
              <w:t>(110,823)</w:t>
            </w:r>
          </w:p>
        </w:tc>
        <w:tc>
          <w:tcPr>
            <w:tcW w:w="810" w:type="dxa"/>
            <w:tcBorders>
              <w:top w:val="nil"/>
              <w:left w:val="nil"/>
              <w:bottom w:val="nil"/>
              <w:right w:val="nil"/>
            </w:tcBorders>
            <w:shd w:val="clear" w:color="auto" w:fill="auto"/>
            <w:tcMar>
              <w:left w:w="43" w:type="dxa"/>
              <w:right w:w="43" w:type="dxa"/>
            </w:tcMar>
            <w:vAlign w:val="center"/>
          </w:tcPr>
          <w:p w:rsidR="00FD61D4" w:rsidRDefault="00FD61D4" w:rsidP="00FD61D4">
            <w:pPr>
              <w:jc w:val="right"/>
              <w:rPr>
                <w:sz w:val="14"/>
                <w:szCs w:val="14"/>
              </w:rPr>
            </w:pPr>
            <w:r>
              <w:rPr>
                <w:sz w:val="14"/>
                <w:szCs w:val="14"/>
              </w:rPr>
              <w:t>(110,031)</w:t>
            </w:r>
          </w:p>
        </w:tc>
        <w:tc>
          <w:tcPr>
            <w:tcW w:w="720" w:type="dxa"/>
            <w:tcBorders>
              <w:top w:val="nil"/>
              <w:left w:val="nil"/>
              <w:bottom w:val="nil"/>
              <w:right w:val="nil"/>
            </w:tcBorders>
            <w:shd w:val="clear" w:color="auto" w:fill="auto"/>
            <w:noWrap/>
            <w:tcMar>
              <w:left w:w="43" w:type="dxa"/>
              <w:right w:w="43" w:type="dxa"/>
            </w:tcMar>
            <w:vAlign w:val="center"/>
          </w:tcPr>
          <w:p w:rsidR="00FD61D4" w:rsidRDefault="00FD61D4" w:rsidP="00FD61D4">
            <w:pPr>
              <w:jc w:val="right"/>
              <w:rPr>
                <w:sz w:val="14"/>
                <w:szCs w:val="14"/>
              </w:rPr>
            </w:pPr>
            <w:r>
              <w:rPr>
                <w:sz w:val="14"/>
                <w:szCs w:val="14"/>
              </w:rPr>
              <w:t>(199,839)</w:t>
            </w:r>
          </w:p>
        </w:tc>
      </w:tr>
      <w:tr w:rsidR="00C81E06" w:rsidRPr="002D5FD9" w:rsidTr="00D40958">
        <w:trPr>
          <w:trHeight w:val="1698"/>
        </w:trPr>
        <w:tc>
          <w:tcPr>
            <w:tcW w:w="10188" w:type="dxa"/>
            <w:gridSpan w:val="10"/>
            <w:tcBorders>
              <w:top w:val="single" w:sz="12" w:space="0" w:color="auto"/>
              <w:left w:val="nil"/>
              <w:bottom w:val="nil"/>
              <w:right w:val="nil"/>
            </w:tcBorders>
            <w:shd w:val="clear" w:color="auto" w:fill="auto"/>
            <w:vAlign w:val="center"/>
            <w:hideMark/>
          </w:tcPr>
          <w:p w:rsidR="00C81E06" w:rsidRDefault="00C81E06" w:rsidP="00C81E06">
            <w:pPr>
              <w:ind w:left="360" w:hanging="360"/>
              <w:jc w:val="right"/>
              <w:rPr>
                <w:szCs w:val="18"/>
              </w:rPr>
            </w:pPr>
            <w:r>
              <w:rPr>
                <w:sz w:val="14"/>
                <w:szCs w:val="14"/>
              </w:rPr>
              <w:t>Source: Statistics &amp; Data Warehouse Department SBP</w:t>
            </w:r>
          </w:p>
          <w:p w:rsidR="00C81E06" w:rsidRPr="00916320" w:rsidRDefault="00C81E06" w:rsidP="00C81E06">
            <w:pPr>
              <w:ind w:left="360" w:hanging="360"/>
              <w:jc w:val="left"/>
              <w:rPr>
                <w:rFonts w:asciiTheme="majorBidi" w:hAnsiTheme="majorBidi" w:cstheme="majorBidi"/>
                <w:szCs w:val="18"/>
              </w:rPr>
            </w:pPr>
            <w:r w:rsidRPr="00916320">
              <w:rPr>
                <w:szCs w:val="18"/>
              </w:rPr>
              <w:t xml:space="preserve">Note: </w:t>
            </w:r>
          </w:p>
          <w:p w:rsidR="00C81E06" w:rsidRPr="00916320" w:rsidRDefault="00C81E06" w:rsidP="00C81E06">
            <w:pPr>
              <w:pStyle w:val="ListParagraph"/>
              <w:numPr>
                <w:ilvl w:val="0"/>
                <w:numId w:val="15"/>
              </w:numPr>
              <w:rPr>
                <w:rFonts w:asciiTheme="majorBidi" w:hAnsiTheme="majorBidi" w:cstheme="majorBidi"/>
                <w:sz w:val="14"/>
                <w:szCs w:val="14"/>
              </w:rPr>
            </w:pPr>
            <w:r w:rsidRPr="00916320">
              <w:rPr>
                <w:rFonts w:asciiTheme="majorBidi" w:hAnsiTheme="majorBidi" w:cstheme="majorBidi"/>
                <w:sz w:val="14"/>
                <w:szCs w:val="14"/>
              </w:rPr>
              <w:t xml:space="preserve"> Depository Corporations (DCs) include the data of SBP, Banks, DFIs, MFBs, Deposit Accepting </w:t>
            </w:r>
            <w:proofErr w:type="spellStart"/>
            <w:r w:rsidRPr="00916320">
              <w:rPr>
                <w:rFonts w:asciiTheme="majorBidi" w:hAnsiTheme="majorBidi" w:cstheme="majorBidi"/>
                <w:sz w:val="14"/>
                <w:szCs w:val="14"/>
              </w:rPr>
              <w:t>Non Bank</w:t>
            </w:r>
            <w:proofErr w:type="spellEnd"/>
            <w:r w:rsidRPr="00916320">
              <w:rPr>
                <w:rFonts w:asciiTheme="majorBidi" w:hAnsiTheme="majorBidi" w:cstheme="majorBidi"/>
                <w:sz w:val="14"/>
                <w:szCs w:val="14"/>
              </w:rPr>
              <w:t xml:space="preserve"> Financial Companies and Money Market Mutual Funds (MMMFs). The scope of DCs survey has been enhanced with the inclusion of MMMFs with effect from April 2017. The archive of the DCs including MMMFs has been prepared from July 2012. Therefore, the estimates are not comparable with Analytical Accounts of Banking Sector (up to June 2008 prepared under money &amp; banking guide and up to June 2012 .prepared under MFSM) and monetary aggregates of weekly monetary survey based on data of SBP and Scheduled Banks. Methodological changes are given at the following links: </w:t>
            </w:r>
            <w:hyperlink r:id="rId13" w:history="1">
              <w:r w:rsidRPr="00916320">
                <w:rPr>
                  <w:rStyle w:val="Hyperlink"/>
                  <w:rFonts w:asciiTheme="majorBidi" w:hAnsiTheme="majorBidi" w:cstheme="majorBidi"/>
                  <w:sz w:val="14"/>
                  <w:szCs w:val="14"/>
                </w:rPr>
                <w:t>http://www.sbp.org.pk/departments/stats/ntb.htm</w:t>
              </w:r>
            </w:hyperlink>
          </w:p>
          <w:p w:rsidR="00C81E06" w:rsidRPr="00916320" w:rsidRDefault="00C07FEB" w:rsidP="00C81E06">
            <w:pPr>
              <w:pStyle w:val="ListParagraph"/>
              <w:numPr>
                <w:ilvl w:val="0"/>
                <w:numId w:val="15"/>
              </w:numPr>
              <w:rPr>
                <w:rFonts w:asciiTheme="majorBidi" w:hAnsiTheme="majorBidi" w:cstheme="majorBidi"/>
                <w:sz w:val="14"/>
                <w:szCs w:val="14"/>
              </w:rPr>
            </w:pPr>
            <w:hyperlink r:id="rId14" w:history="1">
              <w:r w:rsidR="00C81E06" w:rsidRPr="00916320">
                <w:rPr>
                  <w:rFonts w:asciiTheme="majorBidi" w:hAnsiTheme="majorBidi" w:cstheme="majorBidi"/>
                  <w:sz w:val="14"/>
                  <w:szCs w:val="14"/>
                </w:rPr>
                <w:t>Islamic Financings, Adavances (against Murabaha etc) and Other related items previously reported under Other Assets has been reclassified as domestic claims / credit  from June 2014. Details of reclassifications/revisions are available in revision study on SBP website at :</w:t>
              </w:r>
            </w:hyperlink>
            <w:r w:rsidR="00C81E06" w:rsidRPr="00916320">
              <w:rPr>
                <w:rFonts w:asciiTheme="majorBidi" w:hAnsiTheme="majorBidi" w:cstheme="majorBidi"/>
                <w:sz w:val="14"/>
                <w:szCs w:val="14"/>
              </w:rPr>
              <w:t xml:space="preserve"> </w:t>
            </w:r>
            <w:hyperlink r:id="rId15" w:history="1">
              <w:r w:rsidR="00C81E06" w:rsidRPr="00916320">
                <w:rPr>
                  <w:rFonts w:asciiTheme="majorBidi" w:hAnsiTheme="majorBidi" w:cstheme="majorBidi"/>
                  <w:color w:val="000000"/>
                  <w:sz w:val="14"/>
                  <w:szCs w:val="14"/>
                </w:rPr>
                <w:t>www.sbp.org.pk/ecodata/Revision_Monetary_Stats.pdf</w:t>
              </w:r>
            </w:hyperlink>
          </w:p>
          <w:p w:rsidR="00C81E06" w:rsidRDefault="00C81E06" w:rsidP="00C81E06">
            <w:pPr>
              <w:pStyle w:val="ListParagraph"/>
              <w:numPr>
                <w:ilvl w:val="0"/>
                <w:numId w:val="15"/>
              </w:numPr>
              <w:rPr>
                <w:rFonts w:asciiTheme="majorBidi" w:hAnsiTheme="majorBidi" w:cstheme="majorBidi"/>
                <w:sz w:val="14"/>
                <w:szCs w:val="14"/>
              </w:rPr>
            </w:pPr>
            <w:r w:rsidRPr="007A445B">
              <w:rPr>
                <w:rFonts w:asciiTheme="majorBidi" w:hAnsiTheme="majorBidi" w:cstheme="majorBidi"/>
                <w:sz w:val="14"/>
                <w:szCs w:val="14"/>
              </w:rPr>
              <w:t>From July, 2019 data on Central and Provincial Government deposits with scheduled banks have been revised. This revision is due to reclassification of some of the PSEs, which were previously reported under Government deposits. The coverage of PSEs has been increased.</w:t>
            </w:r>
          </w:p>
          <w:p w:rsidR="00C81E06" w:rsidRPr="007A445B" w:rsidRDefault="00C81E06" w:rsidP="00C81E06">
            <w:pPr>
              <w:pStyle w:val="ListParagraph"/>
              <w:ind w:left="360"/>
              <w:rPr>
                <w:rFonts w:asciiTheme="majorBidi" w:hAnsiTheme="majorBidi" w:cstheme="majorBidi"/>
                <w:sz w:val="14"/>
                <w:szCs w:val="14"/>
              </w:rPr>
            </w:pPr>
            <w:r w:rsidRPr="007A445B">
              <w:rPr>
                <w:rFonts w:asciiTheme="majorBidi" w:hAnsiTheme="majorBidi" w:cstheme="majorBidi"/>
                <w:sz w:val="14"/>
                <w:szCs w:val="14"/>
              </w:rPr>
              <w:t xml:space="preserve">Archive Link:  </w:t>
            </w:r>
            <w:hyperlink r:id="rId16" w:history="1">
              <w:r w:rsidRPr="007A445B">
                <w:rPr>
                  <w:rStyle w:val="Hyperlink"/>
                  <w:rFonts w:asciiTheme="majorBidi" w:hAnsiTheme="majorBidi" w:cstheme="majorBidi"/>
                  <w:sz w:val="14"/>
                  <w:szCs w:val="14"/>
                </w:rPr>
                <w:t>http://www.sbp.org.pk/ecodata/DepositoryArch.xls</w:t>
              </w:r>
            </w:hyperlink>
          </w:p>
        </w:tc>
      </w:tr>
    </w:tbl>
    <w:p w:rsidR="00F46CD6" w:rsidRDefault="00F46CD6" w:rsidP="00F46CD6">
      <w:pPr>
        <w:jc w:val="left"/>
        <w:rPr>
          <w:color w:val="auto"/>
        </w:rPr>
      </w:pPr>
    </w:p>
    <w:p w:rsidR="00916320" w:rsidRPr="00D5469A" w:rsidRDefault="00916320" w:rsidP="0069571C">
      <w:pPr>
        <w:pStyle w:val="Footer"/>
        <w:tabs>
          <w:tab w:val="clear" w:pos="4320"/>
          <w:tab w:val="clear" w:pos="8640"/>
        </w:tabs>
        <w:jc w:val="both"/>
        <w:rPr>
          <w:color w:val="auto"/>
          <w:sz w:val="24"/>
        </w:rPr>
      </w:pPr>
    </w:p>
    <w:tbl>
      <w:tblPr>
        <w:tblW w:w="10497" w:type="dxa"/>
        <w:jc w:val="center"/>
        <w:tblLayout w:type="fixed"/>
        <w:tblLook w:val="04A0" w:firstRow="1" w:lastRow="0" w:firstColumn="1" w:lastColumn="0" w:noHBand="0" w:noVBand="1"/>
      </w:tblPr>
      <w:tblGrid>
        <w:gridCol w:w="236"/>
        <w:gridCol w:w="3105"/>
        <w:gridCol w:w="847"/>
        <w:gridCol w:w="811"/>
        <w:gridCol w:w="741"/>
        <w:gridCol w:w="756"/>
        <w:gridCol w:w="810"/>
        <w:gridCol w:w="810"/>
        <w:gridCol w:w="810"/>
        <w:gridCol w:w="810"/>
        <w:gridCol w:w="761"/>
      </w:tblGrid>
      <w:tr w:rsidR="009B6E8A" w:rsidRPr="009B6E8A" w:rsidTr="008125E1">
        <w:trPr>
          <w:trHeight w:val="360"/>
          <w:jc w:val="center"/>
        </w:trPr>
        <w:tc>
          <w:tcPr>
            <w:tcW w:w="10497" w:type="dxa"/>
            <w:gridSpan w:val="11"/>
            <w:tcBorders>
              <w:top w:val="nil"/>
              <w:left w:val="nil"/>
              <w:bottom w:val="nil"/>
              <w:right w:val="nil"/>
            </w:tcBorders>
            <w:shd w:val="clear" w:color="auto" w:fill="auto"/>
            <w:noWrap/>
            <w:vAlign w:val="bottom"/>
            <w:hideMark/>
          </w:tcPr>
          <w:p w:rsidR="009B6E8A" w:rsidRPr="009B6E8A" w:rsidRDefault="009B6E8A" w:rsidP="009B6E8A">
            <w:pPr>
              <w:rPr>
                <w:b/>
                <w:bCs/>
                <w:color w:val="auto"/>
                <w:sz w:val="28"/>
                <w:szCs w:val="28"/>
              </w:rPr>
            </w:pPr>
            <w:r w:rsidRPr="009B6E8A">
              <w:rPr>
                <w:b/>
                <w:bCs/>
                <w:color w:val="auto"/>
                <w:sz w:val="28"/>
                <w:szCs w:val="28"/>
              </w:rPr>
              <w:t>2.4 Reserve Money</w:t>
            </w:r>
          </w:p>
        </w:tc>
      </w:tr>
      <w:tr w:rsidR="009B6E8A" w:rsidRPr="009B6E8A" w:rsidTr="008125E1">
        <w:trPr>
          <w:trHeight w:hRule="exact" w:val="162"/>
          <w:jc w:val="center"/>
        </w:trPr>
        <w:tc>
          <w:tcPr>
            <w:tcW w:w="10497" w:type="dxa"/>
            <w:gridSpan w:val="11"/>
            <w:tcBorders>
              <w:top w:val="nil"/>
              <w:left w:val="nil"/>
              <w:bottom w:val="single" w:sz="12" w:space="0" w:color="auto"/>
              <w:right w:val="nil"/>
            </w:tcBorders>
            <w:shd w:val="clear" w:color="auto" w:fill="auto"/>
            <w:noWrap/>
            <w:vAlign w:val="bottom"/>
            <w:hideMark/>
          </w:tcPr>
          <w:p w:rsidR="009B6E8A" w:rsidRPr="009B6E8A" w:rsidRDefault="009B6E8A" w:rsidP="009B6E8A">
            <w:pPr>
              <w:jc w:val="right"/>
              <w:rPr>
                <w:color w:val="auto"/>
                <w:szCs w:val="16"/>
              </w:rPr>
            </w:pPr>
            <w:r w:rsidRPr="009B6E8A">
              <w:rPr>
                <w:bCs/>
                <w:color w:val="auto"/>
                <w:szCs w:val="16"/>
              </w:rPr>
              <w:t>(Million Rupees)</w:t>
            </w:r>
          </w:p>
        </w:tc>
      </w:tr>
      <w:tr w:rsidR="005C4F6A" w:rsidRPr="009B6E8A" w:rsidTr="002B6352">
        <w:trPr>
          <w:trHeight w:hRule="exact" w:val="282"/>
          <w:jc w:val="center"/>
        </w:trPr>
        <w:tc>
          <w:tcPr>
            <w:tcW w:w="3341" w:type="dxa"/>
            <w:gridSpan w:val="2"/>
            <w:vMerge w:val="restart"/>
            <w:tcBorders>
              <w:top w:val="nil"/>
              <w:left w:val="nil"/>
              <w:bottom w:val="single" w:sz="12" w:space="0" w:color="000000"/>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Components</w:t>
            </w: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5C4F6A" w:rsidRPr="003A4AAC" w:rsidRDefault="005C4F6A" w:rsidP="004E4510">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nil"/>
              <w:bottom w:val="single" w:sz="4" w:space="0" w:color="auto"/>
              <w:right w:val="single" w:sz="4" w:space="0" w:color="auto"/>
            </w:tcBorders>
            <w:shd w:val="clear" w:color="auto" w:fill="auto"/>
            <w:vAlign w:val="center"/>
          </w:tcPr>
          <w:p w:rsidR="005C4F6A" w:rsidRPr="009B6E8A" w:rsidRDefault="005C4F6A" w:rsidP="004E4510">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5C4F6A" w:rsidRPr="009B6E8A" w:rsidRDefault="005C4F6A" w:rsidP="004E4510">
            <w:pPr>
              <w:rPr>
                <w:b/>
                <w:bCs/>
                <w:color w:val="auto"/>
                <w:szCs w:val="16"/>
              </w:rPr>
            </w:pPr>
            <w:r>
              <w:rPr>
                <w:b/>
                <w:bCs/>
                <w:color w:val="auto"/>
                <w:szCs w:val="16"/>
              </w:rPr>
              <w:t>2020</w:t>
            </w:r>
          </w:p>
        </w:tc>
      </w:tr>
      <w:tr w:rsidR="00C81E06" w:rsidRPr="009B6E8A" w:rsidTr="002B6352">
        <w:trPr>
          <w:trHeight w:hRule="exact" w:val="270"/>
          <w:jc w:val="center"/>
        </w:trPr>
        <w:tc>
          <w:tcPr>
            <w:tcW w:w="3341" w:type="dxa"/>
            <w:gridSpan w:val="2"/>
            <w:vMerge/>
            <w:tcBorders>
              <w:top w:val="nil"/>
              <w:left w:val="nil"/>
              <w:bottom w:val="single" w:sz="12" w:space="0" w:color="000000"/>
              <w:right w:val="single" w:sz="4" w:space="0" w:color="auto"/>
            </w:tcBorders>
            <w:shd w:val="clear" w:color="auto" w:fill="auto"/>
            <w:vAlign w:val="center"/>
            <w:hideMark/>
          </w:tcPr>
          <w:p w:rsidR="00C81E06" w:rsidRPr="009B6E8A" w:rsidRDefault="00C81E06" w:rsidP="00C81E06">
            <w:pPr>
              <w:jc w:val="left"/>
              <w:rPr>
                <w:b/>
                <w:bCs/>
                <w:color w:val="auto"/>
                <w:sz w:val="14"/>
                <w:szCs w:val="14"/>
              </w:rPr>
            </w:pPr>
          </w:p>
        </w:tc>
        <w:tc>
          <w:tcPr>
            <w:tcW w:w="84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81E06" w:rsidRPr="006619BF" w:rsidRDefault="00C81E06" w:rsidP="00C81E06">
            <w:pPr>
              <w:jc w:val="right"/>
              <w:rPr>
                <w:b/>
                <w:bCs/>
                <w:color w:val="auto"/>
                <w:sz w:val="14"/>
                <w:szCs w:val="14"/>
              </w:rPr>
            </w:pPr>
            <w:r w:rsidRPr="006619BF">
              <w:rPr>
                <w:b/>
                <w:bCs/>
                <w:color w:val="auto"/>
                <w:sz w:val="14"/>
                <w:szCs w:val="14"/>
              </w:rPr>
              <w:t>FY17</w:t>
            </w:r>
          </w:p>
        </w:tc>
        <w:tc>
          <w:tcPr>
            <w:tcW w:w="81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r>
              <w:rPr>
                <w:b/>
                <w:bCs/>
                <w:color w:val="auto"/>
                <w:sz w:val="14"/>
                <w:szCs w:val="14"/>
              </w:rPr>
              <w:t>FY18</w:t>
            </w:r>
          </w:p>
        </w:tc>
        <w:tc>
          <w:tcPr>
            <w:tcW w:w="741"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r>
              <w:rPr>
                <w:b/>
                <w:bCs/>
                <w:color w:val="auto"/>
                <w:sz w:val="14"/>
                <w:szCs w:val="14"/>
              </w:rPr>
              <w:t>FY19</w:t>
            </w:r>
          </w:p>
        </w:tc>
        <w:tc>
          <w:tcPr>
            <w:tcW w:w="7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61" w:type="dxa"/>
            <w:tcBorders>
              <w:top w:val="single" w:sz="4" w:space="0" w:color="auto"/>
              <w:bottom w:val="single" w:sz="12" w:space="0" w:color="auto"/>
              <w:right w:val="nil"/>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9B6E8A" w:rsidTr="00BD56D8">
        <w:trPr>
          <w:trHeight w:hRule="exact" w:val="178"/>
          <w:jc w:val="center"/>
        </w:trPr>
        <w:tc>
          <w:tcPr>
            <w:tcW w:w="3341" w:type="dxa"/>
            <w:gridSpan w:val="2"/>
            <w:tcBorders>
              <w:top w:val="nil"/>
              <w:left w:val="nil"/>
              <w:bottom w:val="nil"/>
              <w:right w:val="nil"/>
            </w:tcBorders>
            <w:shd w:val="clear" w:color="auto" w:fill="auto"/>
            <w:noWrap/>
            <w:vAlign w:val="center"/>
            <w:hideMark/>
          </w:tcPr>
          <w:p w:rsidR="00C81E06" w:rsidRPr="009B6E8A" w:rsidRDefault="00C81E06" w:rsidP="00C81E06">
            <w:pPr>
              <w:ind w:firstLineChars="200" w:firstLine="281"/>
              <w:jc w:val="left"/>
              <w:rPr>
                <w:b/>
                <w:bCs/>
                <w:color w:val="auto"/>
                <w:sz w:val="14"/>
                <w:szCs w:val="14"/>
              </w:rPr>
            </w:pPr>
          </w:p>
        </w:tc>
        <w:tc>
          <w:tcPr>
            <w:tcW w:w="847" w:type="dxa"/>
            <w:tcBorders>
              <w:top w:val="nil"/>
              <w:left w:val="nil"/>
              <w:bottom w:val="nil"/>
              <w:right w:val="nil"/>
            </w:tcBorders>
            <w:shd w:val="clear" w:color="auto" w:fill="auto"/>
            <w:noWrap/>
            <w:tcMar>
              <w:left w:w="43" w:type="dxa"/>
              <w:right w:w="43" w:type="dxa"/>
            </w:tcMar>
            <w:vAlign w:val="center"/>
            <w:hideMark/>
          </w:tcPr>
          <w:p w:rsidR="00C81E06" w:rsidRPr="009B6E8A" w:rsidRDefault="00C81E06" w:rsidP="00C81E06">
            <w:pPr>
              <w:jc w:val="right"/>
              <w:rPr>
                <w:b/>
                <w:bCs/>
                <w:color w:val="auto"/>
                <w:sz w:val="13"/>
                <w:szCs w:val="13"/>
              </w:rPr>
            </w:pPr>
          </w:p>
        </w:tc>
        <w:tc>
          <w:tcPr>
            <w:tcW w:w="811" w:type="dxa"/>
            <w:tcBorders>
              <w:top w:val="nil"/>
              <w:left w:val="nil"/>
              <w:bottom w:val="nil"/>
              <w:right w:val="nil"/>
            </w:tcBorders>
            <w:shd w:val="clear" w:color="auto" w:fill="auto"/>
            <w:noWrap/>
            <w:tcMar>
              <w:left w:w="43" w:type="dxa"/>
              <w:right w:w="43" w:type="dxa"/>
            </w:tcMar>
            <w:vAlign w:val="center"/>
          </w:tcPr>
          <w:p w:rsidR="00C81E06" w:rsidRDefault="00C81E06" w:rsidP="00C81E06">
            <w:pPr>
              <w:jc w:val="right"/>
              <w:rPr>
                <w:b/>
                <w:bCs/>
                <w:sz w:val="13"/>
                <w:szCs w:val="13"/>
              </w:rPr>
            </w:pPr>
          </w:p>
        </w:tc>
        <w:tc>
          <w:tcPr>
            <w:tcW w:w="741" w:type="dxa"/>
            <w:tcBorders>
              <w:top w:val="nil"/>
              <w:left w:val="nil"/>
              <w:bottom w:val="nil"/>
              <w:right w:val="nil"/>
            </w:tcBorders>
            <w:shd w:val="clear" w:color="auto" w:fill="auto"/>
            <w:noWrap/>
            <w:tcMar>
              <w:left w:w="43" w:type="dxa"/>
              <w:right w:w="43" w:type="dxa"/>
            </w:tcMar>
            <w:vAlign w:val="center"/>
          </w:tcPr>
          <w:p w:rsidR="00C81E06" w:rsidRDefault="00C81E06" w:rsidP="00C81E06">
            <w:pPr>
              <w:jc w:val="right"/>
              <w:rPr>
                <w:b/>
                <w:bCs/>
                <w:sz w:val="13"/>
                <w:szCs w:val="13"/>
              </w:rPr>
            </w:pPr>
          </w:p>
        </w:tc>
        <w:tc>
          <w:tcPr>
            <w:tcW w:w="756" w:type="dxa"/>
            <w:tcBorders>
              <w:top w:val="nil"/>
              <w:left w:val="nil"/>
              <w:bottom w:val="nil"/>
              <w:right w:val="nil"/>
            </w:tcBorders>
            <w:shd w:val="clear" w:color="auto" w:fill="auto"/>
            <w:noWrap/>
            <w:tcMar>
              <w:left w:w="43" w:type="dxa"/>
              <w:right w:w="43" w:type="dxa"/>
            </w:tcMar>
            <w:vAlign w:val="center"/>
            <w:hideMark/>
          </w:tcPr>
          <w:p w:rsidR="00C81E06" w:rsidRDefault="00C81E06" w:rsidP="00C81E06">
            <w:pPr>
              <w:jc w:val="right"/>
              <w:rPr>
                <w:b/>
                <w:bCs/>
                <w:sz w:val="13"/>
                <w:szCs w:val="13"/>
              </w:rPr>
            </w:pPr>
          </w:p>
        </w:tc>
        <w:tc>
          <w:tcPr>
            <w:tcW w:w="810" w:type="dxa"/>
            <w:tcBorders>
              <w:top w:val="nil"/>
              <w:left w:val="nil"/>
              <w:bottom w:val="nil"/>
              <w:right w:val="nil"/>
            </w:tcBorders>
            <w:shd w:val="clear" w:color="auto" w:fill="auto"/>
            <w:tcMar>
              <w:left w:w="43" w:type="dxa"/>
              <w:right w:w="43" w:type="dxa"/>
            </w:tcMar>
            <w:vAlign w:val="center"/>
          </w:tcPr>
          <w:p w:rsidR="00C81E06" w:rsidRDefault="00C81E06" w:rsidP="00C81E06">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hideMark/>
          </w:tcPr>
          <w:p w:rsidR="00C81E06" w:rsidRDefault="00C81E06" w:rsidP="00C81E06">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C81E06" w:rsidRDefault="00C81E06" w:rsidP="00C81E06">
            <w:pPr>
              <w:jc w:val="right"/>
              <w:rPr>
                <w:b/>
                <w:bCs/>
                <w:sz w:val="13"/>
                <w:szCs w:val="13"/>
              </w:rPr>
            </w:pPr>
          </w:p>
        </w:tc>
        <w:tc>
          <w:tcPr>
            <w:tcW w:w="810" w:type="dxa"/>
            <w:tcBorders>
              <w:top w:val="nil"/>
              <w:left w:val="nil"/>
              <w:bottom w:val="nil"/>
              <w:right w:val="nil"/>
            </w:tcBorders>
            <w:shd w:val="clear" w:color="auto" w:fill="auto"/>
            <w:noWrap/>
            <w:tcMar>
              <w:left w:w="43" w:type="dxa"/>
              <w:right w:w="43" w:type="dxa"/>
            </w:tcMar>
            <w:vAlign w:val="center"/>
          </w:tcPr>
          <w:p w:rsidR="00C81E06" w:rsidRDefault="00C81E06" w:rsidP="00C81E06">
            <w:pPr>
              <w:jc w:val="right"/>
              <w:rPr>
                <w:b/>
                <w:bCs/>
                <w:sz w:val="13"/>
                <w:szCs w:val="13"/>
              </w:rPr>
            </w:pPr>
          </w:p>
        </w:tc>
        <w:tc>
          <w:tcPr>
            <w:tcW w:w="761" w:type="dxa"/>
            <w:tcBorders>
              <w:top w:val="nil"/>
              <w:left w:val="nil"/>
              <w:bottom w:val="nil"/>
              <w:right w:val="nil"/>
            </w:tcBorders>
            <w:shd w:val="clear" w:color="auto" w:fill="auto"/>
            <w:noWrap/>
            <w:tcMar>
              <w:left w:w="43" w:type="dxa"/>
              <w:right w:w="43" w:type="dxa"/>
            </w:tcMar>
            <w:vAlign w:val="center"/>
          </w:tcPr>
          <w:p w:rsidR="00C81E06" w:rsidRDefault="00C81E06" w:rsidP="00C81E06">
            <w:pPr>
              <w:jc w:val="right"/>
              <w:rPr>
                <w:b/>
                <w:bCs/>
                <w:sz w:val="13"/>
                <w:szCs w:val="13"/>
              </w:rPr>
            </w:pP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A. Currency in Circulation</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3,911,315</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4,387,828</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4,950,039</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5,031,826</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4,950,039</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5,672,624</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5,930,357</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6,371,862</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6,142,016</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B. Cash in Tills</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264,627</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255,891</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343,516</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389,234</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343,516</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344,451</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312,243</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382,341</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325,508</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C. Other Deposits</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22,692</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26,962</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33,636</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33,777</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33,636</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33,695</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34,980</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38,095</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41,012</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D. Bank Deposits</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669,338</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813,949</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1,246,239</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871,139</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1,246,239</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947,063</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844,924</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821,932</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1,171,103</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Reserve Money (A+B+C+D)</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4,867,971</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5,484,630</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6,573,429</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6,325,976</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6,573,429</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6,997,832</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7,122,505</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7,614,230</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7,679,639</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Factor affecting Reserve Money (RM)</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Pr="00C65960" w:rsidRDefault="002A1179" w:rsidP="00C81E06">
            <w:pPr>
              <w:jc w:val="right"/>
              <w:rPr>
                <w:b/>
                <w:bCs/>
                <w:sz w:val="14"/>
                <w:szCs w:val="14"/>
              </w:rPr>
            </w:pPr>
          </w:p>
        </w:tc>
        <w:tc>
          <w:tcPr>
            <w:tcW w:w="811" w:type="dxa"/>
            <w:tcBorders>
              <w:top w:val="nil"/>
              <w:left w:val="nil"/>
              <w:bottom w:val="nil"/>
              <w:right w:val="nil"/>
            </w:tcBorders>
            <w:shd w:val="clear" w:color="auto" w:fill="auto"/>
            <w:noWrap/>
            <w:tcMar>
              <w:left w:w="43" w:type="dxa"/>
              <w:right w:w="43" w:type="dxa"/>
            </w:tcMar>
            <w:vAlign w:val="center"/>
          </w:tcPr>
          <w:p w:rsidR="002A1179" w:rsidRPr="00C65960" w:rsidRDefault="002A1179" w:rsidP="00C81E06">
            <w:pPr>
              <w:jc w:val="right"/>
              <w:rPr>
                <w:b/>
                <w:bCs/>
                <w:sz w:val="14"/>
                <w:szCs w:val="14"/>
              </w:rPr>
            </w:pP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A. Net Foreign Assets</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828,923</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12,453</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(1,127,203)</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(895,922)</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(1,127,203)</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(353,875)</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(224,471)</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(483,204)</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(180,114)</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B. Net Domestic Assets (1+2+3)</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4,039,049</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5,472,177</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7,700,632</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7,221,898</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7,700,632</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7,351,707</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7,346,976</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8,097,433</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7,859,753</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1. Net </w:t>
            </w:r>
            <w:proofErr w:type="spellStart"/>
            <w:r>
              <w:rPr>
                <w:b/>
                <w:bCs/>
                <w:szCs w:val="16"/>
              </w:rPr>
              <w:t>Govt</w:t>
            </w:r>
            <w:proofErr w:type="spellEnd"/>
            <w:r>
              <w:rPr>
                <w:b/>
                <w:bCs/>
                <w:szCs w:val="16"/>
              </w:rPr>
              <w:t xml:space="preserve"> Sector Borrowing (</w:t>
            </w:r>
            <w:proofErr w:type="spellStart"/>
            <w:r>
              <w:rPr>
                <w:b/>
                <w:bCs/>
                <w:szCs w:val="16"/>
              </w:rPr>
              <w:t>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2,337,124</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3,600,435</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6,675,650</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6,179,840</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6,675,650</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6,201,264</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5,943,470</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6,374,529</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6,542,480</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ind w:firstLineChars="200" w:firstLine="320"/>
              <w:jc w:val="left"/>
              <w:rPr>
                <w:szCs w:val="16"/>
              </w:rPr>
            </w:pPr>
            <w:proofErr w:type="spellStart"/>
            <w:r w:rsidRPr="008C32C5">
              <w:rPr>
                <w:szCs w:val="16"/>
              </w:rPr>
              <w:t>i</w:t>
            </w:r>
            <w:proofErr w:type="spellEnd"/>
            <w:r w:rsidRPr="008C32C5">
              <w:rPr>
                <w:szCs w:val="16"/>
              </w:rPr>
              <w:t xml:space="preserve">. Borrowings for Budgetary Support </w:t>
            </w:r>
            <w:r w:rsidRPr="008C32C5">
              <w:rPr>
                <w:szCs w:val="16"/>
                <w:vertAlign w:val="superscript"/>
              </w:rPr>
              <w:t>1</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2,350,109</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3,613,406</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6,691,870</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6,194,713</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6,691,870</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6,211,471</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5,955,402</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6,390,482</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6,556,991</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ind w:firstLineChars="309" w:firstLine="494"/>
              <w:jc w:val="left"/>
              <w:rPr>
                <w:szCs w:val="16"/>
              </w:rPr>
            </w:pPr>
            <w:r>
              <w:rPr>
                <w:szCs w:val="16"/>
              </w:rPr>
              <w:t xml:space="preserve"> </w:t>
            </w:r>
            <w:r w:rsidRPr="008C32C5">
              <w:rPr>
                <w:szCs w:val="16"/>
              </w:rPr>
              <w:t>a) Federal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2,440,624</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3,667,619</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6,833,275</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6,453,541</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6,833,275</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6,680,302</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6,460,468</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6,764,664</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6,768,318</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ind w:firstLineChars="309" w:firstLine="494"/>
              <w:jc w:val="left"/>
              <w:rPr>
                <w:szCs w:val="16"/>
              </w:rPr>
            </w:pPr>
            <w:r>
              <w:rPr>
                <w:szCs w:val="16"/>
              </w:rPr>
              <w:t xml:space="preserve">      </w:t>
            </w:r>
            <w:r w:rsidRPr="008C32C5">
              <w:rPr>
                <w:szCs w:val="16"/>
              </w:rPr>
              <w:t xml:space="preserve">of which deposits with SBP </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(91,238)</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(40,546)</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(967,305)</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(821,625)</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(967,305)</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(1,119,397)</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(1,393,946)</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(1,189,040)</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(546,371)</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ind w:firstLineChars="309" w:firstLine="494"/>
              <w:jc w:val="left"/>
              <w:rPr>
                <w:szCs w:val="16"/>
              </w:rPr>
            </w:pPr>
            <w:r>
              <w:rPr>
                <w:szCs w:val="16"/>
              </w:rPr>
              <w:t xml:space="preserve"> </w:t>
            </w:r>
            <w:r w:rsidRPr="008C32C5">
              <w:rPr>
                <w:szCs w:val="16"/>
              </w:rPr>
              <w:t>b) Provincial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(88,555)</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(43,840)</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(127,135)</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(226,707)</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(127,135)</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(430,303)</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(469,805)</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(333,568)</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(192,737)</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jc w:val="left"/>
              <w:rPr>
                <w:szCs w:val="16"/>
              </w:rPr>
            </w:pPr>
            <w:r w:rsidRPr="008C32C5">
              <w:rPr>
                <w:szCs w:val="16"/>
              </w:rPr>
              <w:t xml:space="preserve">                      </w:t>
            </w:r>
            <w:proofErr w:type="spellStart"/>
            <w:r w:rsidRPr="008C32C5">
              <w:rPr>
                <w:szCs w:val="16"/>
              </w:rPr>
              <w:t>Balochistan</w:t>
            </w:r>
            <w:proofErr w:type="spellEnd"/>
            <w:r w:rsidRPr="008C32C5">
              <w:rPr>
                <w:szCs w:val="16"/>
              </w:rPr>
              <w:t xml:space="preserve"> </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(1,460)</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(5,329)</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(19,072)</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(36,336)</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(19,072)</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(75,766)</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(73,121)</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(77,110)</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(39,105)</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jc w:val="left"/>
              <w:rPr>
                <w:szCs w:val="16"/>
              </w:rPr>
            </w:pPr>
            <w:r w:rsidRPr="008C32C5">
              <w:rPr>
                <w:szCs w:val="16"/>
              </w:rPr>
              <w:t xml:space="preserve">                      Khyber  Pakhtunkhwa </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(30,245)</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(23,945)</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(16,983)</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(37,336)</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(16,983)</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(81,103)</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(70,034)</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(44,380)</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(8,321)</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jc w:val="left"/>
              <w:rPr>
                <w:szCs w:val="16"/>
              </w:rPr>
            </w:pPr>
            <w:r w:rsidRPr="008C32C5">
              <w:rPr>
                <w:szCs w:val="16"/>
              </w:rPr>
              <w:t xml:space="preserve">                      Punjab </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(38,146)</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(5,114)</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(70,339)</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(121,768)</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(70,339)</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(189,335)</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(226,444)</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(152,502)</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(81,570)</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jc w:val="left"/>
              <w:rPr>
                <w:szCs w:val="16"/>
              </w:rPr>
            </w:pPr>
            <w:r w:rsidRPr="008C32C5">
              <w:rPr>
                <w:szCs w:val="16"/>
              </w:rPr>
              <w:t xml:space="preserve">                      Sindh </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(18,704)</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(9,453)</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(20,741)</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(31,266)</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(20,741)</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(84,098)</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(100,207)</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(59,576)</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(63,741)</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ind w:firstLineChars="196" w:firstLine="314"/>
              <w:jc w:val="left"/>
              <w:rPr>
                <w:szCs w:val="16"/>
              </w:rPr>
            </w:pPr>
            <w:r>
              <w:rPr>
                <w:szCs w:val="16"/>
              </w:rPr>
              <w:t xml:space="preserve">       </w:t>
            </w:r>
            <w:r w:rsidRPr="008C32C5">
              <w:rPr>
                <w:szCs w:val="16"/>
              </w:rPr>
              <w:t>c) AJK Government</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7,279</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5,515</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(97)</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(10,450)</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(97)</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(18,366)</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(16,331)</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(19,451)</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(5,047)</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ind w:firstLineChars="196" w:firstLine="314"/>
              <w:jc w:val="left"/>
              <w:rPr>
                <w:szCs w:val="16"/>
              </w:rPr>
            </w:pPr>
            <w:r>
              <w:rPr>
                <w:szCs w:val="16"/>
              </w:rPr>
              <w:t xml:space="preserve">       </w:t>
            </w:r>
            <w:r w:rsidRPr="008C32C5">
              <w:rPr>
                <w:szCs w:val="16"/>
              </w:rPr>
              <w:t xml:space="preserve">d) </w:t>
            </w:r>
            <w:proofErr w:type="spellStart"/>
            <w:r w:rsidRPr="008C32C5">
              <w:rPr>
                <w:szCs w:val="16"/>
              </w:rPr>
              <w:t>Gilgit</w:t>
            </w:r>
            <w:proofErr w:type="spellEnd"/>
            <w:r w:rsidRPr="008C32C5">
              <w:rPr>
                <w:szCs w:val="16"/>
              </w:rPr>
              <w:t>-Baltistan</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(9,239)</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(15,888)</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(14,174)</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(21,671)</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(14,174)</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(20,162)</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(18,930)</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(21,163)</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(13,543)</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ind w:firstLineChars="84" w:firstLine="134"/>
              <w:jc w:val="left"/>
              <w:rPr>
                <w:szCs w:val="16"/>
              </w:rPr>
            </w:pPr>
            <w:r w:rsidRPr="008C32C5">
              <w:rPr>
                <w:szCs w:val="16"/>
              </w:rPr>
              <w:t xml:space="preserve">    ii. Others</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(12,985)</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(12,971)</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(16,220)</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(14,873)</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(16,220)</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(10,208)</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(11,932)</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(15,953)</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(14,510)</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Default="002A1179" w:rsidP="00C81E06">
            <w:pPr>
              <w:jc w:val="left"/>
              <w:rPr>
                <w:b/>
                <w:bCs/>
                <w:szCs w:val="16"/>
              </w:rPr>
            </w:pPr>
            <w:r>
              <w:rPr>
                <w:b/>
                <w:bCs/>
                <w:szCs w:val="16"/>
              </w:rPr>
              <w:t xml:space="preserve">   2. Credit to Non-Govt. Sector (</w:t>
            </w:r>
            <w:proofErr w:type="spellStart"/>
            <w:r>
              <w:rPr>
                <w:b/>
                <w:bCs/>
                <w:szCs w:val="16"/>
              </w:rPr>
              <w:t>i+ii+iii</w:t>
            </w:r>
            <w:proofErr w:type="spellEnd"/>
            <w:r>
              <w:rPr>
                <w:b/>
                <w:bCs/>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491,157</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562,297</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694,966</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673,790</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694,966</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828,661</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845,311</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869,015</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897,424</w:t>
            </w:r>
          </w:p>
        </w:tc>
      </w:tr>
      <w:tr w:rsidR="002A1179" w:rsidRPr="009B6E8A" w:rsidTr="00BD56D8">
        <w:trPr>
          <w:trHeight w:hRule="exact" w:val="236"/>
          <w:jc w:val="center"/>
        </w:trPr>
        <w:tc>
          <w:tcPr>
            <w:tcW w:w="3341" w:type="dxa"/>
            <w:gridSpan w:val="2"/>
            <w:tcBorders>
              <w:top w:val="nil"/>
              <w:left w:val="nil"/>
              <w:bottom w:val="nil"/>
              <w:right w:val="nil"/>
            </w:tcBorders>
            <w:shd w:val="clear" w:color="auto" w:fill="auto"/>
            <w:noWrap/>
            <w:vAlign w:val="center"/>
            <w:hideMark/>
          </w:tcPr>
          <w:p w:rsidR="002A1179" w:rsidRPr="008C32C5" w:rsidRDefault="002A1179" w:rsidP="00C81E06">
            <w:pPr>
              <w:ind w:firstLineChars="84" w:firstLine="134"/>
              <w:jc w:val="left"/>
              <w:rPr>
                <w:szCs w:val="16"/>
              </w:rPr>
            </w:pPr>
            <w:r w:rsidRPr="008C32C5">
              <w:rPr>
                <w:szCs w:val="16"/>
              </w:rPr>
              <w:t xml:space="preserve">    </w:t>
            </w:r>
            <w:proofErr w:type="spellStart"/>
            <w:r w:rsidRPr="008C32C5">
              <w:rPr>
                <w:szCs w:val="16"/>
              </w:rPr>
              <w:t>i</w:t>
            </w:r>
            <w:proofErr w:type="spellEnd"/>
            <w:r w:rsidRPr="008C32C5">
              <w:rPr>
                <w:szCs w:val="16"/>
              </w:rPr>
              <w:t>. Claims on Sch. Banks  (</w:t>
            </w:r>
            <w:proofErr w:type="spellStart"/>
            <w:r w:rsidRPr="008C32C5">
              <w:rPr>
                <w:szCs w:val="16"/>
              </w:rPr>
              <w:t>a+b+c+d+e</w:t>
            </w:r>
            <w:proofErr w:type="spellEnd"/>
            <w:r w:rsidRPr="008C32C5">
              <w:rPr>
                <w:szCs w:val="16"/>
              </w:rPr>
              <w:t>)</w:t>
            </w:r>
          </w:p>
        </w:tc>
        <w:tc>
          <w:tcPr>
            <w:tcW w:w="847"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500,160</w:t>
            </w:r>
          </w:p>
        </w:tc>
        <w:tc>
          <w:tcPr>
            <w:tcW w:w="81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569,866</w:t>
            </w:r>
          </w:p>
        </w:tc>
        <w:tc>
          <w:tcPr>
            <w:tcW w:w="741"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682,889</w:t>
            </w:r>
          </w:p>
        </w:tc>
        <w:tc>
          <w:tcPr>
            <w:tcW w:w="756"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679,479</w:t>
            </w:r>
          </w:p>
        </w:tc>
        <w:tc>
          <w:tcPr>
            <w:tcW w:w="810" w:type="dxa"/>
            <w:tcBorders>
              <w:top w:val="nil"/>
              <w:left w:val="nil"/>
              <w:bottom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682,889</w:t>
            </w:r>
          </w:p>
        </w:tc>
        <w:tc>
          <w:tcPr>
            <w:tcW w:w="810" w:type="dxa"/>
            <w:tcBorders>
              <w:top w:val="nil"/>
              <w:left w:val="nil"/>
              <w:bottom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815,411</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831,936</w:t>
            </w:r>
          </w:p>
        </w:tc>
        <w:tc>
          <w:tcPr>
            <w:tcW w:w="810" w:type="dxa"/>
            <w:tcBorders>
              <w:top w:val="nil"/>
              <w:left w:val="nil"/>
              <w:bottom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854,793</w:t>
            </w:r>
          </w:p>
        </w:tc>
        <w:tc>
          <w:tcPr>
            <w:tcW w:w="761" w:type="dxa"/>
            <w:tcBorders>
              <w:top w:val="nil"/>
              <w:left w:val="nil"/>
              <w:bottom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882,779</w:t>
            </w:r>
          </w:p>
        </w:tc>
      </w:tr>
      <w:tr w:rsidR="002A117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2A1179" w:rsidRDefault="002A1179" w:rsidP="00C81E06">
            <w:pPr>
              <w:ind w:firstLineChars="309" w:firstLine="494"/>
              <w:jc w:val="both"/>
              <w:rPr>
                <w:szCs w:val="16"/>
              </w:rPr>
            </w:pPr>
            <w:r>
              <w:rPr>
                <w:szCs w:val="16"/>
              </w:rPr>
              <w:t>a. Agriculture Sector</w:t>
            </w:r>
          </w:p>
        </w:tc>
        <w:tc>
          <w:tcPr>
            <w:tcW w:w="847"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1,217</w:t>
            </w:r>
          </w:p>
        </w:tc>
        <w:tc>
          <w:tcPr>
            <w:tcW w:w="81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1,056</w:t>
            </w: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1,279</w:t>
            </w: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1,122</w:t>
            </w: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1,279</w:t>
            </w: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1,727</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1,813</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1,880</w:t>
            </w: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1,972</w:t>
            </w:r>
          </w:p>
        </w:tc>
      </w:tr>
      <w:tr w:rsidR="002A117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2A1179" w:rsidRDefault="002A1179" w:rsidP="00C81E06">
            <w:pPr>
              <w:ind w:firstLineChars="309" w:firstLine="494"/>
              <w:jc w:val="both"/>
              <w:rPr>
                <w:szCs w:val="16"/>
              </w:rPr>
            </w:pPr>
            <w:r>
              <w:rPr>
                <w:szCs w:val="16"/>
              </w:rPr>
              <w:t>b. Industrial Sector</w:t>
            </w:r>
          </w:p>
        </w:tc>
        <w:tc>
          <w:tcPr>
            <w:tcW w:w="847"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79,196</w:t>
            </w:r>
          </w:p>
        </w:tc>
        <w:tc>
          <w:tcPr>
            <w:tcW w:w="81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113,524</w:t>
            </w: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150,030</w:t>
            </w: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146,930</w:t>
            </w: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150,030</w:t>
            </w: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182,476</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184,856</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188,603</w:t>
            </w: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191,951</w:t>
            </w:r>
          </w:p>
        </w:tc>
      </w:tr>
      <w:tr w:rsidR="002A117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2A1179" w:rsidRDefault="002A1179" w:rsidP="00C81E06">
            <w:pPr>
              <w:ind w:firstLineChars="309" w:firstLine="494"/>
              <w:jc w:val="both"/>
              <w:rPr>
                <w:szCs w:val="16"/>
              </w:rPr>
            </w:pPr>
            <w:r>
              <w:rPr>
                <w:szCs w:val="16"/>
              </w:rPr>
              <w:t>c. Export Sector</w:t>
            </w:r>
          </w:p>
        </w:tc>
        <w:tc>
          <w:tcPr>
            <w:tcW w:w="847"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238,383</w:t>
            </w:r>
          </w:p>
        </w:tc>
        <w:tc>
          <w:tcPr>
            <w:tcW w:w="81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292,539</w:t>
            </w: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386,843</w:t>
            </w: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385,760</w:t>
            </w: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386,843</w:t>
            </w: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508,506</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522,814</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533,635</w:t>
            </w: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528,036</w:t>
            </w:r>
          </w:p>
        </w:tc>
      </w:tr>
      <w:tr w:rsidR="002A117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2A1179" w:rsidRDefault="002A1179" w:rsidP="00C81E06">
            <w:pPr>
              <w:ind w:firstLineChars="309" w:firstLine="494"/>
              <w:jc w:val="both"/>
              <w:rPr>
                <w:szCs w:val="16"/>
              </w:rPr>
            </w:pPr>
            <w:r>
              <w:rPr>
                <w:szCs w:val="16"/>
              </w:rPr>
              <w:t>d. Housing Sector</w:t>
            </w:r>
          </w:p>
        </w:tc>
        <w:tc>
          <w:tcPr>
            <w:tcW w:w="847" w:type="dxa"/>
            <w:tcBorders>
              <w:top w:val="nil"/>
              <w:left w:val="nil"/>
              <w:right w:val="nil"/>
            </w:tcBorders>
            <w:shd w:val="clear" w:color="auto" w:fill="auto"/>
            <w:noWrap/>
            <w:tcMar>
              <w:left w:w="43" w:type="dxa"/>
              <w:right w:w="43" w:type="dxa"/>
            </w:tcMar>
            <w:vAlign w:val="center"/>
            <w:hideMark/>
          </w:tcPr>
          <w:p w:rsidR="002A1179" w:rsidRPr="008C32C5" w:rsidRDefault="002A1179" w:rsidP="00C81E06">
            <w:pPr>
              <w:jc w:val="right"/>
              <w:rPr>
                <w:sz w:val="14"/>
                <w:szCs w:val="14"/>
              </w:rPr>
            </w:pPr>
            <w:r w:rsidRPr="008C32C5">
              <w:rPr>
                <w:sz w:val="14"/>
                <w:szCs w:val="14"/>
              </w:rPr>
              <w:t>-</w:t>
            </w:r>
          </w:p>
        </w:tc>
        <w:tc>
          <w:tcPr>
            <w:tcW w:w="81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w:t>
            </w: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w:t>
            </w: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w:t>
            </w: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w:t>
            </w: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w:t>
            </w:r>
          </w:p>
        </w:tc>
      </w:tr>
      <w:tr w:rsidR="002A117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2A1179" w:rsidRDefault="002A1179" w:rsidP="00C81E06">
            <w:pPr>
              <w:ind w:firstLineChars="309" w:firstLine="494"/>
              <w:jc w:val="both"/>
              <w:rPr>
                <w:szCs w:val="16"/>
              </w:rPr>
            </w:pPr>
            <w:r>
              <w:rPr>
                <w:szCs w:val="16"/>
              </w:rPr>
              <w:t>e. Others</w:t>
            </w:r>
          </w:p>
        </w:tc>
        <w:tc>
          <w:tcPr>
            <w:tcW w:w="847"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181,364</w:t>
            </w:r>
          </w:p>
        </w:tc>
        <w:tc>
          <w:tcPr>
            <w:tcW w:w="81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162,747</w:t>
            </w: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144,737</w:t>
            </w: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145,666</w:t>
            </w: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144,737</w:t>
            </w: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122,703</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122,454</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130,675</w:t>
            </w: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160,820</w:t>
            </w:r>
          </w:p>
        </w:tc>
      </w:tr>
      <w:tr w:rsidR="002A1179" w:rsidRPr="009B6E8A" w:rsidTr="00BD56D8">
        <w:trPr>
          <w:trHeight w:hRule="exact" w:val="236"/>
          <w:jc w:val="center"/>
        </w:trPr>
        <w:tc>
          <w:tcPr>
            <w:tcW w:w="3341" w:type="dxa"/>
            <w:gridSpan w:val="2"/>
            <w:tcBorders>
              <w:top w:val="nil"/>
              <w:left w:val="nil"/>
              <w:right w:val="nil"/>
            </w:tcBorders>
            <w:shd w:val="clear" w:color="auto" w:fill="auto"/>
            <w:noWrap/>
            <w:vAlign w:val="center"/>
            <w:hideMark/>
          </w:tcPr>
          <w:p w:rsidR="002A1179" w:rsidRPr="008C32C5" w:rsidRDefault="002A1179" w:rsidP="00C81E06">
            <w:pPr>
              <w:ind w:firstLineChars="196" w:firstLine="314"/>
              <w:jc w:val="left"/>
              <w:rPr>
                <w:szCs w:val="16"/>
              </w:rPr>
            </w:pPr>
            <w:r w:rsidRPr="008C32C5">
              <w:rPr>
                <w:szCs w:val="16"/>
              </w:rPr>
              <w:t>ii. Claims on NBFIs</w:t>
            </w:r>
          </w:p>
        </w:tc>
        <w:tc>
          <w:tcPr>
            <w:tcW w:w="847"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15,241</w:t>
            </w:r>
          </w:p>
        </w:tc>
        <w:tc>
          <w:tcPr>
            <w:tcW w:w="81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16,675</w:t>
            </w: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36,321</w:t>
            </w: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18,556</w:t>
            </w: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36,321</w:t>
            </w: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37,494</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37,618</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38,466</w:t>
            </w: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38,889</w:t>
            </w:r>
          </w:p>
        </w:tc>
      </w:tr>
      <w:tr w:rsidR="002A1179" w:rsidRPr="009B6E8A" w:rsidTr="00BD56D8">
        <w:trPr>
          <w:trHeight w:hRule="exact" w:val="369"/>
          <w:jc w:val="center"/>
        </w:trPr>
        <w:tc>
          <w:tcPr>
            <w:tcW w:w="3341" w:type="dxa"/>
            <w:gridSpan w:val="2"/>
            <w:tcBorders>
              <w:top w:val="nil"/>
              <w:left w:val="nil"/>
              <w:right w:val="nil"/>
            </w:tcBorders>
            <w:shd w:val="clear" w:color="auto" w:fill="auto"/>
            <w:noWrap/>
            <w:vAlign w:val="center"/>
            <w:hideMark/>
          </w:tcPr>
          <w:p w:rsidR="002A1179" w:rsidRDefault="002A1179" w:rsidP="00C81E06">
            <w:pPr>
              <w:ind w:firstLineChars="196" w:firstLine="314"/>
              <w:jc w:val="left"/>
              <w:rPr>
                <w:szCs w:val="16"/>
              </w:rPr>
            </w:pPr>
            <w:r>
              <w:rPr>
                <w:szCs w:val="16"/>
              </w:rPr>
              <w:t>iii. PSEs Special A/C</w:t>
            </w:r>
            <w:r w:rsidRPr="008C32C5">
              <w:rPr>
                <w:szCs w:val="16"/>
              </w:rPr>
              <w:t xml:space="preserve"> Debt Repayment</w:t>
            </w:r>
          </w:p>
          <w:p w:rsidR="002A1179" w:rsidRPr="008C32C5" w:rsidRDefault="002A1179" w:rsidP="00C81E06">
            <w:pPr>
              <w:ind w:firstLineChars="196" w:firstLine="314"/>
              <w:jc w:val="left"/>
              <w:rPr>
                <w:szCs w:val="16"/>
              </w:rPr>
            </w:pPr>
            <w:r>
              <w:rPr>
                <w:szCs w:val="16"/>
              </w:rPr>
              <w:t xml:space="preserve">     with SBP/PSPC</w:t>
            </w:r>
          </w:p>
        </w:tc>
        <w:tc>
          <w:tcPr>
            <w:tcW w:w="847"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(24,244)</w:t>
            </w:r>
          </w:p>
        </w:tc>
        <w:tc>
          <w:tcPr>
            <w:tcW w:w="81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(24,244)</w:t>
            </w: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(24,244)</w:t>
            </w: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(24,244)</w:t>
            </w: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(24,244)</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sz w:val="14"/>
                <w:szCs w:val="14"/>
              </w:rPr>
            </w:pPr>
            <w:r>
              <w:rPr>
                <w:sz w:val="14"/>
                <w:szCs w:val="14"/>
              </w:rPr>
              <w:t>(24,244)</w:t>
            </w: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sz w:val="14"/>
                <w:szCs w:val="14"/>
              </w:rPr>
            </w:pPr>
            <w:r>
              <w:rPr>
                <w:sz w:val="14"/>
                <w:szCs w:val="14"/>
              </w:rPr>
              <w:t>(24,244)</w:t>
            </w:r>
          </w:p>
        </w:tc>
      </w:tr>
      <w:tr w:rsidR="002A1179" w:rsidRPr="009B6E8A" w:rsidTr="00BD56D8">
        <w:trPr>
          <w:trHeight w:hRule="exact" w:val="276"/>
          <w:jc w:val="center"/>
        </w:trPr>
        <w:tc>
          <w:tcPr>
            <w:tcW w:w="3341" w:type="dxa"/>
            <w:gridSpan w:val="2"/>
            <w:tcBorders>
              <w:top w:val="nil"/>
              <w:left w:val="nil"/>
              <w:right w:val="nil"/>
            </w:tcBorders>
            <w:shd w:val="clear" w:color="auto" w:fill="auto"/>
            <w:noWrap/>
            <w:vAlign w:val="center"/>
            <w:hideMark/>
          </w:tcPr>
          <w:p w:rsidR="002A1179" w:rsidRDefault="002A1179" w:rsidP="00C81E06">
            <w:pPr>
              <w:jc w:val="left"/>
              <w:rPr>
                <w:b/>
                <w:bCs/>
                <w:szCs w:val="16"/>
              </w:rPr>
            </w:pPr>
            <w:r>
              <w:rPr>
                <w:b/>
                <w:bCs/>
                <w:szCs w:val="16"/>
              </w:rPr>
              <w:t xml:space="preserve">  3. Other Items (Net)</w:t>
            </w:r>
          </w:p>
        </w:tc>
        <w:tc>
          <w:tcPr>
            <w:tcW w:w="847"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1,210,768</w:t>
            </w:r>
          </w:p>
        </w:tc>
        <w:tc>
          <w:tcPr>
            <w:tcW w:w="811" w:type="dxa"/>
            <w:tcBorders>
              <w:top w:val="nil"/>
              <w:left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1,309,445</w:t>
            </w: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330,016</w:t>
            </w: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368,268</w:t>
            </w: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330,016</w:t>
            </w: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321,783</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558,196</w:t>
            </w: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853,889</w:t>
            </w: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419,848</w:t>
            </w:r>
          </w:p>
        </w:tc>
      </w:tr>
      <w:tr w:rsidR="002A1179" w:rsidRPr="009B6E8A" w:rsidTr="00BD56D8">
        <w:trPr>
          <w:trHeight w:hRule="exact" w:val="236"/>
          <w:jc w:val="center"/>
        </w:trPr>
        <w:tc>
          <w:tcPr>
            <w:tcW w:w="3341" w:type="dxa"/>
            <w:gridSpan w:val="2"/>
            <w:tcBorders>
              <w:top w:val="nil"/>
              <w:left w:val="nil"/>
              <w:right w:val="nil"/>
            </w:tcBorders>
            <w:shd w:val="clear" w:color="auto" w:fill="auto"/>
            <w:noWrap/>
            <w:vAlign w:val="bottom"/>
            <w:hideMark/>
          </w:tcPr>
          <w:p w:rsidR="002A1179" w:rsidRPr="00F12B79" w:rsidRDefault="002A1179" w:rsidP="00C81E06">
            <w:pPr>
              <w:jc w:val="right"/>
              <w:rPr>
                <w:b/>
                <w:bCs/>
                <w:sz w:val="14"/>
                <w:szCs w:val="14"/>
              </w:rPr>
            </w:pPr>
          </w:p>
        </w:tc>
        <w:tc>
          <w:tcPr>
            <w:tcW w:w="847" w:type="dxa"/>
            <w:tcBorders>
              <w:top w:val="nil"/>
              <w:left w:val="nil"/>
              <w:right w:val="nil"/>
            </w:tcBorders>
            <w:shd w:val="clear" w:color="auto" w:fill="auto"/>
            <w:noWrap/>
            <w:tcMar>
              <w:left w:w="43" w:type="dxa"/>
              <w:right w:w="43" w:type="dxa"/>
            </w:tcMar>
            <w:vAlign w:val="center"/>
            <w:hideMark/>
          </w:tcPr>
          <w:p w:rsidR="002A1179" w:rsidRPr="00F12B79" w:rsidRDefault="002A1179" w:rsidP="00C81E06">
            <w:pPr>
              <w:jc w:val="right"/>
              <w:rPr>
                <w:b/>
                <w:bCs/>
                <w:sz w:val="14"/>
                <w:szCs w:val="14"/>
              </w:rPr>
            </w:pPr>
          </w:p>
        </w:tc>
        <w:tc>
          <w:tcPr>
            <w:tcW w:w="811" w:type="dxa"/>
            <w:tcBorders>
              <w:top w:val="nil"/>
              <w:left w:val="nil"/>
              <w:right w:val="nil"/>
            </w:tcBorders>
            <w:shd w:val="clear" w:color="auto" w:fill="auto"/>
            <w:noWrap/>
            <w:tcMar>
              <w:left w:w="43" w:type="dxa"/>
              <w:right w:w="43" w:type="dxa"/>
            </w:tcMar>
            <w:vAlign w:val="center"/>
          </w:tcPr>
          <w:p w:rsidR="002A1179" w:rsidRPr="00F12B79" w:rsidRDefault="002A1179" w:rsidP="00C81E06">
            <w:pPr>
              <w:jc w:val="right"/>
              <w:rPr>
                <w:b/>
                <w:bCs/>
                <w:sz w:val="14"/>
                <w:szCs w:val="14"/>
              </w:rPr>
            </w:pPr>
          </w:p>
        </w:tc>
        <w:tc>
          <w:tcPr>
            <w:tcW w:w="741" w:type="dxa"/>
            <w:tcBorders>
              <w:top w:val="nil"/>
              <w:left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p>
        </w:tc>
        <w:tc>
          <w:tcPr>
            <w:tcW w:w="756"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p>
        </w:tc>
        <w:tc>
          <w:tcPr>
            <w:tcW w:w="810" w:type="dxa"/>
            <w:tcBorders>
              <w:top w:val="nil"/>
              <w:left w:val="nil"/>
              <w:right w:val="nil"/>
            </w:tcBorders>
            <w:shd w:val="clear" w:color="auto" w:fill="auto"/>
            <w:tcMar>
              <w:left w:w="43" w:type="dxa"/>
              <w:right w:w="43" w:type="dxa"/>
            </w:tcMar>
            <w:vAlign w:val="center"/>
          </w:tcPr>
          <w:p w:rsidR="002A1179" w:rsidRDefault="002A1179" w:rsidP="002A1179">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p>
        </w:tc>
        <w:tc>
          <w:tcPr>
            <w:tcW w:w="810" w:type="dxa"/>
            <w:tcBorders>
              <w:top w:val="nil"/>
              <w:left w:val="nil"/>
              <w:right w:val="nil"/>
            </w:tcBorders>
            <w:shd w:val="clear" w:color="auto" w:fill="auto"/>
            <w:noWrap/>
            <w:tcMar>
              <w:left w:w="43" w:type="dxa"/>
              <w:right w:w="43" w:type="dxa"/>
            </w:tcMar>
            <w:vAlign w:val="center"/>
          </w:tcPr>
          <w:p w:rsidR="002A1179" w:rsidRDefault="002A1179" w:rsidP="00C81E06">
            <w:pPr>
              <w:jc w:val="right"/>
              <w:rPr>
                <w:b/>
                <w:bCs/>
                <w:sz w:val="14"/>
                <w:szCs w:val="14"/>
              </w:rPr>
            </w:pPr>
          </w:p>
        </w:tc>
        <w:tc>
          <w:tcPr>
            <w:tcW w:w="761" w:type="dxa"/>
            <w:tcBorders>
              <w:top w:val="nil"/>
              <w:left w:val="nil"/>
              <w:right w:val="nil"/>
            </w:tcBorders>
            <w:shd w:val="clear" w:color="auto" w:fill="auto"/>
            <w:noWrap/>
            <w:tcMar>
              <w:left w:w="43" w:type="dxa"/>
              <w:right w:w="43" w:type="dxa"/>
            </w:tcMar>
            <w:vAlign w:val="center"/>
          </w:tcPr>
          <w:p w:rsidR="002A1179" w:rsidRDefault="002A1179" w:rsidP="002A1179">
            <w:pPr>
              <w:jc w:val="right"/>
              <w:rPr>
                <w:b/>
                <w:bCs/>
                <w:sz w:val="14"/>
                <w:szCs w:val="14"/>
              </w:rPr>
            </w:pPr>
          </w:p>
        </w:tc>
      </w:tr>
      <w:tr w:rsidR="002A1179" w:rsidRPr="009B6E8A" w:rsidTr="00BD56D8">
        <w:trPr>
          <w:trHeight w:hRule="exact" w:val="236"/>
          <w:jc w:val="center"/>
        </w:trPr>
        <w:tc>
          <w:tcPr>
            <w:tcW w:w="3341" w:type="dxa"/>
            <w:gridSpan w:val="2"/>
            <w:tcBorders>
              <w:left w:val="nil"/>
              <w:bottom w:val="single" w:sz="12" w:space="0" w:color="auto"/>
              <w:right w:val="nil"/>
            </w:tcBorders>
            <w:shd w:val="clear" w:color="auto" w:fill="auto"/>
            <w:noWrap/>
            <w:vAlign w:val="center"/>
            <w:hideMark/>
          </w:tcPr>
          <w:p w:rsidR="002A1179" w:rsidRDefault="002A1179" w:rsidP="00C81E06">
            <w:pPr>
              <w:ind w:firstLine="315"/>
              <w:jc w:val="left"/>
              <w:rPr>
                <w:szCs w:val="16"/>
              </w:rPr>
            </w:pPr>
            <w:r>
              <w:rPr>
                <w:b/>
                <w:bCs/>
                <w:szCs w:val="16"/>
              </w:rPr>
              <w:t>Reserve Money(RM) (A+B)</w:t>
            </w:r>
          </w:p>
        </w:tc>
        <w:tc>
          <w:tcPr>
            <w:tcW w:w="847" w:type="dxa"/>
            <w:tcBorders>
              <w:left w:val="nil"/>
              <w:bottom w:val="single" w:sz="12" w:space="0" w:color="auto"/>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4,867,971</w:t>
            </w:r>
          </w:p>
        </w:tc>
        <w:tc>
          <w:tcPr>
            <w:tcW w:w="811" w:type="dxa"/>
            <w:tcBorders>
              <w:left w:val="nil"/>
              <w:bottom w:val="single" w:sz="12" w:space="0" w:color="auto"/>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5,484,630</w:t>
            </w:r>
          </w:p>
        </w:tc>
        <w:tc>
          <w:tcPr>
            <w:tcW w:w="741" w:type="dxa"/>
            <w:tcBorders>
              <w:left w:val="nil"/>
              <w:bottom w:val="single" w:sz="12" w:space="0" w:color="auto"/>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6,573,429</w:t>
            </w:r>
          </w:p>
        </w:tc>
        <w:tc>
          <w:tcPr>
            <w:tcW w:w="756" w:type="dxa"/>
            <w:tcBorders>
              <w:left w:val="nil"/>
              <w:bottom w:val="single" w:sz="12" w:space="0" w:color="auto"/>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6,325,976</w:t>
            </w:r>
          </w:p>
        </w:tc>
        <w:tc>
          <w:tcPr>
            <w:tcW w:w="810" w:type="dxa"/>
            <w:tcBorders>
              <w:left w:val="nil"/>
              <w:bottom w:val="single" w:sz="12" w:space="0" w:color="auto"/>
              <w:right w:val="nil"/>
            </w:tcBorders>
            <w:shd w:val="clear" w:color="auto" w:fill="auto"/>
            <w:tcMar>
              <w:left w:w="43" w:type="dxa"/>
              <w:right w:w="43" w:type="dxa"/>
            </w:tcMar>
            <w:vAlign w:val="center"/>
          </w:tcPr>
          <w:p w:rsidR="002A1179" w:rsidRDefault="002A1179" w:rsidP="002A1179">
            <w:pPr>
              <w:jc w:val="right"/>
              <w:rPr>
                <w:b/>
                <w:bCs/>
                <w:sz w:val="14"/>
                <w:szCs w:val="14"/>
              </w:rPr>
            </w:pPr>
            <w:r>
              <w:rPr>
                <w:b/>
                <w:bCs/>
                <w:sz w:val="14"/>
                <w:szCs w:val="14"/>
              </w:rPr>
              <w:t>6,573,429</w:t>
            </w:r>
          </w:p>
        </w:tc>
        <w:tc>
          <w:tcPr>
            <w:tcW w:w="810" w:type="dxa"/>
            <w:tcBorders>
              <w:left w:val="nil"/>
              <w:bottom w:val="single" w:sz="12" w:space="0" w:color="auto"/>
              <w:right w:val="nil"/>
            </w:tcBorders>
            <w:shd w:val="clear" w:color="auto" w:fill="auto"/>
            <w:noWrap/>
            <w:tcMar>
              <w:left w:w="43" w:type="dxa"/>
              <w:right w:w="43" w:type="dxa"/>
            </w:tcMar>
            <w:vAlign w:val="center"/>
            <w:hideMark/>
          </w:tcPr>
          <w:p w:rsidR="002A1179" w:rsidRDefault="002A1179" w:rsidP="00C81E06">
            <w:pPr>
              <w:jc w:val="right"/>
              <w:rPr>
                <w:b/>
                <w:bCs/>
                <w:sz w:val="14"/>
                <w:szCs w:val="14"/>
              </w:rPr>
            </w:pPr>
            <w:r>
              <w:rPr>
                <w:b/>
                <w:bCs/>
                <w:sz w:val="14"/>
                <w:szCs w:val="14"/>
              </w:rPr>
              <w:t>6,997,832</w:t>
            </w:r>
          </w:p>
        </w:tc>
        <w:tc>
          <w:tcPr>
            <w:tcW w:w="810" w:type="dxa"/>
            <w:tcBorders>
              <w:left w:val="nil"/>
              <w:bottom w:val="single" w:sz="12" w:space="0" w:color="auto"/>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7,122,505</w:t>
            </w:r>
          </w:p>
        </w:tc>
        <w:tc>
          <w:tcPr>
            <w:tcW w:w="810" w:type="dxa"/>
            <w:tcBorders>
              <w:left w:val="nil"/>
              <w:bottom w:val="single" w:sz="12" w:space="0" w:color="auto"/>
              <w:right w:val="nil"/>
            </w:tcBorders>
            <w:shd w:val="clear" w:color="auto" w:fill="auto"/>
            <w:noWrap/>
            <w:tcMar>
              <w:left w:w="43" w:type="dxa"/>
              <w:right w:w="43" w:type="dxa"/>
            </w:tcMar>
            <w:vAlign w:val="center"/>
          </w:tcPr>
          <w:p w:rsidR="002A1179" w:rsidRDefault="002A1179" w:rsidP="00C81E06">
            <w:pPr>
              <w:jc w:val="right"/>
              <w:rPr>
                <w:b/>
                <w:bCs/>
                <w:sz w:val="14"/>
                <w:szCs w:val="14"/>
              </w:rPr>
            </w:pPr>
            <w:r>
              <w:rPr>
                <w:b/>
                <w:bCs/>
                <w:sz w:val="14"/>
                <w:szCs w:val="14"/>
              </w:rPr>
              <w:t>7,614,230</w:t>
            </w:r>
          </w:p>
        </w:tc>
        <w:tc>
          <w:tcPr>
            <w:tcW w:w="761" w:type="dxa"/>
            <w:tcBorders>
              <w:left w:val="nil"/>
              <w:bottom w:val="single" w:sz="12" w:space="0" w:color="auto"/>
              <w:right w:val="nil"/>
            </w:tcBorders>
            <w:shd w:val="clear" w:color="auto" w:fill="auto"/>
            <w:noWrap/>
            <w:tcMar>
              <w:left w:w="43" w:type="dxa"/>
              <w:right w:w="43" w:type="dxa"/>
            </w:tcMar>
            <w:vAlign w:val="center"/>
          </w:tcPr>
          <w:p w:rsidR="002A1179" w:rsidRDefault="002A1179" w:rsidP="002A1179">
            <w:pPr>
              <w:jc w:val="right"/>
              <w:rPr>
                <w:b/>
                <w:bCs/>
                <w:sz w:val="14"/>
                <w:szCs w:val="14"/>
              </w:rPr>
            </w:pPr>
            <w:r>
              <w:rPr>
                <w:b/>
                <w:bCs/>
                <w:sz w:val="14"/>
                <w:szCs w:val="14"/>
              </w:rPr>
              <w:t>7,679,639</w:t>
            </w:r>
          </w:p>
        </w:tc>
      </w:tr>
      <w:tr w:rsidR="00C81E06" w:rsidRPr="009B6E8A" w:rsidTr="008125E1">
        <w:trPr>
          <w:trHeight w:hRule="exact" w:val="236"/>
          <w:jc w:val="center"/>
        </w:trPr>
        <w:tc>
          <w:tcPr>
            <w:tcW w:w="10497" w:type="dxa"/>
            <w:gridSpan w:val="11"/>
            <w:tcBorders>
              <w:top w:val="single" w:sz="12" w:space="0" w:color="auto"/>
              <w:left w:val="nil"/>
              <w:right w:val="nil"/>
            </w:tcBorders>
            <w:shd w:val="clear" w:color="auto" w:fill="auto"/>
            <w:noWrap/>
            <w:vAlign w:val="center"/>
            <w:hideMark/>
          </w:tcPr>
          <w:p w:rsidR="00C81E06" w:rsidRPr="00691090" w:rsidRDefault="00C81E06" w:rsidP="00C81E06">
            <w:pPr>
              <w:jc w:val="right"/>
              <w:rPr>
                <w:sz w:val="14"/>
                <w:szCs w:val="14"/>
              </w:rPr>
            </w:pPr>
            <w:r>
              <w:rPr>
                <w:sz w:val="14"/>
                <w:szCs w:val="14"/>
              </w:rPr>
              <w:t>Source: Statistics &amp; Data Warehouse Department SBP</w:t>
            </w:r>
          </w:p>
        </w:tc>
      </w:tr>
      <w:tr w:rsidR="00C81E06" w:rsidRPr="009B6E8A" w:rsidTr="008125E1">
        <w:trPr>
          <w:trHeight w:val="792"/>
          <w:jc w:val="center"/>
        </w:trPr>
        <w:tc>
          <w:tcPr>
            <w:tcW w:w="10497" w:type="dxa"/>
            <w:gridSpan w:val="11"/>
            <w:tcBorders>
              <w:left w:val="nil"/>
              <w:bottom w:val="single" w:sz="12" w:space="0" w:color="auto"/>
              <w:right w:val="nil"/>
            </w:tcBorders>
            <w:shd w:val="clear" w:color="auto" w:fill="auto"/>
            <w:noWrap/>
            <w:vAlign w:val="center"/>
            <w:hideMark/>
          </w:tcPr>
          <w:p w:rsidR="00C81E06" w:rsidRPr="00916320" w:rsidRDefault="00C81E06" w:rsidP="00C81E06">
            <w:pPr>
              <w:ind w:left="405" w:hanging="180"/>
              <w:jc w:val="left"/>
              <w:rPr>
                <w:color w:val="auto"/>
                <w:sz w:val="14"/>
                <w:szCs w:val="14"/>
              </w:rPr>
            </w:pPr>
            <w:r w:rsidRPr="00916320">
              <w:rPr>
                <w:color w:val="auto"/>
                <w:sz w:val="14"/>
                <w:szCs w:val="14"/>
              </w:rPr>
              <w:t>Note:-</w:t>
            </w:r>
          </w:p>
          <w:p w:rsidR="00C81E06" w:rsidRPr="00916320" w:rsidRDefault="00C81E06" w:rsidP="00C81E06">
            <w:pPr>
              <w:ind w:left="405" w:hanging="180"/>
              <w:jc w:val="left"/>
              <w:rPr>
                <w:color w:val="auto"/>
                <w:sz w:val="14"/>
                <w:szCs w:val="14"/>
              </w:rPr>
            </w:pPr>
            <w:r w:rsidRPr="00916320">
              <w:rPr>
                <w:color w:val="auto"/>
                <w:sz w:val="14"/>
                <w:szCs w:val="14"/>
              </w:rPr>
              <w:t xml:space="preserve">1. Excluding IMF A/c Nos. 1 &amp; 2, SAF loan account, counterpart funds, deposits of foreign central banks, foreign </w:t>
            </w:r>
            <w:proofErr w:type="spellStart"/>
            <w:r w:rsidRPr="00916320">
              <w:rPr>
                <w:color w:val="auto"/>
                <w:sz w:val="14"/>
                <w:szCs w:val="14"/>
              </w:rPr>
              <w:t>govts</w:t>
            </w:r>
            <w:proofErr w:type="spellEnd"/>
            <w:r w:rsidRPr="00916320">
              <w:rPr>
                <w:color w:val="auto"/>
                <w:sz w:val="14"/>
                <w:szCs w:val="14"/>
              </w:rPr>
              <w:t>, international organizations and deposit money banks.</w:t>
            </w:r>
          </w:p>
          <w:p w:rsidR="00C81E06" w:rsidRPr="00916320" w:rsidRDefault="00C81E06" w:rsidP="00C81E06">
            <w:pPr>
              <w:ind w:left="405" w:hanging="83"/>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C81E06" w:rsidRPr="00FF243E" w:rsidRDefault="00C81E06" w:rsidP="00C81E06">
            <w:pPr>
              <w:ind w:left="405" w:hanging="83"/>
              <w:jc w:val="left"/>
              <w:rPr>
                <w:color w:val="auto"/>
                <w:sz w:val="14"/>
                <w:szCs w:val="14"/>
              </w:rPr>
            </w:pPr>
            <w:r w:rsidRPr="00916320">
              <w:rPr>
                <w:color w:val="auto"/>
                <w:sz w:val="14"/>
                <w:szCs w:val="14"/>
              </w:rPr>
              <w:t>ii- Data from 30-June 2013 onward is revised on account of reclassification of SBP accounts</w:t>
            </w:r>
          </w:p>
        </w:tc>
      </w:tr>
      <w:tr w:rsidR="00C81E06" w:rsidRPr="009B6E8A" w:rsidTr="008125E1">
        <w:trPr>
          <w:trHeight w:hRule="exact" w:val="309"/>
          <w:jc w:val="center"/>
        </w:trPr>
        <w:tc>
          <w:tcPr>
            <w:tcW w:w="10497" w:type="dxa"/>
            <w:gridSpan w:val="11"/>
            <w:tcBorders>
              <w:top w:val="single" w:sz="12" w:space="0" w:color="auto"/>
              <w:left w:val="nil"/>
              <w:right w:val="nil"/>
            </w:tcBorders>
            <w:shd w:val="clear" w:color="auto" w:fill="auto"/>
            <w:noWrap/>
            <w:vAlign w:val="center"/>
            <w:hideMark/>
          </w:tcPr>
          <w:p w:rsidR="00C81E06" w:rsidRDefault="00C81E06" w:rsidP="00C81E06">
            <w:pPr>
              <w:rPr>
                <w:b/>
                <w:bCs/>
                <w:sz w:val="28"/>
                <w:szCs w:val="28"/>
              </w:rPr>
            </w:pPr>
            <w:r>
              <w:rPr>
                <w:b/>
                <w:bCs/>
                <w:sz w:val="28"/>
                <w:szCs w:val="28"/>
              </w:rPr>
              <w:t>2.5   Currency in Circulation</w:t>
            </w:r>
          </w:p>
        </w:tc>
      </w:tr>
      <w:tr w:rsidR="00C81E06" w:rsidRPr="009B6E8A" w:rsidTr="008125E1">
        <w:trPr>
          <w:trHeight w:hRule="exact" w:val="207"/>
          <w:jc w:val="center"/>
        </w:trPr>
        <w:tc>
          <w:tcPr>
            <w:tcW w:w="10497" w:type="dxa"/>
            <w:gridSpan w:val="11"/>
            <w:tcBorders>
              <w:top w:val="nil"/>
              <w:left w:val="nil"/>
              <w:bottom w:val="single" w:sz="12" w:space="0" w:color="auto"/>
              <w:right w:val="nil"/>
            </w:tcBorders>
            <w:shd w:val="clear" w:color="auto" w:fill="auto"/>
            <w:noWrap/>
            <w:vAlign w:val="center"/>
            <w:hideMark/>
          </w:tcPr>
          <w:p w:rsidR="00C81E06" w:rsidRDefault="00C81E06" w:rsidP="00C81E06">
            <w:pPr>
              <w:jc w:val="right"/>
              <w:rPr>
                <w:szCs w:val="16"/>
              </w:rPr>
            </w:pPr>
            <w:r>
              <w:rPr>
                <w:szCs w:val="16"/>
              </w:rPr>
              <w:t>( Million  Rupees )</w:t>
            </w:r>
          </w:p>
        </w:tc>
      </w:tr>
      <w:tr w:rsidR="00C81E06" w:rsidRPr="009B6E8A" w:rsidTr="002B6352">
        <w:trPr>
          <w:trHeight w:hRule="exact" w:val="264"/>
          <w:jc w:val="center"/>
        </w:trPr>
        <w:tc>
          <w:tcPr>
            <w:tcW w:w="3341" w:type="dxa"/>
            <w:gridSpan w:val="2"/>
            <w:tcBorders>
              <w:top w:val="single" w:sz="12" w:space="0" w:color="auto"/>
              <w:left w:val="nil"/>
              <w:right w:val="single" w:sz="4" w:space="0" w:color="auto"/>
            </w:tcBorders>
            <w:shd w:val="clear" w:color="auto" w:fill="auto"/>
            <w:noWrap/>
            <w:vAlign w:val="center"/>
            <w:hideMark/>
          </w:tcPr>
          <w:p w:rsidR="00C81E06" w:rsidRPr="009B6E8A" w:rsidRDefault="00C81E06" w:rsidP="00C81E06">
            <w:pPr>
              <w:jc w:val="left"/>
              <w:rPr>
                <w:b/>
                <w:bCs/>
                <w:color w:val="auto"/>
                <w:sz w:val="14"/>
                <w:szCs w:val="14"/>
              </w:rPr>
            </w:pPr>
          </w:p>
        </w:tc>
        <w:tc>
          <w:tcPr>
            <w:tcW w:w="2399" w:type="dxa"/>
            <w:gridSpan w:val="3"/>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hideMark/>
          </w:tcPr>
          <w:p w:rsidR="00C81E06" w:rsidRPr="000D5A5A" w:rsidRDefault="00C81E06" w:rsidP="00C81E06">
            <w:pPr>
              <w:rPr>
                <w:b/>
                <w:bCs/>
                <w:color w:val="auto"/>
                <w:szCs w:val="16"/>
              </w:rPr>
            </w:pPr>
            <w:r w:rsidRPr="003A4AAC">
              <w:rPr>
                <w:b/>
                <w:bCs/>
                <w:color w:val="auto"/>
                <w:szCs w:val="16"/>
              </w:rPr>
              <w:t>30</w:t>
            </w:r>
            <w:r w:rsidRPr="003A4AAC">
              <w:rPr>
                <w:b/>
                <w:bCs/>
                <w:color w:val="auto"/>
                <w:szCs w:val="16"/>
                <w:vertAlign w:val="superscript"/>
              </w:rPr>
              <w:t>th</w:t>
            </w:r>
            <w:r w:rsidRPr="003A4AAC">
              <w:rPr>
                <w:b/>
                <w:bCs/>
                <w:color w:val="auto"/>
                <w:szCs w:val="16"/>
              </w:rPr>
              <w:t xml:space="preserve"> June</w:t>
            </w:r>
          </w:p>
        </w:tc>
        <w:tc>
          <w:tcPr>
            <w:tcW w:w="1566" w:type="dxa"/>
            <w:gridSpan w:val="2"/>
            <w:tcBorders>
              <w:top w:val="single" w:sz="12" w:space="0" w:color="auto"/>
              <w:left w:val="single" w:sz="4" w:space="0" w:color="auto"/>
              <w:bottom w:val="single" w:sz="4" w:space="0" w:color="auto"/>
              <w:right w:val="single" w:sz="4" w:space="0" w:color="auto"/>
            </w:tcBorders>
            <w:shd w:val="clear" w:color="auto" w:fill="auto"/>
            <w:noWrap/>
            <w:tcMar>
              <w:left w:w="43" w:type="dxa"/>
              <w:right w:w="43" w:type="dxa"/>
            </w:tcMar>
            <w:vAlign w:val="center"/>
          </w:tcPr>
          <w:p w:rsidR="00C81E06" w:rsidRPr="000D5A5A" w:rsidRDefault="00C81E06" w:rsidP="00C81E06">
            <w:pPr>
              <w:rPr>
                <w:b/>
                <w:bCs/>
                <w:color w:val="auto"/>
                <w:szCs w:val="16"/>
              </w:rPr>
            </w:pPr>
            <w:r>
              <w:rPr>
                <w:b/>
                <w:bCs/>
                <w:color w:val="auto"/>
                <w:szCs w:val="16"/>
              </w:rPr>
              <w:t>2019</w:t>
            </w:r>
          </w:p>
        </w:tc>
        <w:tc>
          <w:tcPr>
            <w:tcW w:w="3191" w:type="dxa"/>
            <w:gridSpan w:val="4"/>
            <w:tcBorders>
              <w:top w:val="single" w:sz="12" w:space="0" w:color="auto"/>
              <w:left w:val="single" w:sz="4" w:space="0" w:color="auto"/>
              <w:bottom w:val="single" w:sz="4" w:space="0" w:color="auto"/>
              <w:right w:val="nil"/>
            </w:tcBorders>
            <w:shd w:val="clear" w:color="auto" w:fill="auto"/>
            <w:vAlign w:val="center"/>
          </w:tcPr>
          <w:p w:rsidR="00C81E06" w:rsidRPr="000D5A5A" w:rsidRDefault="00C81E06" w:rsidP="00C81E06">
            <w:pPr>
              <w:rPr>
                <w:b/>
                <w:bCs/>
                <w:color w:val="auto"/>
                <w:szCs w:val="16"/>
              </w:rPr>
            </w:pPr>
            <w:r>
              <w:rPr>
                <w:b/>
                <w:bCs/>
                <w:color w:val="auto"/>
                <w:szCs w:val="16"/>
              </w:rPr>
              <w:t>2020</w:t>
            </w:r>
          </w:p>
        </w:tc>
      </w:tr>
      <w:tr w:rsidR="00C81E06" w:rsidRPr="009B6E8A" w:rsidTr="002B6352">
        <w:trPr>
          <w:trHeight w:hRule="exact" w:val="212"/>
          <w:jc w:val="center"/>
        </w:trPr>
        <w:tc>
          <w:tcPr>
            <w:tcW w:w="236" w:type="dxa"/>
            <w:tcBorders>
              <w:left w:val="nil"/>
              <w:bottom w:val="single" w:sz="12" w:space="0" w:color="auto"/>
            </w:tcBorders>
            <w:shd w:val="clear" w:color="auto" w:fill="auto"/>
            <w:noWrap/>
            <w:vAlign w:val="center"/>
            <w:hideMark/>
          </w:tcPr>
          <w:p w:rsidR="00C81E06" w:rsidRPr="009B6E8A" w:rsidRDefault="00C81E06" w:rsidP="00C81E06">
            <w:pPr>
              <w:jc w:val="left"/>
              <w:rPr>
                <w:b/>
                <w:bCs/>
                <w:color w:val="auto"/>
                <w:sz w:val="14"/>
                <w:szCs w:val="14"/>
              </w:rPr>
            </w:pPr>
          </w:p>
        </w:tc>
        <w:tc>
          <w:tcPr>
            <w:tcW w:w="3105" w:type="dxa"/>
            <w:tcBorders>
              <w:bottom w:val="single" w:sz="12" w:space="0" w:color="auto"/>
              <w:right w:val="single" w:sz="4" w:space="0" w:color="auto"/>
            </w:tcBorders>
            <w:shd w:val="clear" w:color="auto" w:fill="auto"/>
            <w:vAlign w:val="center"/>
          </w:tcPr>
          <w:p w:rsidR="00C81E06" w:rsidRPr="009B6E8A" w:rsidRDefault="00C81E06" w:rsidP="00C81E06">
            <w:pPr>
              <w:jc w:val="left"/>
              <w:rPr>
                <w:b/>
                <w:bCs/>
                <w:color w:val="auto"/>
                <w:sz w:val="14"/>
                <w:szCs w:val="14"/>
              </w:rPr>
            </w:pPr>
          </w:p>
        </w:tc>
        <w:tc>
          <w:tcPr>
            <w:tcW w:w="847"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81E06" w:rsidRPr="006619BF" w:rsidRDefault="00C81E06" w:rsidP="00C81E06">
            <w:pPr>
              <w:jc w:val="right"/>
              <w:rPr>
                <w:b/>
                <w:bCs/>
                <w:color w:val="auto"/>
                <w:sz w:val="14"/>
                <w:szCs w:val="14"/>
              </w:rPr>
            </w:pPr>
            <w:r w:rsidRPr="006619BF">
              <w:rPr>
                <w:b/>
                <w:bCs/>
                <w:color w:val="auto"/>
                <w:sz w:val="14"/>
                <w:szCs w:val="14"/>
              </w:rPr>
              <w:t>FY17</w:t>
            </w:r>
          </w:p>
        </w:tc>
        <w:tc>
          <w:tcPr>
            <w:tcW w:w="81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r>
              <w:rPr>
                <w:b/>
                <w:bCs/>
                <w:color w:val="auto"/>
                <w:sz w:val="14"/>
                <w:szCs w:val="14"/>
              </w:rPr>
              <w:t>FY18</w:t>
            </w:r>
          </w:p>
        </w:tc>
        <w:tc>
          <w:tcPr>
            <w:tcW w:w="741" w:type="dxa"/>
            <w:tcBorders>
              <w:top w:val="nil"/>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r>
              <w:rPr>
                <w:b/>
                <w:bCs/>
                <w:color w:val="auto"/>
                <w:sz w:val="14"/>
                <w:szCs w:val="14"/>
              </w:rPr>
              <w:t>FY19</w:t>
            </w:r>
          </w:p>
        </w:tc>
        <w:tc>
          <w:tcPr>
            <w:tcW w:w="756" w:type="dxa"/>
            <w:tcBorders>
              <w:top w:val="nil"/>
              <w:left w:val="single" w:sz="4" w:space="0" w:color="auto"/>
              <w:bottom w:val="single" w:sz="12" w:space="0" w:color="auto"/>
            </w:tcBorders>
            <w:shd w:val="clear" w:color="auto" w:fill="auto"/>
            <w:noWrap/>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810" w:type="dxa"/>
            <w:tcBorders>
              <w:top w:val="nil"/>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810" w:type="dxa"/>
            <w:tcBorders>
              <w:top w:val="nil"/>
              <w:left w:val="single" w:sz="4" w:space="0" w:color="auto"/>
              <w:bottom w:val="single" w:sz="12" w:space="0" w:color="auto"/>
            </w:tcBorders>
            <w:shd w:val="clear" w:color="auto" w:fill="auto"/>
            <w:noWrap/>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Mar</w:t>
            </w:r>
          </w:p>
        </w:tc>
        <w:tc>
          <w:tcPr>
            <w:tcW w:w="810" w:type="dxa"/>
            <w:tcBorders>
              <w:top w:val="nil"/>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810" w:type="dxa"/>
            <w:tcBorders>
              <w:top w:val="nil"/>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61" w:type="dxa"/>
            <w:tcBorders>
              <w:top w:val="nil"/>
              <w:bottom w:val="single" w:sz="12" w:space="0" w:color="auto"/>
              <w:right w:val="nil"/>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DF6C02" w:rsidRPr="009B6E8A" w:rsidTr="00DF6C02">
        <w:trPr>
          <w:trHeight w:hRule="exact" w:val="236"/>
          <w:jc w:val="center"/>
        </w:trPr>
        <w:tc>
          <w:tcPr>
            <w:tcW w:w="236" w:type="dxa"/>
            <w:tcBorders>
              <w:top w:val="single" w:sz="12" w:space="0" w:color="auto"/>
              <w:left w:val="nil"/>
            </w:tcBorders>
            <w:shd w:val="clear" w:color="auto" w:fill="auto"/>
            <w:noWrap/>
            <w:vAlign w:val="center"/>
            <w:hideMark/>
          </w:tcPr>
          <w:p w:rsidR="00DF6C02" w:rsidRDefault="00DF6C02" w:rsidP="00C81E06">
            <w:pPr>
              <w:jc w:val="left"/>
              <w:rPr>
                <w:sz w:val="14"/>
                <w:szCs w:val="14"/>
              </w:rPr>
            </w:pPr>
            <w:r>
              <w:rPr>
                <w:sz w:val="14"/>
                <w:szCs w:val="14"/>
              </w:rPr>
              <w:t>1</w:t>
            </w:r>
          </w:p>
        </w:tc>
        <w:tc>
          <w:tcPr>
            <w:tcW w:w="3105" w:type="dxa"/>
            <w:tcBorders>
              <w:top w:val="single" w:sz="12" w:space="0" w:color="auto"/>
              <w:right w:val="nil"/>
            </w:tcBorders>
            <w:shd w:val="clear" w:color="auto" w:fill="auto"/>
            <w:vAlign w:val="center"/>
          </w:tcPr>
          <w:p w:rsidR="00DF6C02" w:rsidRDefault="00DF6C02" w:rsidP="00C81E06">
            <w:pPr>
              <w:jc w:val="left"/>
              <w:rPr>
                <w:sz w:val="14"/>
                <w:szCs w:val="14"/>
              </w:rPr>
            </w:pPr>
            <w:r>
              <w:rPr>
                <w:sz w:val="14"/>
                <w:szCs w:val="14"/>
              </w:rPr>
              <w:t>Five Rupee Bills &amp; Above</w:t>
            </w:r>
          </w:p>
        </w:tc>
        <w:tc>
          <w:tcPr>
            <w:tcW w:w="847" w:type="dxa"/>
            <w:tcBorders>
              <w:top w:val="single" w:sz="12" w:space="0" w:color="auto"/>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4,167,136</w:t>
            </w:r>
          </w:p>
        </w:tc>
        <w:tc>
          <w:tcPr>
            <w:tcW w:w="811" w:type="dxa"/>
            <w:tcBorders>
              <w:top w:val="single" w:sz="12" w:space="0" w:color="auto"/>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4,635,147</w:t>
            </w:r>
          </w:p>
        </w:tc>
        <w:tc>
          <w:tcPr>
            <w:tcW w:w="741" w:type="dxa"/>
            <w:tcBorders>
              <w:top w:val="single" w:sz="12" w:space="0" w:color="auto"/>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5,285,026</w:t>
            </w:r>
          </w:p>
        </w:tc>
        <w:tc>
          <w:tcPr>
            <w:tcW w:w="756" w:type="dxa"/>
            <w:tcBorders>
              <w:top w:val="single" w:sz="12" w:space="0" w:color="auto"/>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5,412,362</w:t>
            </w:r>
          </w:p>
        </w:tc>
        <w:tc>
          <w:tcPr>
            <w:tcW w:w="810" w:type="dxa"/>
            <w:tcBorders>
              <w:top w:val="single" w:sz="12" w:space="0" w:color="auto"/>
              <w:left w:val="nil"/>
              <w:right w:val="nil"/>
            </w:tcBorders>
            <w:shd w:val="clear" w:color="auto" w:fill="auto"/>
            <w:tcMar>
              <w:left w:w="43" w:type="dxa"/>
              <w:right w:w="43" w:type="dxa"/>
            </w:tcMar>
            <w:vAlign w:val="center"/>
          </w:tcPr>
          <w:p w:rsidR="00DF6C02" w:rsidRDefault="00DF6C02" w:rsidP="00DF6C02">
            <w:pPr>
              <w:jc w:val="right"/>
              <w:rPr>
                <w:sz w:val="14"/>
                <w:szCs w:val="14"/>
              </w:rPr>
            </w:pPr>
            <w:r>
              <w:rPr>
                <w:sz w:val="14"/>
                <w:szCs w:val="14"/>
              </w:rPr>
              <w:t>5,285,026</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DF6C02" w:rsidRDefault="00DF6C02" w:rsidP="00C81E06">
            <w:pPr>
              <w:jc w:val="right"/>
              <w:rPr>
                <w:color w:val="auto"/>
                <w:sz w:val="14"/>
                <w:szCs w:val="14"/>
              </w:rPr>
            </w:pPr>
            <w:r>
              <w:rPr>
                <w:sz w:val="14"/>
                <w:szCs w:val="14"/>
              </w:rPr>
              <w:t>6,007,758</w:t>
            </w:r>
          </w:p>
        </w:tc>
        <w:tc>
          <w:tcPr>
            <w:tcW w:w="810" w:type="dxa"/>
            <w:tcBorders>
              <w:top w:val="single" w:sz="12" w:space="0" w:color="auto"/>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6,233,281</w:t>
            </w:r>
          </w:p>
        </w:tc>
        <w:tc>
          <w:tcPr>
            <w:tcW w:w="810" w:type="dxa"/>
            <w:tcBorders>
              <w:top w:val="single" w:sz="12" w:space="0" w:color="auto"/>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6,744,868</w:t>
            </w:r>
          </w:p>
        </w:tc>
        <w:tc>
          <w:tcPr>
            <w:tcW w:w="761" w:type="dxa"/>
            <w:tcBorders>
              <w:top w:val="single" w:sz="12" w:space="0" w:color="auto"/>
              <w:left w:val="nil"/>
              <w:right w:val="nil"/>
            </w:tcBorders>
            <w:shd w:val="clear" w:color="auto" w:fill="auto"/>
            <w:noWrap/>
            <w:tcMar>
              <w:left w:w="43" w:type="dxa"/>
              <w:right w:w="43" w:type="dxa"/>
            </w:tcMar>
            <w:vAlign w:val="center"/>
          </w:tcPr>
          <w:p w:rsidR="00DF6C02" w:rsidRDefault="00DF6C02" w:rsidP="00DF6C02">
            <w:pPr>
              <w:jc w:val="right"/>
              <w:rPr>
                <w:sz w:val="14"/>
                <w:szCs w:val="14"/>
              </w:rPr>
            </w:pPr>
            <w:r>
              <w:rPr>
                <w:sz w:val="14"/>
                <w:szCs w:val="14"/>
              </w:rPr>
              <w:t>6,458,763</w:t>
            </w:r>
          </w:p>
        </w:tc>
      </w:tr>
      <w:tr w:rsidR="00DF6C02" w:rsidRPr="009B6E8A" w:rsidTr="00DF6C02">
        <w:trPr>
          <w:trHeight w:hRule="exact" w:val="236"/>
          <w:jc w:val="center"/>
        </w:trPr>
        <w:tc>
          <w:tcPr>
            <w:tcW w:w="236" w:type="dxa"/>
            <w:tcBorders>
              <w:top w:val="nil"/>
              <w:left w:val="nil"/>
            </w:tcBorders>
            <w:shd w:val="clear" w:color="auto" w:fill="auto"/>
            <w:noWrap/>
            <w:vAlign w:val="center"/>
            <w:hideMark/>
          </w:tcPr>
          <w:p w:rsidR="00DF6C02" w:rsidRDefault="00DF6C02" w:rsidP="00C81E06">
            <w:pPr>
              <w:jc w:val="left"/>
              <w:rPr>
                <w:sz w:val="14"/>
                <w:szCs w:val="14"/>
              </w:rPr>
            </w:pPr>
            <w:r>
              <w:rPr>
                <w:sz w:val="14"/>
                <w:szCs w:val="14"/>
              </w:rPr>
              <w:t>2</w:t>
            </w:r>
          </w:p>
        </w:tc>
        <w:tc>
          <w:tcPr>
            <w:tcW w:w="3105" w:type="dxa"/>
            <w:tcBorders>
              <w:top w:val="nil"/>
              <w:right w:val="nil"/>
            </w:tcBorders>
            <w:shd w:val="clear" w:color="auto" w:fill="auto"/>
            <w:vAlign w:val="center"/>
          </w:tcPr>
          <w:p w:rsidR="00DF6C02" w:rsidRDefault="00DF6C02" w:rsidP="00C81E06">
            <w:pPr>
              <w:jc w:val="left"/>
              <w:rPr>
                <w:sz w:val="14"/>
                <w:szCs w:val="14"/>
              </w:rPr>
            </w:pPr>
            <w:r>
              <w:rPr>
                <w:sz w:val="14"/>
                <w:szCs w:val="14"/>
              </w:rPr>
              <w:t>One Rupee Coins and above</w:t>
            </w:r>
          </w:p>
        </w:tc>
        <w:tc>
          <w:tcPr>
            <w:tcW w:w="847"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9,779</w:t>
            </w:r>
          </w:p>
        </w:tc>
        <w:tc>
          <w:tcPr>
            <w:tcW w:w="811"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9,754</w:t>
            </w:r>
          </w:p>
        </w:tc>
        <w:tc>
          <w:tcPr>
            <w:tcW w:w="741"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9,728</w:t>
            </w:r>
          </w:p>
        </w:tc>
        <w:tc>
          <w:tcPr>
            <w:tcW w:w="756"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9,676</w:t>
            </w:r>
          </w:p>
        </w:tc>
        <w:tc>
          <w:tcPr>
            <w:tcW w:w="810" w:type="dxa"/>
            <w:tcBorders>
              <w:top w:val="nil"/>
              <w:left w:val="nil"/>
              <w:right w:val="nil"/>
            </w:tcBorders>
            <w:shd w:val="clear" w:color="auto" w:fill="auto"/>
            <w:tcMar>
              <w:left w:w="43" w:type="dxa"/>
              <w:right w:w="43" w:type="dxa"/>
            </w:tcMar>
            <w:vAlign w:val="center"/>
          </w:tcPr>
          <w:p w:rsidR="00DF6C02" w:rsidRDefault="00DF6C02" w:rsidP="00DF6C02">
            <w:pPr>
              <w:jc w:val="right"/>
              <w:rPr>
                <w:sz w:val="14"/>
                <w:szCs w:val="14"/>
              </w:rPr>
            </w:pPr>
            <w:r>
              <w:rPr>
                <w:sz w:val="14"/>
                <w:szCs w:val="14"/>
              </w:rPr>
              <w:t>9,728</w:t>
            </w:r>
          </w:p>
        </w:tc>
        <w:tc>
          <w:tcPr>
            <w:tcW w:w="810"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10,056</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9,937</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9,935</w:t>
            </w:r>
          </w:p>
        </w:tc>
        <w:tc>
          <w:tcPr>
            <w:tcW w:w="761" w:type="dxa"/>
            <w:tcBorders>
              <w:top w:val="nil"/>
              <w:left w:val="nil"/>
              <w:right w:val="nil"/>
            </w:tcBorders>
            <w:shd w:val="clear" w:color="auto" w:fill="auto"/>
            <w:noWrap/>
            <w:tcMar>
              <w:left w:w="43" w:type="dxa"/>
              <w:right w:w="43" w:type="dxa"/>
            </w:tcMar>
            <w:vAlign w:val="center"/>
          </w:tcPr>
          <w:p w:rsidR="00DF6C02" w:rsidRDefault="00DF6C02" w:rsidP="00DF6C02">
            <w:pPr>
              <w:jc w:val="right"/>
              <w:rPr>
                <w:sz w:val="14"/>
                <w:szCs w:val="14"/>
              </w:rPr>
            </w:pPr>
            <w:r>
              <w:rPr>
                <w:sz w:val="14"/>
                <w:szCs w:val="14"/>
              </w:rPr>
              <w:t>9,962</w:t>
            </w:r>
          </w:p>
        </w:tc>
      </w:tr>
      <w:tr w:rsidR="00DF6C02" w:rsidRPr="009B6E8A" w:rsidTr="00DF6C02">
        <w:trPr>
          <w:trHeight w:hRule="exact" w:val="236"/>
          <w:jc w:val="center"/>
        </w:trPr>
        <w:tc>
          <w:tcPr>
            <w:tcW w:w="236" w:type="dxa"/>
            <w:tcBorders>
              <w:top w:val="nil"/>
              <w:left w:val="nil"/>
            </w:tcBorders>
            <w:shd w:val="clear" w:color="auto" w:fill="auto"/>
            <w:noWrap/>
            <w:vAlign w:val="center"/>
            <w:hideMark/>
          </w:tcPr>
          <w:p w:rsidR="00DF6C02" w:rsidRDefault="00DF6C02" w:rsidP="00C81E06">
            <w:pPr>
              <w:jc w:val="left"/>
              <w:rPr>
                <w:b/>
                <w:bCs/>
                <w:sz w:val="14"/>
                <w:szCs w:val="14"/>
              </w:rPr>
            </w:pPr>
            <w:r>
              <w:rPr>
                <w:b/>
                <w:bCs/>
                <w:sz w:val="14"/>
                <w:szCs w:val="14"/>
              </w:rPr>
              <w:t>3</w:t>
            </w:r>
          </w:p>
        </w:tc>
        <w:tc>
          <w:tcPr>
            <w:tcW w:w="3105" w:type="dxa"/>
            <w:tcBorders>
              <w:top w:val="nil"/>
              <w:right w:val="nil"/>
            </w:tcBorders>
            <w:shd w:val="clear" w:color="auto" w:fill="auto"/>
            <w:vAlign w:val="center"/>
          </w:tcPr>
          <w:p w:rsidR="00DF6C02" w:rsidRDefault="00DF6C02" w:rsidP="00C81E06">
            <w:pPr>
              <w:jc w:val="left"/>
              <w:rPr>
                <w:b/>
                <w:bCs/>
                <w:sz w:val="14"/>
                <w:szCs w:val="14"/>
              </w:rPr>
            </w:pPr>
            <w:r>
              <w:rPr>
                <w:b/>
                <w:bCs/>
                <w:sz w:val="14"/>
                <w:szCs w:val="14"/>
              </w:rPr>
              <w:t>Total ( 1+2 )</w:t>
            </w:r>
          </w:p>
        </w:tc>
        <w:tc>
          <w:tcPr>
            <w:tcW w:w="847"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b/>
                <w:bCs/>
                <w:sz w:val="14"/>
                <w:szCs w:val="14"/>
              </w:rPr>
            </w:pPr>
            <w:r>
              <w:rPr>
                <w:b/>
                <w:bCs/>
                <w:sz w:val="14"/>
                <w:szCs w:val="14"/>
              </w:rPr>
              <w:t>4,176,915</w:t>
            </w:r>
          </w:p>
        </w:tc>
        <w:tc>
          <w:tcPr>
            <w:tcW w:w="811" w:type="dxa"/>
            <w:tcBorders>
              <w:top w:val="nil"/>
              <w:left w:val="nil"/>
              <w:right w:val="nil"/>
            </w:tcBorders>
            <w:shd w:val="clear" w:color="auto" w:fill="auto"/>
            <w:noWrap/>
            <w:tcMar>
              <w:left w:w="43" w:type="dxa"/>
              <w:right w:w="43" w:type="dxa"/>
            </w:tcMar>
            <w:vAlign w:val="center"/>
          </w:tcPr>
          <w:p w:rsidR="00DF6C02" w:rsidRDefault="00DF6C02" w:rsidP="00C81E06">
            <w:pPr>
              <w:jc w:val="right"/>
              <w:rPr>
                <w:b/>
                <w:bCs/>
                <w:sz w:val="14"/>
                <w:szCs w:val="14"/>
              </w:rPr>
            </w:pPr>
            <w:r>
              <w:rPr>
                <w:b/>
                <w:bCs/>
                <w:sz w:val="14"/>
                <w:szCs w:val="14"/>
              </w:rPr>
              <w:t>4,644,900</w:t>
            </w:r>
          </w:p>
        </w:tc>
        <w:tc>
          <w:tcPr>
            <w:tcW w:w="741" w:type="dxa"/>
            <w:tcBorders>
              <w:top w:val="nil"/>
              <w:left w:val="nil"/>
              <w:right w:val="nil"/>
            </w:tcBorders>
            <w:shd w:val="clear" w:color="auto" w:fill="auto"/>
            <w:noWrap/>
            <w:tcMar>
              <w:left w:w="43" w:type="dxa"/>
              <w:right w:w="43" w:type="dxa"/>
            </w:tcMar>
            <w:vAlign w:val="center"/>
          </w:tcPr>
          <w:p w:rsidR="00DF6C02" w:rsidRDefault="00DF6C02" w:rsidP="00C81E06">
            <w:pPr>
              <w:jc w:val="right"/>
              <w:rPr>
                <w:b/>
                <w:bCs/>
                <w:sz w:val="14"/>
                <w:szCs w:val="14"/>
              </w:rPr>
            </w:pPr>
            <w:r>
              <w:rPr>
                <w:b/>
                <w:bCs/>
                <w:sz w:val="14"/>
                <w:szCs w:val="14"/>
              </w:rPr>
              <w:t>5,294,754</w:t>
            </w:r>
          </w:p>
        </w:tc>
        <w:tc>
          <w:tcPr>
            <w:tcW w:w="756"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b/>
                <w:bCs/>
                <w:sz w:val="14"/>
                <w:szCs w:val="14"/>
              </w:rPr>
            </w:pPr>
            <w:r>
              <w:rPr>
                <w:b/>
                <w:bCs/>
                <w:sz w:val="14"/>
                <w:szCs w:val="14"/>
              </w:rPr>
              <w:t>5,422,038</w:t>
            </w:r>
          </w:p>
        </w:tc>
        <w:tc>
          <w:tcPr>
            <w:tcW w:w="810" w:type="dxa"/>
            <w:tcBorders>
              <w:top w:val="nil"/>
              <w:left w:val="nil"/>
              <w:right w:val="nil"/>
            </w:tcBorders>
            <w:shd w:val="clear" w:color="auto" w:fill="auto"/>
            <w:tcMar>
              <w:left w:w="43" w:type="dxa"/>
              <w:right w:w="43" w:type="dxa"/>
            </w:tcMar>
            <w:vAlign w:val="center"/>
          </w:tcPr>
          <w:p w:rsidR="00DF6C02" w:rsidRDefault="00DF6C02" w:rsidP="00DF6C02">
            <w:pPr>
              <w:jc w:val="right"/>
              <w:rPr>
                <w:b/>
                <w:bCs/>
                <w:sz w:val="14"/>
                <w:szCs w:val="14"/>
              </w:rPr>
            </w:pPr>
            <w:r>
              <w:rPr>
                <w:b/>
                <w:bCs/>
                <w:sz w:val="14"/>
                <w:szCs w:val="14"/>
              </w:rPr>
              <w:t>5,294,754</w:t>
            </w:r>
          </w:p>
        </w:tc>
        <w:tc>
          <w:tcPr>
            <w:tcW w:w="810"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b/>
                <w:bCs/>
                <w:sz w:val="14"/>
                <w:szCs w:val="14"/>
              </w:rPr>
            </w:pPr>
            <w:r>
              <w:rPr>
                <w:b/>
                <w:bCs/>
                <w:sz w:val="14"/>
                <w:szCs w:val="14"/>
              </w:rPr>
              <w:t>6,017,814</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b/>
                <w:bCs/>
                <w:sz w:val="14"/>
                <w:szCs w:val="14"/>
              </w:rPr>
            </w:pPr>
            <w:r>
              <w:rPr>
                <w:b/>
                <w:bCs/>
                <w:sz w:val="14"/>
                <w:szCs w:val="14"/>
              </w:rPr>
              <w:t>6,243,218</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b/>
                <w:bCs/>
                <w:sz w:val="14"/>
                <w:szCs w:val="14"/>
              </w:rPr>
            </w:pPr>
            <w:r>
              <w:rPr>
                <w:b/>
                <w:bCs/>
                <w:sz w:val="14"/>
                <w:szCs w:val="14"/>
              </w:rPr>
              <w:t>6,754,803</w:t>
            </w:r>
          </w:p>
        </w:tc>
        <w:tc>
          <w:tcPr>
            <w:tcW w:w="761" w:type="dxa"/>
            <w:tcBorders>
              <w:top w:val="nil"/>
              <w:left w:val="nil"/>
              <w:right w:val="nil"/>
            </w:tcBorders>
            <w:shd w:val="clear" w:color="auto" w:fill="auto"/>
            <w:noWrap/>
            <w:tcMar>
              <w:left w:w="43" w:type="dxa"/>
              <w:right w:w="43" w:type="dxa"/>
            </w:tcMar>
            <w:vAlign w:val="center"/>
          </w:tcPr>
          <w:p w:rsidR="00DF6C02" w:rsidRDefault="00DF6C02" w:rsidP="00DF6C02">
            <w:pPr>
              <w:jc w:val="right"/>
              <w:rPr>
                <w:b/>
                <w:bCs/>
                <w:sz w:val="14"/>
                <w:szCs w:val="14"/>
              </w:rPr>
            </w:pPr>
            <w:r>
              <w:rPr>
                <w:b/>
                <w:bCs/>
                <w:sz w:val="14"/>
                <w:szCs w:val="14"/>
              </w:rPr>
              <w:t>6,468,725</w:t>
            </w:r>
          </w:p>
        </w:tc>
      </w:tr>
      <w:tr w:rsidR="00DF6C02" w:rsidRPr="009B6E8A" w:rsidTr="00DF6C02">
        <w:trPr>
          <w:trHeight w:hRule="exact" w:val="236"/>
          <w:jc w:val="center"/>
        </w:trPr>
        <w:tc>
          <w:tcPr>
            <w:tcW w:w="236" w:type="dxa"/>
            <w:tcBorders>
              <w:top w:val="nil"/>
              <w:left w:val="nil"/>
            </w:tcBorders>
            <w:shd w:val="clear" w:color="auto" w:fill="auto"/>
            <w:noWrap/>
            <w:vAlign w:val="center"/>
            <w:hideMark/>
          </w:tcPr>
          <w:p w:rsidR="00DF6C02" w:rsidRDefault="00DF6C02" w:rsidP="00C81E06">
            <w:pPr>
              <w:jc w:val="left"/>
              <w:rPr>
                <w:sz w:val="14"/>
                <w:szCs w:val="14"/>
              </w:rPr>
            </w:pPr>
            <w:r>
              <w:rPr>
                <w:sz w:val="14"/>
                <w:szCs w:val="14"/>
              </w:rPr>
              <w:t>4</w:t>
            </w:r>
          </w:p>
        </w:tc>
        <w:tc>
          <w:tcPr>
            <w:tcW w:w="3105" w:type="dxa"/>
            <w:tcBorders>
              <w:top w:val="nil"/>
              <w:right w:val="nil"/>
            </w:tcBorders>
            <w:shd w:val="clear" w:color="auto" w:fill="auto"/>
            <w:vAlign w:val="center"/>
          </w:tcPr>
          <w:p w:rsidR="00DF6C02" w:rsidRDefault="00DF6C02" w:rsidP="00C81E06">
            <w:pPr>
              <w:jc w:val="left"/>
              <w:rPr>
                <w:sz w:val="14"/>
                <w:szCs w:val="14"/>
              </w:rPr>
            </w:pPr>
            <w:r>
              <w:rPr>
                <w:sz w:val="14"/>
                <w:szCs w:val="14"/>
              </w:rPr>
              <w:t>Held by Banking Department of SBP</w:t>
            </w:r>
          </w:p>
        </w:tc>
        <w:tc>
          <w:tcPr>
            <w:tcW w:w="847"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111</w:t>
            </w:r>
          </w:p>
        </w:tc>
        <w:tc>
          <w:tcPr>
            <w:tcW w:w="811"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192</w:t>
            </w:r>
          </w:p>
        </w:tc>
        <w:tc>
          <w:tcPr>
            <w:tcW w:w="741"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160</w:t>
            </w:r>
          </w:p>
        </w:tc>
        <w:tc>
          <w:tcPr>
            <w:tcW w:w="756"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107</w:t>
            </w:r>
          </w:p>
        </w:tc>
        <w:tc>
          <w:tcPr>
            <w:tcW w:w="810" w:type="dxa"/>
            <w:tcBorders>
              <w:top w:val="nil"/>
              <w:left w:val="nil"/>
              <w:right w:val="nil"/>
            </w:tcBorders>
            <w:shd w:val="clear" w:color="auto" w:fill="auto"/>
            <w:tcMar>
              <w:left w:w="43" w:type="dxa"/>
              <w:right w:w="43" w:type="dxa"/>
            </w:tcMar>
            <w:vAlign w:val="center"/>
          </w:tcPr>
          <w:p w:rsidR="00DF6C02" w:rsidRDefault="00DF6C02" w:rsidP="00DF6C02">
            <w:pPr>
              <w:jc w:val="right"/>
              <w:rPr>
                <w:sz w:val="14"/>
                <w:szCs w:val="14"/>
              </w:rPr>
            </w:pPr>
            <w:r>
              <w:rPr>
                <w:sz w:val="14"/>
                <w:szCs w:val="14"/>
              </w:rPr>
              <w:t>160</w:t>
            </w:r>
          </w:p>
        </w:tc>
        <w:tc>
          <w:tcPr>
            <w:tcW w:w="810"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267</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148</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146</w:t>
            </w:r>
          </w:p>
        </w:tc>
        <w:tc>
          <w:tcPr>
            <w:tcW w:w="761" w:type="dxa"/>
            <w:tcBorders>
              <w:top w:val="nil"/>
              <w:left w:val="nil"/>
              <w:right w:val="nil"/>
            </w:tcBorders>
            <w:shd w:val="clear" w:color="auto" w:fill="auto"/>
            <w:noWrap/>
            <w:tcMar>
              <w:left w:w="43" w:type="dxa"/>
              <w:right w:w="43" w:type="dxa"/>
            </w:tcMar>
            <w:vAlign w:val="center"/>
          </w:tcPr>
          <w:p w:rsidR="00DF6C02" w:rsidRDefault="00DF6C02" w:rsidP="00DF6C02">
            <w:pPr>
              <w:jc w:val="right"/>
              <w:rPr>
                <w:sz w:val="14"/>
                <w:szCs w:val="14"/>
              </w:rPr>
            </w:pPr>
            <w:r>
              <w:rPr>
                <w:sz w:val="14"/>
                <w:szCs w:val="14"/>
              </w:rPr>
              <w:t>173</w:t>
            </w:r>
          </w:p>
        </w:tc>
      </w:tr>
      <w:tr w:rsidR="00DF6C02" w:rsidRPr="009B6E8A" w:rsidTr="00DF6C02">
        <w:trPr>
          <w:trHeight w:hRule="exact" w:val="236"/>
          <w:jc w:val="center"/>
        </w:trPr>
        <w:tc>
          <w:tcPr>
            <w:tcW w:w="236" w:type="dxa"/>
            <w:tcBorders>
              <w:top w:val="nil"/>
              <w:left w:val="nil"/>
            </w:tcBorders>
            <w:shd w:val="clear" w:color="auto" w:fill="auto"/>
            <w:noWrap/>
            <w:vAlign w:val="center"/>
            <w:hideMark/>
          </w:tcPr>
          <w:p w:rsidR="00DF6C02" w:rsidRDefault="00DF6C02" w:rsidP="00C81E06">
            <w:pPr>
              <w:jc w:val="left"/>
              <w:rPr>
                <w:sz w:val="14"/>
                <w:szCs w:val="14"/>
              </w:rPr>
            </w:pPr>
            <w:r>
              <w:rPr>
                <w:sz w:val="14"/>
                <w:szCs w:val="14"/>
              </w:rPr>
              <w:t>5</w:t>
            </w:r>
          </w:p>
        </w:tc>
        <w:tc>
          <w:tcPr>
            <w:tcW w:w="3105" w:type="dxa"/>
            <w:tcBorders>
              <w:top w:val="nil"/>
              <w:right w:val="nil"/>
            </w:tcBorders>
            <w:shd w:val="clear" w:color="auto" w:fill="auto"/>
            <w:vAlign w:val="center"/>
          </w:tcPr>
          <w:p w:rsidR="00DF6C02" w:rsidRDefault="00DF6C02" w:rsidP="00C81E06">
            <w:pPr>
              <w:jc w:val="left"/>
              <w:rPr>
                <w:sz w:val="14"/>
                <w:szCs w:val="14"/>
              </w:rPr>
            </w:pPr>
            <w:r>
              <w:rPr>
                <w:sz w:val="14"/>
                <w:szCs w:val="14"/>
              </w:rPr>
              <w:t>Held by Issue Department of SBP</w:t>
            </w:r>
          </w:p>
        </w:tc>
        <w:tc>
          <w:tcPr>
            <w:tcW w:w="847"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862</w:t>
            </w:r>
          </w:p>
        </w:tc>
        <w:tc>
          <w:tcPr>
            <w:tcW w:w="811"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989</w:t>
            </w:r>
          </w:p>
        </w:tc>
        <w:tc>
          <w:tcPr>
            <w:tcW w:w="741"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1,039</w:t>
            </w:r>
          </w:p>
        </w:tc>
        <w:tc>
          <w:tcPr>
            <w:tcW w:w="756"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871</w:t>
            </w:r>
          </w:p>
        </w:tc>
        <w:tc>
          <w:tcPr>
            <w:tcW w:w="810" w:type="dxa"/>
            <w:tcBorders>
              <w:top w:val="nil"/>
              <w:left w:val="nil"/>
              <w:right w:val="nil"/>
            </w:tcBorders>
            <w:shd w:val="clear" w:color="auto" w:fill="auto"/>
            <w:tcMar>
              <w:left w:w="43" w:type="dxa"/>
              <w:right w:w="43" w:type="dxa"/>
            </w:tcMar>
            <w:vAlign w:val="center"/>
          </w:tcPr>
          <w:p w:rsidR="00DF6C02" w:rsidRDefault="00DF6C02" w:rsidP="00DF6C02">
            <w:pPr>
              <w:jc w:val="right"/>
              <w:rPr>
                <w:sz w:val="14"/>
                <w:szCs w:val="14"/>
              </w:rPr>
            </w:pPr>
            <w:r>
              <w:rPr>
                <w:sz w:val="14"/>
                <w:szCs w:val="14"/>
              </w:rPr>
              <w:t>1,039</w:t>
            </w:r>
          </w:p>
        </w:tc>
        <w:tc>
          <w:tcPr>
            <w:tcW w:w="810"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472</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469</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454</w:t>
            </w:r>
          </w:p>
        </w:tc>
        <w:tc>
          <w:tcPr>
            <w:tcW w:w="761" w:type="dxa"/>
            <w:tcBorders>
              <w:top w:val="nil"/>
              <w:left w:val="nil"/>
              <w:right w:val="nil"/>
            </w:tcBorders>
            <w:shd w:val="clear" w:color="auto" w:fill="auto"/>
            <w:noWrap/>
            <w:tcMar>
              <w:left w:w="43" w:type="dxa"/>
              <w:right w:w="43" w:type="dxa"/>
            </w:tcMar>
            <w:vAlign w:val="center"/>
          </w:tcPr>
          <w:p w:rsidR="00DF6C02" w:rsidRDefault="00DF6C02" w:rsidP="00DF6C02">
            <w:pPr>
              <w:jc w:val="right"/>
              <w:rPr>
                <w:sz w:val="14"/>
                <w:szCs w:val="14"/>
              </w:rPr>
            </w:pPr>
            <w:r>
              <w:rPr>
                <w:sz w:val="14"/>
                <w:szCs w:val="14"/>
              </w:rPr>
              <w:t>1,029</w:t>
            </w:r>
          </w:p>
        </w:tc>
      </w:tr>
      <w:tr w:rsidR="00DF6C02" w:rsidRPr="009B6E8A" w:rsidTr="00DF6C02">
        <w:trPr>
          <w:trHeight w:hRule="exact" w:val="236"/>
          <w:jc w:val="center"/>
        </w:trPr>
        <w:tc>
          <w:tcPr>
            <w:tcW w:w="236" w:type="dxa"/>
            <w:tcBorders>
              <w:top w:val="nil"/>
              <w:left w:val="nil"/>
            </w:tcBorders>
            <w:shd w:val="clear" w:color="auto" w:fill="auto"/>
            <w:noWrap/>
            <w:vAlign w:val="center"/>
            <w:hideMark/>
          </w:tcPr>
          <w:p w:rsidR="00DF6C02" w:rsidRPr="00C12EB9" w:rsidRDefault="00DF6C02" w:rsidP="00C81E06">
            <w:pPr>
              <w:jc w:val="left"/>
              <w:rPr>
                <w:sz w:val="14"/>
                <w:szCs w:val="14"/>
              </w:rPr>
            </w:pPr>
            <w:r w:rsidRPr="00C12EB9">
              <w:rPr>
                <w:sz w:val="14"/>
                <w:szCs w:val="14"/>
              </w:rPr>
              <w:t>6</w:t>
            </w:r>
          </w:p>
        </w:tc>
        <w:tc>
          <w:tcPr>
            <w:tcW w:w="3105" w:type="dxa"/>
            <w:tcBorders>
              <w:top w:val="nil"/>
              <w:right w:val="nil"/>
            </w:tcBorders>
            <w:shd w:val="clear" w:color="auto" w:fill="auto"/>
            <w:vAlign w:val="center"/>
          </w:tcPr>
          <w:p w:rsidR="00DF6C02" w:rsidRDefault="00DF6C02" w:rsidP="00C81E06">
            <w:pPr>
              <w:jc w:val="left"/>
              <w:rPr>
                <w:sz w:val="14"/>
                <w:szCs w:val="14"/>
              </w:rPr>
            </w:pPr>
            <w:r>
              <w:rPr>
                <w:sz w:val="14"/>
                <w:szCs w:val="14"/>
              </w:rPr>
              <w:t>Currency in  tills  of Scheduled Banks</w:t>
            </w:r>
          </w:p>
        </w:tc>
        <w:tc>
          <w:tcPr>
            <w:tcW w:w="847"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264,627</w:t>
            </w:r>
          </w:p>
        </w:tc>
        <w:tc>
          <w:tcPr>
            <w:tcW w:w="811"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255,891</w:t>
            </w:r>
          </w:p>
        </w:tc>
        <w:tc>
          <w:tcPr>
            <w:tcW w:w="741"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343,516</w:t>
            </w:r>
          </w:p>
        </w:tc>
        <w:tc>
          <w:tcPr>
            <w:tcW w:w="756"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389,234</w:t>
            </w:r>
          </w:p>
        </w:tc>
        <w:tc>
          <w:tcPr>
            <w:tcW w:w="810" w:type="dxa"/>
            <w:tcBorders>
              <w:top w:val="nil"/>
              <w:left w:val="nil"/>
              <w:right w:val="nil"/>
            </w:tcBorders>
            <w:shd w:val="clear" w:color="auto" w:fill="auto"/>
            <w:tcMar>
              <w:left w:w="43" w:type="dxa"/>
              <w:right w:w="43" w:type="dxa"/>
            </w:tcMar>
            <w:vAlign w:val="center"/>
          </w:tcPr>
          <w:p w:rsidR="00DF6C02" w:rsidRDefault="00DF6C02" w:rsidP="00DF6C02">
            <w:pPr>
              <w:jc w:val="right"/>
              <w:rPr>
                <w:sz w:val="14"/>
                <w:szCs w:val="14"/>
              </w:rPr>
            </w:pPr>
            <w:r>
              <w:rPr>
                <w:sz w:val="14"/>
                <w:szCs w:val="14"/>
              </w:rPr>
              <w:t>343,516</w:t>
            </w:r>
          </w:p>
        </w:tc>
        <w:tc>
          <w:tcPr>
            <w:tcW w:w="810" w:type="dxa"/>
            <w:tcBorders>
              <w:top w:val="nil"/>
              <w:left w:val="nil"/>
              <w:right w:val="nil"/>
            </w:tcBorders>
            <w:shd w:val="clear" w:color="auto" w:fill="auto"/>
            <w:noWrap/>
            <w:tcMar>
              <w:left w:w="43" w:type="dxa"/>
              <w:right w:w="43" w:type="dxa"/>
            </w:tcMar>
            <w:vAlign w:val="center"/>
            <w:hideMark/>
          </w:tcPr>
          <w:p w:rsidR="00DF6C02" w:rsidRDefault="00DF6C02" w:rsidP="00C81E06">
            <w:pPr>
              <w:jc w:val="right"/>
              <w:rPr>
                <w:sz w:val="14"/>
                <w:szCs w:val="14"/>
              </w:rPr>
            </w:pPr>
            <w:r>
              <w:rPr>
                <w:sz w:val="14"/>
                <w:szCs w:val="14"/>
              </w:rPr>
              <w:t>344,451</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312,243</w:t>
            </w:r>
          </w:p>
        </w:tc>
        <w:tc>
          <w:tcPr>
            <w:tcW w:w="810" w:type="dxa"/>
            <w:tcBorders>
              <w:top w:val="nil"/>
              <w:left w:val="nil"/>
              <w:right w:val="nil"/>
            </w:tcBorders>
            <w:shd w:val="clear" w:color="auto" w:fill="auto"/>
            <w:noWrap/>
            <w:tcMar>
              <w:left w:w="43" w:type="dxa"/>
              <w:right w:w="43" w:type="dxa"/>
            </w:tcMar>
            <w:vAlign w:val="center"/>
          </w:tcPr>
          <w:p w:rsidR="00DF6C02" w:rsidRDefault="00DF6C02" w:rsidP="00C81E06">
            <w:pPr>
              <w:jc w:val="right"/>
              <w:rPr>
                <w:sz w:val="14"/>
                <w:szCs w:val="14"/>
              </w:rPr>
            </w:pPr>
            <w:r>
              <w:rPr>
                <w:sz w:val="14"/>
                <w:szCs w:val="14"/>
              </w:rPr>
              <w:t>382,341</w:t>
            </w:r>
          </w:p>
        </w:tc>
        <w:tc>
          <w:tcPr>
            <w:tcW w:w="761" w:type="dxa"/>
            <w:tcBorders>
              <w:top w:val="nil"/>
              <w:left w:val="nil"/>
              <w:right w:val="nil"/>
            </w:tcBorders>
            <w:shd w:val="clear" w:color="auto" w:fill="auto"/>
            <w:noWrap/>
            <w:tcMar>
              <w:left w:w="43" w:type="dxa"/>
              <w:right w:w="43" w:type="dxa"/>
            </w:tcMar>
            <w:vAlign w:val="center"/>
          </w:tcPr>
          <w:p w:rsidR="00DF6C02" w:rsidRDefault="00DF6C02" w:rsidP="00DF6C02">
            <w:pPr>
              <w:jc w:val="right"/>
              <w:rPr>
                <w:sz w:val="14"/>
                <w:szCs w:val="14"/>
              </w:rPr>
            </w:pPr>
            <w:r>
              <w:rPr>
                <w:sz w:val="14"/>
                <w:szCs w:val="14"/>
              </w:rPr>
              <w:t>325,508</w:t>
            </w:r>
          </w:p>
        </w:tc>
      </w:tr>
      <w:tr w:rsidR="00DF6C02" w:rsidRPr="009B6E8A" w:rsidTr="00DF6C02">
        <w:trPr>
          <w:trHeight w:hRule="exact" w:val="236"/>
          <w:jc w:val="center"/>
        </w:trPr>
        <w:tc>
          <w:tcPr>
            <w:tcW w:w="236" w:type="dxa"/>
            <w:tcBorders>
              <w:top w:val="nil"/>
              <w:left w:val="nil"/>
              <w:bottom w:val="single" w:sz="12" w:space="0" w:color="auto"/>
            </w:tcBorders>
            <w:shd w:val="clear" w:color="auto" w:fill="auto"/>
            <w:noWrap/>
            <w:vAlign w:val="center"/>
            <w:hideMark/>
          </w:tcPr>
          <w:p w:rsidR="00DF6C02" w:rsidRDefault="00DF6C02" w:rsidP="00C81E06">
            <w:pPr>
              <w:jc w:val="left"/>
              <w:rPr>
                <w:b/>
                <w:bCs/>
                <w:sz w:val="14"/>
                <w:szCs w:val="14"/>
              </w:rPr>
            </w:pPr>
            <w:r>
              <w:rPr>
                <w:b/>
                <w:bCs/>
                <w:sz w:val="14"/>
                <w:szCs w:val="14"/>
              </w:rPr>
              <w:t>7</w:t>
            </w:r>
          </w:p>
        </w:tc>
        <w:tc>
          <w:tcPr>
            <w:tcW w:w="3105" w:type="dxa"/>
            <w:tcBorders>
              <w:top w:val="nil"/>
              <w:bottom w:val="single" w:sz="12" w:space="0" w:color="auto"/>
              <w:right w:val="nil"/>
            </w:tcBorders>
            <w:shd w:val="clear" w:color="auto" w:fill="auto"/>
            <w:vAlign w:val="center"/>
          </w:tcPr>
          <w:p w:rsidR="00DF6C02" w:rsidRDefault="00DF6C02" w:rsidP="00C81E06">
            <w:pPr>
              <w:jc w:val="left"/>
              <w:rPr>
                <w:b/>
                <w:bCs/>
                <w:sz w:val="14"/>
                <w:szCs w:val="14"/>
              </w:rPr>
            </w:pPr>
            <w:r>
              <w:rPr>
                <w:b/>
                <w:bCs/>
                <w:sz w:val="14"/>
                <w:szCs w:val="14"/>
              </w:rPr>
              <w:t>Currency in Circulation  (3-4-5-6)</w:t>
            </w:r>
          </w:p>
        </w:tc>
        <w:tc>
          <w:tcPr>
            <w:tcW w:w="847" w:type="dxa"/>
            <w:tcBorders>
              <w:top w:val="nil"/>
              <w:left w:val="nil"/>
              <w:bottom w:val="single" w:sz="12" w:space="0" w:color="auto"/>
              <w:right w:val="nil"/>
            </w:tcBorders>
            <w:shd w:val="clear" w:color="auto" w:fill="auto"/>
            <w:noWrap/>
            <w:tcMar>
              <w:left w:w="43" w:type="dxa"/>
              <w:right w:w="43" w:type="dxa"/>
            </w:tcMar>
            <w:vAlign w:val="center"/>
            <w:hideMark/>
          </w:tcPr>
          <w:p w:rsidR="00DF6C02" w:rsidRDefault="00DF6C02" w:rsidP="00C81E06">
            <w:pPr>
              <w:jc w:val="right"/>
              <w:rPr>
                <w:b/>
                <w:bCs/>
                <w:sz w:val="14"/>
                <w:szCs w:val="14"/>
              </w:rPr>
            </w:pPr>
            <w:r>
              <w:rPr>
                <w:b/>
                <w:bCs/>
                <w:sz w:val="14"/>
                <w:szCs w:val="14"/>
              </w:rPr>
              <w:t>3,911,315</w:t>
            </w:r>
          </w:p>
        </w:tc>
        <w:tc>
          <w:tcPr>
            <w:tcW w:w="811" w:type="dxa"/>
            <w:tcBorders>
              <w:top w:val="nil"/>
              <w:left w:val="nil"/>
              <w:bottom w:val="single" w:sz="12" w:space="0" w:color="auto"/>
              <w:right w:val="nil"/>
            </w:tcBorders>
            <w:shd w:val="clear" w:color="auto" w:fill="auto"/>
            <w:noWrap/>
            <w:tcMar>
              <w:left w:w="43" w:type="dxa"/>
              <w:right w:w="43" w:type="dxa"/>
            </w:tcMar>
            <w:vAlign w:val="center"/>
          </w:tcPr>
          <w:p w:rsidR="00DF6C02" w:rsidRDefault="00DF6C02" w:rsidP="00C81E06">
            <w:pPr>
              <w:jc w:val="right"/>
              <w:rPr>
                <w:b/>
                <w:bCs/>
                <w:sz w:val="14"/>
                <w:szCs w:val="14"/>
              </w:rPr>
            </w:pPr>
            <w:r>
              <w:rPr>
                <w:b/>
                <w:bCs/>
                <w:sz w:val="14"/>
                <w:szCs w:val="14"/>
              </w:rPr>
              <w:t>4,387,828</w:t>
            </w:r>
          </w:p>
        </w:tc>
        <w:tc>
          <w:tcPr>
            <w:tcW w:w="741" w:type="dxa"/>
            <w:tcBorders>
              <w:top w:val="nil"/>
              <w:left w:val="nil"/>
              <w:bottom w:val="single" w:sz="12" w:space="0" w:color="auto"/>
              <w:right w:val="nil"/>
            </w:tcBorders>
            <w:shd w:val="clear" w:color="auto" w:fill="auto"/>
            <w:noWrap/>
            <w:tcMar>
              <w:left w:w="43" w:type="dxa"/>
              <w:right w:w="43" w:type="dxa"/>
            </w:tcMar>
            <w:vAlign w:val="center"/>
          </w:tcPr>
          <w:p w:rsidR="00DF6C02" w:rsidRDefault="00DF6C02" w:rsidP="00C81E06">
            <w:pPr>
              <w:jc w:val="right"/>
              <w:rPr>
                <w:b/>
                <w:bCs/>
                <w:sz w:val="14"/>
                <w:szCs w:val="14"/>
              </w:rPr>
            </w:pPr>
            <w:r>
              <w:rPr>
                <w:b/>
                <w:bCs/>
                <w:sz w:val="14"/>
                <w:szCs w:val="14"/>
              </w:rPr>
              <w:t>4,950,039</w:t>
            </w:r>
          </w:p>
        </w:tc>
        <w:tc>
          <w:tcPr>
            <w:tcW w:w="756" w:type="dxa"/>
            <w:tcBorders>
              <w:top w:val="nil"/>
              <w:left w:val="nil"/>
              <w:bottom w:val="single" w:sz="12" w:space="0" w:color="auto"/>
              <w:right w:val="nil"/>
            </w:tcBorders>
            <w:shd w:val="clear" w:color="auto" w:fill="auto"/>
            <w:noWrap/>
            <w:tcMar>
              <w:left w:w="43" w:type="dxa"/>
              <w:right w:w="43" w:type="dxa"/>
            </w:tcMar>
            <w:vAlign w:val="center"/>
            <w:hideMark/>
          </w:tcPr>
          <w:p w:rsidR="00DF6C02" w:rsidRDefault="00DF6C02" w:rsidP="00C81E06">
            <w:pPr>
              <w:jc w:val="right"/>
              <w:rPr>
                <w:b/>
                <w:bCs/>
                <w:sz w:val="14"/>
                <w:szCs w:val="14"/>
              </w:rPr>
            </w:pPr>
            <w:r>
              <w:rPr>
                <w:b/>
                <w:bCs/>
                <w:sz w:val="14"/>
                <w:szCs w:val="14"/>
              </w:rPr>
              <w:t>5,031,826</w:t>
            </w:r>
          </w:p>
        </w:tc>
        <w:tc>
          <w:tcPr>
            <w:tcW w:w="810" w:type="dxa"/>
            <w:tcBorders>
              <w:top w:val="nil"/>
              <w:left w:val="nil"/>
              <w:bottom w:val="single" w:sz="12" w:space="0" w:color="auto"/>
              <w:right w:val="nil"/>
            </w:tcBorders>
            <w:shd w:val="clear" w:color="auto" w:fill="auto"/>
            <w:tcMar>
              <w:left w:w="43" w:type="dxa"/>
              <w:right w:w="43" w:type="dxa"/>
            </w:tcMar>
            <w:vAlign w:val="center"/>
          </w:tcPr>
          <w:p w:rsidR="00DF6C02" w:rsidRDefault="00DF6C02" w:rsidP="00DF6C02">
            <w:pPr>
              <w:jc w:val="right"/>
              <w:rPr>
                <w:b/>
                <w:bCs/>
                <w:sz w:val="14"/>
                <w:szCs w:val="14"/>
              </w:rPr>
            </w:pPr>
            <w:r>
              <w:rPr>
                <w:b/>
                <w:bCs/>
                <w:sz w:val="14"/>
                <w:szCs w:val="14"/>
              </w:rPr>
              <w:t>4,950,039</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DF6C02" w:rsidRDefault="00DF6C02" w:rsidP="00C81E06">
            <w:pPr>
              <w:jc w:val="right"/>
              <w:rPr>
                <w:b/>
                <w:bCs/>
                <w:sz w:val="14"/>
                <w:szCs w:val="14"/>
              </w:rPr>
            </w:pPr>
            <w:r>
              <w:rPr>
                <w:b/>
                <w:bCs/>
                <w:sz w:val="14"/>
                <w:szCs w:val="14"/>
              </w:rPr>
              <w:t>5,672,624</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F6C02" w:rsidRDefault="00DF6C02" w:rsidP="00C81E06">
            <w:pPr>
              <w:jc w:val="right"/>
              <w:rPr>
                <w:b/>
                <w:bCs/>
                <w:sz w:val="14"/>
                <w:szCs w:val="14"/>
              </w:rPr>
            </w:pPr>
            <w:r>
              <w:rPr>
                <w:b/>
                <w:bCs/>
                <w:sz w:val="14"/>
                <w:szCs w:val="14"/>
              </w:rPr>
              <w:t>5,930,357</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DF6C02" w:rsidRDefault="00DF6C02" w:rsidP="00C81E06">
            <w:pPr>
              <w:jc w:val="right"/>
              <w:rPr>
                <w:b/>
                <w:bCs/>
                <w:sz w:val="14"/>
                <w:szCs w:val="14"/>
              </w:rPr>
            </w:pPr>
            <w:r>
              <w:rPr>
                <w:b/>
                <w:bCs/>
                <w:sz w:val="14"/>
                <w:szCs w:val="14"/>
              </w:rPr>
              <w:t>6,371,862</w:t>
            </w:r>
          </w:p>
        </w:tc>
        <w:tc>
          <w:tcPr>
            <w:tcW w:w="761" w:type="dxa"/>
            <w:tcBorders>
              <w:top w:val="nil"/>
              <w:left w:val="nil"/>
              <w:bottom w:val="single" w:sz="12" w:space="0" w:color="auto"/>
              <w:right w:val="nil"/>
            </w:tcBorders>
            <w:shd w:val="clear" w:color="auto" w:fill="auto"/>
            <w:noWrap/>
            <w:tcMar>
              <w:left w:w="43" w:type="dxa"/>
              <w:right w:w="43" w:type="dxa"/>
            </w:tcMar>
            <w:vAlign w:val="center"/>
          </w:tcPr>
          <w:p w:rsidR="00DF6C02" w:rsidRDefault="00DF6C02" w:rsidP="00DF6C02">
            <w:pPr>
              <w:jc w:val="right"/>
              <w:rPr>
                <w:b/>
                <w:bCs/>
                <w:sz w:val="14"/>
                <w:szCs w:val="14"/>
              </w:rPr>
            </w:pPr>
            <w:r>
              <w:rPr>
                <w:b/>
                <w:bCs/>
                <w:sz w:val="14"/>
                <w:szCs w:val="14"/>
              </w:rPr>
              <w:t>6,142,016</w:t>
            </w:r>
          </w:p>
        </w:tc>
      </w:tr>
      <w:tr w:rsidR="00C81E06" w:rsidRPr="009B6E8A" w:rsidTr="00916320">
        <w:trPr>
          <w:trHeight w:val="852"/>
          <w:jc w:val="center"/>
        </w:trPr>
        <w:tc>
          <w:tcPr>
            <w:tcW w:w="10497" w:type="dxa"/>
            <w:gridSpan w:val="11"/>
            <w:tcBorders>
              <w:top w:val="nil"/>
              <w:left w:val="nil"/>
              <w:right w:val="nil"/>
            </w:tcBorders>
            <w:shd w:val="clear" w:color="auto" w:fill="auto"/>
            <w:noWrap/>
            <w:hideMark/>
          </w:tcPr>
          <w:p w:rsidR="00C81E06" w:rsidRPr="00916320" w:rsidRDefault="00C81E06" w:rsidP="00C81E06">
            <w:pPr>
              <w:ind w:left="405" w:hanging="180"/>
              <w:jc w:val="left"/>
              <w:rPr>
                <w:color w:val="auto"/>
                <w:sz w:val="14"/>
                <w:szCs w:val="14"/>
              </w:rPr>
            </w:pPr>
            <w:r w:rsidRPr="00916320">
              <w:rPr>
                <w:color w:val="auto"/>
                <w:sz w:val="14"/>
                <w:szCs w:val="14"/>
              </w:rPr>
              <w:t xml:space="preserve">Note:                                                                                                                                                                                            </w:t>
            </w:r>
            <w:r w:rsidRPr="00916320">
              <w:rPr>
                <w:sz w:val="14"/>
                <w:szCs w:val="14"/>
              </w:rPr>
              <w:t>Source: Statistics &amp; Data Warehouse Department SBP</w:t>
            </w:r>
          </w:p>
          <w:p w:rsidR="00C81E06" w:rsidRPr="00916320" w:rsidRDefault="00C81E06" w:rsidP="00C81E06">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The quarter end data relates to last working day whereas monthly data are of last Friday of the month. </w:t>
            </w:r>
          </w:p>
          <w:p w:rsidR="00C81E06" w:rsidRPr="00916320" w:rsidRDefault="00C81E06" w:rsidP="00C81E06">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Totals may not tally due to separate rounding off.</w:t>
            </w:r>
          </w:p>
          <w:p w:rsidR="00C81E06" w:rsidRPr="006F5B38" w:rsidRDefault="00C81E06" w:rsidP="00C81E06">
            <w:pPr>
              <w:pStyle w:val="ListParagraph"/>
              <w:numPr>
                <w:ilvl w:val="0"/>
                <w:numId w:val="13"/>
              </w:numPr>
              <w:spacing w:line="240" w:lineRule="auto"/>
              <w:ind w:left="405" w:hanging="180"/>
              <w:rPr>
                <w:rFonts w:ascii="Times New Roman" w:eastAsia="Times New Roman" w:hAnsi="Times New Roman"/>
                <w:sz w:val="14"/>
                <w:szCs w:val="14"/>
              </w:rPr>
            </w:pPr>
            <w:r w:rsidRPr="00916320">
              <w:rPr>
                <w:rFonts w:ascii="Times New Roman" w:eastAsia="Times New Roman" w:hAnsi="Times New Roman"/>
                <w:sz w:val="14"/>
                <w:szCs w:val="14"/>
              </w:rPr>
              <w:t xml:space="preserve"> Data is based on weekly returns. Therefore, these estimates are not comparable with the monthly data given in table 2.1.  The  comparison of weekly  and monthly compilation methodologies is available the link :  </w:t>
            </w:r>
            <w:hyperlink r:id="rId17" w:history="1">
              <w:r w:rsidRPr="00916320">
                <w:rPr>
                  <w:rFonts w:ascii="Times New Roman" w:eastAsia="Times New Roman" w:hAnsi="Times New Roman"/>
                  <w:sz w:val="14"/>
                  <w:szCs w:val="14"/>
                </w:rPr>
                <w:t>http://www.sbp.org.pk/ecodata.asp</w:t>
              </w:r>
            </w:hyperlink>
          </w:p>
        </w:tc>
      </w:tr>
    </w:tbl>
    <w:p w:rsidR="00C63C9B" w:rsidRPr="00D5469A" w:rsidRDefault="00C63C9B" w:rsidP="0069571C">
      <w:pPr>
        <w:tabs>
          <w:tab w:val="left" w:pos="0"/>
          <w:tab w:val="left" w:pos="360"/>
        </w:tabs>
        <w:ind w:left="-90" w:right="1530"/>
        <w:rPr>
          <w:color w:val="auto"/>
        </w:rPr>
      </w:pPr>
    </w:p>
    <w:p w:rsidR="008B2948" w:rsidRPr="00D5469A" w:rsidRDefault="008B2948" w:rsidP="0069571C">
      <w:pPr>
        <w:jc w:val="left"/>
        <w:rPr>
          <w:color w:val="auto"/>
        </w:rPr>
      </w:pPr>
    </w:p>
    <w:tbl>
      <w:tblPr>
        <w:tblW w:w="10103" w:type="dxa"/>
        <w:jc w:val="center"/>
        <w:tblLayout w:type="fixed"/>
        <w:tblLook w:val="04A0" w:firstRow="1" w:lastRow="0" w:firstColumn="1" w:lastColumn="0" w:noHBand="0" w:noVBand="1"/>
      </w:tblPr>
      <w:tblGrid>
        <w:gridCol w:w="3337"/>
        <w:gridCol w:w="777"/>
        <w:gridCol w:w="769"/>
        <w:gridCol w:w="786"/>
        <w:gridCol w:w="810"/>
        <w:gridCol w:w="720"/>
        <w:gridCol w:w="720"/>
        <w:gridCol w:w="720"/>
        <w:gridCol w:w="720"/>
        <w:gridCol w:w="744"/>
      </w:tblGrid>
      <w:tr w:rsidR="00247299" w:rsidRPr="00247299" w:rsidTr="00261F80">
        <w:trPr>
          <w:trHeight w:val="375"/>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432148" w:rsidP="00247299">
            <w:pPr>
              <w:rPr>
                <w:b/>
                <w:bCs/>
                <w:color w:val="auto"/>
                <w:sz w:val="28"/>
                <w:szCs w:val="28"/>
              </w:rPr>
            </w:pPr>
            <w:r>
              <w:rPr>
                <w:b/>
                <w:bCs/>
                <w:color w:val="auto"/>
                <w:sz w:val="28"/>
                <w:szCs w:val="28"/>
              </w:rPr>
              <w:lastRenderedPageBreak/>
              <w:t>2.6</w:t>
            </w:r>
            <w:r w:rsidR="00247299" w:rsidRPr="00247299">
              <w:rPr>
                <w:b/>
                <w:bCs/>
                <w:color w:val="auto"/>
                <w:sz w:val="28"/>
                <w:szCs w:val="28"/>
              </w:rPr>
              <w:t xml:space="preserve">  Monetary Aggregates</w:t>
            </w:r>
          </w:p>
        </w:tc>
      </w:tr>
      <w:tr w:rsidR="00247299" w:rsidRPr="00247299" w:rsidTr="00261F80">
        <w:trPr>
          <w:trHeight w:val="144"/>
          <w:jc w:val="center"/>
        </w:trPr>
        <w:tc>
          <w:tcPr>
            <w:tcW w:w="10103" w:type="dxa"/>
            <w:gridSpan w:val="10"/>
            <w:tcBorders>
              <w:top w:val="nil"/>
              <w:left w:val="nil"/>
              <w:bottom w:val="nil"/>
              <w:right w:val="nil"/>
            </w:tcBorders>
            <w:shd w:val="clear" w:color="auto" w:fill="auto"/>
            <w:noWrap/>
            <w:vAlign w:val="bottom"/>
            <w:hideMark/>
          </w:tcPr>
          <w:p w:rsidR="00247299" w:rsidRPr="00247299" w:rsidRDefault="00247299" w:rsidP="00247299">
            <w:pPr>
              <w:jc w:val="right"/>
              <w:rPr>
                <w:color w:val="auto"/>
                <w:sz w:val="14"/>
                <w:szCs w:val="14"/>
              </w:rPr>
            </w:pPr>
            <w:r w:rsidRPr="00247299">
              <w:rPr>
                <w:bCs/>
                <w:color w:val="auto"/>
                <w:sz w:val="14"/>
                <w:szCs w:val="16"/>
              </w:rPr>
              <w:t>(Million Rupees)</w:t>
            </w:r>
          </w:p>
        </w:tc>
      </w:tr>
      <w:tr w:rsidR="006877F6" w:rsidRPr="00247299" w:rsidTr="00E346E4">
        <w:trPr>
          <w:trHeight w:hRule="exact" w:val="259"/>
          <w:jc w:val="center"/>
        </w:trPr>
        <w:tc>
          <w:tcPr>
            <w:tcW w:w="3337" w:type="dxa"/>
            <w:vMerge w:val="restart"/>
            <w:tcBorders>
              <w:top w:val="single" w:sz="12" w:space="0" w:color="auto"/>
              <w:left w:val="nil"/>
              <w:right w:val="single" w:sz="4" w:space="0" w:color="auto"/>
            </w:tcBorders>
            <w:shd w:val="clear" w:color="auto" w:fill="auto"/>
            <w:noWrap/>
            <w:vAlign w:val="center"/>
            <w:hideMark/>
          </w:tcPr>
          <w:p w:rsidR="006877F6" w:rsidRPr="00247299" w:rsidRDefault="006877F6" w:rsidP="007B4774">
            <w:pPr>
              <w:rPr>
                <w:b/>
                <w:bCs/>
                <w:color w:val="auto"/>
                <w:sz w:val="14"/>
                <w:szCs w:val="14"/>
              </w:rPr>
            </w:pPr>
          </w:p>
          <w:p w:rsidR="006877F6" w:rsidRPr="00247299" w:rsidRDefault="006877F6" w:rsidP="007B4774">
            <w:pPr>
              <w:rPr>
                <w:b/>
                <w:bCs/>
                <w:color w:val="auto"/>
                <w:sz w:val="14"/>
                <w:szCs w:val="14"/>
              </w:rPr>
            </w:pPr>
            <w:r w:rsidRPr="00247299">
              <w:rPr>
                <w:b/>
                <w:bCs/>
                <w:color w:val="auto"/>
                <w:sz w:val="14"/>
                <w:szCs w:val="14"/>
              </w:rPr>
              <w:t>Assets / Liabilities</w:t>
            </w:r>
          </w:p>
        </w:tc>
        <w:tc>
          <w:tcPr>
            <w:tcW w:w="2332" w:type="dxa"/>
            <w:gridSpan w:val="3"/>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6877F6" w:rsidRPr="00AE17B5" w:rsidRDefault="006877F6" w:rsidP="00E6261A">
            <w:pPr>
              <w:rPr>
                <w:b/>
                <w:bCs/>
                <w:color w:val="auto"/>
                <w:szCs w:val="16"/>
              </w:rPr>
            </w:pPr>
            <w:r w:rsidRPr="00AE17B5">
              <w:rPr>
                <w:b/>
                <w:bCs/>
                <w:color w:val="auto"/>
                <w:szCs w:val="16"/>
              </w:rPr>
              <w:t>30</w:t>
            </w:r>
            <w:r w:rsidRPr="00AE17B5">
              <w:rPr>
                <w:b/>
                <w:bCs/>
                <w:color w:val="auto"/>
                <w:szCs w:val="16"/>
                <w:vertAlign w:val="superscript"/>
              </w:rPr>
              <w:t>th</w:t>
            </w:r>
            <w:r w:rsidRPr="00AE17B5">
              <w:rPr>
                <w:b/>
                <w:bCs/>
                <w:color w:val="auto"/>
                <w:szCs w:val="16"/>
              </w:rPr>
              <w:t xml:space="preserve"> June</w:t>
            </w:r>
          </w:p>
        </w:tc>
        <w:tc>
          <w:tcPr>
            <w:tcW w:w="1530" w:type="dxa"/>
            <w:gridSpan w:val="2"/>
            <w:tcBorders>
              <w:top w:val="single" w:sz="12" w:space="0" w:color="auto"/>
              <w:left w:val="single" w:sz="4" w:space="0" w:color="auto"/>
              <w:bottom w:val="single" w:sz="4" w:space="0" w:color="auto"/>
              <w:right w:val="single" w:sz="4" w:space="0" w:color="auto"/>
            </w:tcBorders>
            <w:shd w:val="clear" w:color="auto" w:fill="auto"/>
            <w:vAlign w:val="center"/>
          </w:tcPr>
          <w:p w:rsidR="006877F6" w:rsidRPr="00AE17B5" w:rsidRDefault="006877F6" w:rsidP="00E6261A">
            <w:pPr>
              <w:rPr>
                <w:b/>
                <w:bCs/>
                <w:color w:val="auto"/>
                <w:szCs w:val="16"/>
              </w:rPr>
            </w:pPr>
            <w:r>
              <w:rPr>
                <w:b/>
                <w:bCs/>
                <w:color w:val="auto"/>
                <w:szCs w:val="16"/>
              </w:rPr>
              <w:t>2019</w:t>
            </w:r>
          </w:p>
        </w:tc>
        <w:tc>
          <w:tcPr>
            <w:tcW w:w="2904" w:type="dxa"/>
            <w:gridSpan w:val="4"/>
            <w:tcBorders>
              <w:top w:val="single" w:sz="12" w:space="0" w:color="auto"/>
              <w:left w:val="single" w:sz="4" w:space="0" w:color="auto"/>
              <w:bottom w:val="single" w:sz="4" w:space="0" w:color="auto"/>
              <w:right w:val="nil"/>
            </w:tcBorders>
            <w:shd w:val="clear" w:color="auto" w:fill="auto"/>
            <w:vAlign w:val="center"/>
          </w:tcPr>
          <w:p w:rsidR="006877F6" w:rsidRPr="00AE17B5" w:rsidRDefault="006877F6" w:rsidP="00E6261A">
            <w:pPr>
              <w:rPr>
                <w:b/>
                <w:bCs/>
                <w:color w:val="auto"/>
                <w:szCs w:val="16"/>
              </w:rPr>
            </w:pPr>
            <w:r>
              <w:rPr>
                <w:b/>
                <w:bCs/>
                <w:color w:val="auto"/>
                <w:szCs w:val="16"/>
              </w:rPr>
              <w:t>2020</w:t>
            </w:r>
          </w:p>
        </w:tc>
      </w:tr>
      <w:tr w:rsidR="00C81E06" w:rsidRPr="00247299" w:rsidTr="00E346E4">
        <w:trPr>
          <w:trHeight w:hRule="exact" w:val="259"/>
          <w:jc w:val="center"/>
        </w:trPr>
        <w:tc>
          <w:tcPr>
            <w:tcW w:w="3337" w:type="dxa"/>
            <w:vMerge/>
            <w:tcBorders>
              <w:left w:val="nil"/>
              <w:bottom w:val="single" w:sz="12" w:space="0" w:color="auto"/>
              <w:right w:val="single" w:sz="4" w:space="0" w:color="auto"/>
            </w:tcBorders>
            <w:shd w:val="clear" w:color="auto" w:fill="auto"/>
            <w:vAlign w:val="center"/>
            <w:hideMark/>
          </w:tcPr>
          <w:p w:rsidR="00C81E06" w:rsidRPr="00247299" w:rsidRDefault="00C81E06" w:rsidP="00C81E06">
            <w:pPr>
              <w:jc w:val="left"/>
              <w:rPr>
                <w:b/>
                <w:bCs/>
                <w:color w:val="auto"/>
                <w:sz w:val="14"/>
                <w:szCs w:val="14"/>
              </w:rPr>
            </w:pPr>
          </w:p>
        </w:tc>
        <w:tc>
          <w:tcPr>
            <w:tcW w:w="777"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81E06" w:rsidRPr="006619BF" w:rsidRDefault="00C81E06" w:rsidP="00C81E06">
            <w:pPr>
              <w:jc w:val="right"/>
              <w:rPr>
                <w:b/>
                <w:bCs/>
                <w:color w:val="auto"/>
                <w:sz w:val="14"/>
                <w:szCs w:val="14"/>
              </w:rPr>
            </w:pPr>
            <w:r w:rsidRPr="006619BF">
              <w:rPr>
                <w:b/>
                <w:bCs/>
                <w:color w:val="auto"/>
                <w:sz w:val="14"/>
                <w:szCs w:val="14"/>
              </w:rPr>
              <w:t>FY17</w:t>
            </w:r>
          </w:p>
        </w:tc>
        <w:tc>
          <w:tcPr>
            <w:tcW w:w="769"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r>
              <w:rPr>
                <w:b/>
                <w:bCs/>
                <w:color w:val="auto"/>
                <w:sz w:val="14"/>
                <w:szCs w:val="14"/>
              </w:rPr>
              <w:t>FY18</w:t>
            </w:r>
          </w:p>
        </w:tc>
        <w:tc>
          <w:tcPr>
            <w:tcW w:w="786"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r>
              <w:rPr>
                <w:b/>
                <w:bCs/>
                <w:color w:val="auto"/>
                <w:sz w:val="14"/>
                <w:szCs w:val="14"/>
              </w:rPr>
              <w:t>FY19</w:t>
            </w:r>
          </w:p>
        </w:tc>
        <w:tc>
          <w:tcPr>
            <w:tcW w:w="81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72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72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Mar</w:t>
            </w:r>
          </w:p>
        </w:tc>
        <w:tc>
          <w:tcPr>
            <w:tcW w:w="72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72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44"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247299" w:rsidTr="00AB7A08">
        <w:trPr>
          <w:trHeight w:hRule="exact" w:val="230"/>
          <w:jc w:val="center"/>
        </w:trPr>
        <w:tc>
          <w:tcPr>
            <w:tcW w:w="3337" w:type="dxa"/>
            <w:tcBorders>
              <w:top w:val="single" w:sz="12" w:space="0" w:color="auto"/>
              <w:left w:val="nil"/>
              <w:bottom w:val="nil"/>
              <w:right w:val="nil"/>
            </w:tcBorders>
            <w:shd w:val="clear" w:color="auto" w:fill="auto"/>
            <w:tcMar>
              <w:left w:w="86" w:type="dxa"/>
              <w:right w:w="29" w:type="dxa"/>
            </w:tcMar>
            <w:vAlign w:val="center"/>
            <w:hideMark/>
          </w:tcPr>
          <w:p w:rsidR="00C81E06" w:rsidRPr="00AC5C7D" w:rsidRDefault="00C81E06" w:rsidP="00C81E06">
            <w:pPr>
              <w:numPr>
                <w:ilvl w:val="0"/>
                <w:numId w:val="1"/>
              </w:numPr>
              <w:ind w:left="162" w:hanging="270"/>
              <w:jc w:val="left"/>
              <w:rPr>
                <w:b/>
                <w:bCs/>
                <w:sz w:val="14"/>
                <w:szCs w:val="14"/>
              </w:rPr>
            </w:pPr>
            <w:r w:rsidRPr="00AC5C7D">
              <w:rPr>
                <w:b/>
                <w:bCs/>
                <w:sz w:val="14"/>
                <w:szCs w:val="14"/>
              </w:rPr>
              <w:t>Components  of M2</w:t>
            </w:r>
          </w:p>
        </w:tc>
        <w:tc>
          <w:tcPr>
            <w:tcW w:w="777" w:type="dxa"/>
            <w:tcBorders>
              <w:top w:val="nil"/>
              <w:left w:val="nil"/>
              <w:bottom w:val="nil"/>
              <w:right w:val="nil"/>
            </w:tcBorders>
            <w:shd w:val="clear" w:color="auto" w:fill="auto"/>
            <w:tcMar>
              <w:left w:w="43" w:type="dxa"/>
              <w:right w:w="43" w:type="dxa"/>
            </w:tcMar>
            <w:vAlign w:val="center"/>
            <w:hideMark/>
          </w:tcPr>
          <w:p w:rsidR="00C81E06" w:rsidRPr="00247299" w:rsidRDefault="00C81E06" w:rsidP="00C81E06">
            <w:pPr>
              <w:jc w:val="right"/>
              <w:rPr>
                <w:b/>
                <w:bCs/>
                <w:color w:val="auto"/>
                <w:sz w:val="13"/>
                <w:szCs w:val="13"/>
              </w:rPr>
            </w:pPr>
          </w:p>
        </w:tc>
        <w:tc>
          <w:tcPr>
            <w:tcW w:w="769" w:type="dxa"/>
            <w:tcBorders>
              <w:top w:val="nil"/>
              <w:left w:val="nil"/>
              <w:bottom w:val="nil"/>
              <w:right w:val="nil"/>
            </w:tcBorders>
            <w:shd w:val="clear" w:color="auto" w:fill="auto"/>
            <w:tcMar>
              <w:left w:w="43" w:type="dxa"/>
              <w:right w:w="43" w:type="dxa"/>
            </w:tcMar>
            <w:vAlign w:val="center"/>
          </w:tcPr>
          <w:p w:rsidR="00C81E06" w:rsidRPr="00247299" w:rsidRDefault="00C81E06" w:rsidP="00C81E06">
            <w:pPr>
              <w:jc w:val="right"/>
              <w:rPr>
                <w:rFonts w:ascii="Calibri" w:hAnsi="Calibri"/>
                <w:sz w:val="22"/>
                <w:szCs w:val="22"/>
              </w:rPr>
            </w:pPr>
          </w:p>
        </w:tc>
        <w:tc>
          <w:tcPr>
            <w:tcW w:w="786" w:type="dxa"/>
            <w:tcBorders>
              <w:top w:val="nil"/>
              <w:left w:val="nil"/>
              <w:bottom w:val="nil"/>
              <w:right w:val="nil"/>
            </w:tcBorders>
            <w:shd w:val="clear" w:color="auto" w:fill="auto"/>
            <w:tcMar>
              <w:left w:w="43" w:type="dxa"/>
              <w:right w:w="43" w:type="dxa"/>
            </w:tcMar>
            <w:vAlign w:val="center"/>
          </w:tcPr>
          <w:p w:rsidR="00C81E06" w:rsidRPr="00247299"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tcMar>
              <w:left w:w="43" w:type="dxa"/>
              <w:right w:w="43" w:type="dxa"/>
            </w:tcMar>
            <w:vAlign w:val="center"/>
            <w:hideMark/>
          </w:tcPr>
          <w:p w:rsidR="00C81E06" w:rsidRPr="00247299" w:rsidRDefault="00C81E06" w:rsidP="00C81E0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81E06" w:rsidRPr="00247299" w:rsidRDefault="00C81E06" w:rsidP="00C81E0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hideMark/>
          </w:tcPr>
          <w:p w:rsidR="00C81E06" w:rsidRPr="00247299" w:rsidRDefault="00C81E06" w:rsidP="00C81E0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81E06" w:rsidRPr="00247299" w:rsidRDefault="00C81E06" w:rsidP="00C81E06">
            <w:pPr>
              <w:jc w:val="right"/>
              <w:rPr>
                <w:rFonts w:ascii="Calibri" w:hAnsi="Calibri"/>
                <w:sz w:val="22"/>
                <w:szCs w:val="22"/>
              </w:rPr>
            </w:pPr>
          </w:p>
        </w:tc>
        <w:tc>
          <w:tcPr>
            <w:tcW w:w="720" w:type="dxa"/>
            <w:tcBorders>
              <w:top w:val="nil"/>
              <w:left w:val="nil"/>
              <w:bottom w:val="nil"/>
              <w:right w:val="nil"/>
            </w:tcBorders>
            <w:shd w:val="clear" w:color="auto" w:fill="auto"/>
            <w:tcMar>
              <w:left w:w="43" w:type="dxa"/>
              <w:right w:w="43" w:type="dxa"/>
            </w:tcMar>
            <w:vAlign w:val="center"/>
          </w:tcPr>
          <w:p w:rsidR="00C81E06" w:rsidRPr="00247299" w:rsidRDefault="00C81E06" w:rsidP="00C81E06">
            <w:pPr>
              <w:jc w:val="right"/>
              <w:rPr>
                <w:rFonts w:ascii="Calibri" w:hAnsi="Calibri"/>
                <w:sz w:val="22"/>
                <w:szCs w:val="22"/>
              </w:rPr>
            </w:pPr>
          </w:p>
        </w:tc>
        <w:tc>
          <w:tcPr>
            <w:tcW w:w="744" w:type="dxa"/>
            <w:tcBorders>
              <w:top w:val="nil"/>
              <w:left w:val="nil"/>
              <w:bottom w:val="nil"/>
              <w:right w:val="nil"/>
            </w:tcBorders>
            <w:shd w:val="clear" w:color="auto" w:fill="auto"/>
            <w:noWrap/>
            <w:tcMar>
              <w:left w:w="43" w:type="dxa"/>
              <w:right w:w="43" w:type="dxa"/>
            </w:tcMar>
            <w:vAlign w:val="center"/>
          </w:tcPr>
          <w:p w:rsidR="00C81E06" w:rsidRPr="00247299" w:rsidRDefault="00C81E06" w:rsidP="00C81E06">
            <w:pPr>
              <w:jc w:val="right"/>
              <w:rPr>
                <w:rFonts w:ascii="Calibri" w:hAnsi="Calibri"/>
                <w:sz w:val="22"/>
                <w:szCs w:val="22"/>
              </w:rPr>
            </w:pP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2"/>
              </w:numPr>
              <w:ind w:left="252" w:hanging="180"/>
              <w:jc w:val="left"/>
              <w:rPr>
                <w:sz w:val="14"/>
                <w:szCs w:val="14"/>
              </w:rPr>
            </w:pPr>
            <w:r w:rsidRPr="00AC5C7D">
              <w:rPr>
                <w:sz w:val="14"/>
                <w:szCs w:val="14"/>
              </w:rPr>
              <w:t>Currency in Circulation</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3,911,315</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4,387,828</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4,950,039</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5,031,826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4,950,039</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5,672,624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5,930,357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6,371,862</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6,142,016</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2"/>
              </w:numPr>
              <w:ind w:left="252" w:hanging="180"/>
              <w:jc w:val="left"/>
              <w:rPr>
                <w:sz w:val="14"/>
                <w:szCs w:val="14"/>
              </w:rPr>
            </w:pPr>
            <w:r w:rsidRPr="00AC5C7D">
              <w:rPr>
                <w:sz w:val="14"/>
                <w:szCs w:val="14"/>
              </w:rPr>
              <w:t>Other Deposits with SBP</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22,692</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26,962</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33,636</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33,777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33,636</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33,695</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34,980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38,095</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41,012</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2"/>
              </w:numPr>
              <w:ind w:left="252" w:hanging="180"/>
              <w:jc w:val="left"/>
              <w:rPr>
                <w:sz w:val="14"/>
                <w:szCs w:val="14"/>
              </w:rPr>
            </w:pPr>
            <w:r w:rsidRPr="00AC5C7D">
              <w:rPr>
                <w:sz w:val="14"/>
                <w:szCs w:val="14"/>
              </w:rPr>
              <w:t>Total Private &amp; PSE Deposits</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10,646,875</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11,582,372</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12,814,820</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12,036,907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12,814,820</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13,612,141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13,293,851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13,661,870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14,722,214</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w:t>
            </w:r>
            <w:r w:rsidRPr="00AC5C7D">
              <w:rPr>
                <w:i/>
                <w:iCs/>
                <w:sz w:val="14"/>
                <w:szCs w:val="14"/>
              </w:rPr>
              <w:t>of which : RFCDs</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i/>
                <w:iCs/>
                <w:sz w:val="14"/>
                <w:szCs w:val="14"/>
              </w:rPr>
            </w:pPr>
            <w:r>
              <w:rPr>
                <w:i/>
                <w:iCs/>
                <w:sz w:val="14"/>
                <w:szCs w:val="14"/>
              </w:rPr>
              <w:t>655,340</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829,355</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1,109,780</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i/>
                <w:iCs/>
                <w:sz w:val="14"/>
                <w:szCs w:val="14"/>
              </w:rPr>
            </w:pPr>
            <w:r>
              <w:rPr>
                <w:i/>
                <w:iCs/>
                <w:sz w:val="14"/>
                <w:szCs w:val="14"/>
              </w:rPr>
              <w:t>994,172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i/>
                <w:iCs/>
                <w:sz w:val="14"/>
                <w:szCs w:val="14"/>
              </w:rPr>
            </w:pPr>
            <w:r>
              <w:rPr>
                <w:i/>
                <w:iCs/>
                <w:sz w:val="14"/>
                <w:szCs w:val="14"/>
              </w:rPr>
              <w:t>1,109,780</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i/>
                <w:iCs/>
                <w:sz w:val="14"/>
                <w:szCs w:val="14"/>
              </w:rPr>
            </w:pPr>
            <w:r>
              <w:rPr>
                <w:i/>
                <w:iCs/>
                <w:sz w:val="14"/>
                <w:szCs w:val="14"/>
              </w:rPr>
              <w:t>1,065,250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1,023,352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1,037,908</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i/>
                <w:iCs/>
                <w:sz w:val="14"/>
                <w:szCs w:val="14"/>
              </w:rPr>
            </w:pPr>
            <w:r>
              <w:rPr>
                <w:i/>
                <w:iCs/>
                <w:sz w:val="14"/>
                <w:szCs w:val="14"/>
              </w:rPr>
              <w:t>1,074,511</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b/>
                <w:bCs/>
                <w:sz w:val="14"/>
                <w:szCs w:val="14"/>
              </w:rPr>
            </w:pPr>
            <w:r w:rsidRPr="00AC5C7D">
              <w:rPr>
                <w:b/>
                <w:bCs/>
                <w:sz w:val="14"/>
                <w:szCs w:val="14"/>
              </w:rPr>
              <w:t>Money Supply  (1+2+3)</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17,102,511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17,798,494</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19,318,460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19,259,188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20,071,827</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20,905,243</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1"/>
              </w:numPr>
              <w:ind w:left="162" w:hanging="270"/>
              <w:jc w:val="left"/>
              <w:rPr>
                <w:b/>
                <w:bCs/>
                <w:sz w:val="14"/>
                <w:szCs w:val="14"/>
              </w:rPr>
            </w:pPr>
            <w:r w:rsidRPr="000A114A">
              <w:rPr>
                <w:b/>
                <w:bCs/>
                <w:sz w:val="14"/>
                <w:szCs w:val="14"/>
              </w:rPr>
              <w:t xml:space="preserve">Factors Affecting Money Supply ( M2)  </w:t>
            </w:r>
          </w:p>
        </w:tc>
        <w:tc>
          <w:tcPr>
            <w:tcW w:w="777" w:type="dxa"/>
            <w:tcBorders>
              <w:top w:val="nil"/>
              <w:left w:val="nil"/>
              <w:bottom w:val="nil"/>
              <w:right w:val="nil"/>
            </w:tcBorders>
            <w:shd w:val="clear" w:color="auto" w:fill="auto"/>
            <w:tcMar>
              <w:left w:w="29" w:type="dxa"/>
              <w:right w:w="29" w:type="dxa"/>
            </w:tcMar>
            <w:vAlign w:val="center"/>
            <w:hideMark/>
          </w:tcPr>
          <w:p w:rsidR="00DF6C02" w:rsidRPr="00D01D84" w:rsidRDefault="00DF6C02" w:rsidP="00C81E06">
            <w:pPr>
              <w:jc w:val="right"/>
              <w:rPr>
                <w:b/>
                <w:bCs/>
                <w:sz w:val="14"/>
                <w:szCs w:val="14"/>
              </w:rPr>
            </w:pPr>
          </w:p>
        </w:tc>
        <w:tc>
          <w:tcPr>
            <w:tcW w:w="769" w:type="dxa"/>
            <w:tcBorders>
              <w:top w:val="nil"/>
              <w:left w:val="nil"/>
              <w:bottom w:val="nil"/>
              <w:right w:val="nil"/>
            </w:tcBorders>
            <w:shd w:val="clear" w:color="auto" w:fill="auto"/>
            <w:tcMar>
              <w:left w:w="29" w:type="dxa"/>
              <w:right w:w="29" w:type="dxa"/>
            </w:tcMar>
            <w:vAlign w:val="center"/>
          </w:tcPr>
          <w:p w:rsidR="00DF6C02" w:rsidRPr="00D01D84" w:rsidRDefault="00DF6C02" w:rsidP="00C81E06">
            <w:pPr>
              <w:jc w:val="right"/>
              <w:rPr>
                <w:b/>
                <w:bCs/>
                <w:sz w:val="14"/>
                <w:szCs w:val="14"/>
              </w:rPr>
            </w:pP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20"/>
              </w:rPr>
            </w:pP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b/>
                <w:bCs/>
                <w:sz w:val="14"/>
                <w:szCs w:val="14"/>
              </w:rPr>
            </w:pPr>
            <w:r>
              <w:rPr>
                <w:b/>
                <w:bCs/>
                <w:sz w:val="14"/>
                <w:szCs w:val="14"/>
              </w:rPr>
              <w:t>I.</w:t>
            </w:r>
            <w:r w:rsidRPr="00AC5C7D">
              <w:rPr>
                <w:b/>
                <w:bCs/>
                <w:sz w:val="14"/>
                <w:szCs w:val="14"/>
              </w:rPr>
              <w:t>Net Foreign Assets of the Banking System</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602,049</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(208,423)</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(1,507,081)</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(1,260,303)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(1,507,081)</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(710,001)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(606,861)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(853,043)</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(514,920)</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828,923</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12,453</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(1,127,203)</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(895,922)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(1,127,203)</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(353,875)</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(224,471)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(483,204)</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(180,114)</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(226,873)</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(220,877)</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(379,879)</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(364,381)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(379,879)</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(356,126)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(382,389)</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(369,839)</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(334,806)</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b/>
                <w:bCs/>
                <w:sz w:val="14"/>
                <w:szCs w:val="14"/>
              </w:rPr>
            </w:pPr>
            <w:r>
              <w:rPr>
                <w:b/>
                <w:bCs/>
                <w:sz w:val="14"/>
                <w:szCs w:val="14"/>
              </w:rPr>
              <w:t>II.</w:t>
            </w:r>
            <w:r w:rsidRPr="00AC5C7D">
              <w:rPr>
                <w:b/>
                <w:bCs/>
                <w:sz w:val="14"/>
                <w:szCs w:val="14"/>
              </w:rPr>
              <w:t>Net Domestic Assets of Banking System (1+2+3)</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13,978,833</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16,205,586</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19,305,575</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18,362,814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19,305,575</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20,028,461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19,866,049</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20,924,870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21,420,163</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ind w:firstLineChars="200" w:firstLine="280"/>
              <w:jc w:val="left"/>
              <w:rPr>
                <w:sz w:val="14"/>
                <w:szCs w:val="14"/>
              </w:rPr>
            </w:pPr>
            <w:r w:rsidRPr="00AC5C7D">
              <w:rPr>
                <w:sz w:val="14"/>
                <w:szCs w:val="14"/>
              </w:rPr>
              <w:t>a.      State Bank of Pakistan</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3,538,889</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4,902,311</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7,017,743</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6,542,420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7,017,743</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6,536,297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6,515,040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7,242,640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6,976,974</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ind w:firstLineChars="200" w:firstLine="280"/>
              <w:jc w:val="left"/>
              <w:rPr>
                <w:sz w:val="14"/>
                <w:szCs w:val="14"/>
              </w:rPr>
            </w:pPr>
            <w:r w:rsidRPr="00AC5C7D">
              <w:rPr>
                <w:sz w:val="14"/>
                <w:szCs w:val="14"/>
              </w:rPr>
              <w:t>b.      Scheduled Banks</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10,439,944</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11,303,275</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12,287,832</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11,820,394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12,287,832</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13,492,164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13,351,009</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13,682,230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14,443,189</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4"/>
              </w:numPr>
              <w:ind w:left="252" w:hanging="252"/>
              <w:jc w:val="left"/>
              <w:rPr>
                <w:b/>
                <w:bCs/>
                <w:sz w:val="14"/>
                <w:szCs w:val="14"/>
              </w:rPr>
            </w:pPr>
            <w:r>
              <w:rPr>
                <w:b/>
                <w:bCs/>
                <w:sz w:val="14"/>
                <w:szCs w:val="14"/>
              </w:rPr>
              <w:t xml:space="preserve">Net </w:t>
            </w:r>
            <w:proofErr w:type="spellStart"/>
            <w:r>
              <w:rPr>
                <w:b/>
                <w:bCs/>
                <w:sz w:val="14"/>
                <w:szCs w:val="14"/>
              </w:rPr>
              <w:t>Gov</w:t>
            </w:r>
            <w:r w:rsidRPr="00AC5C7D">
              <w:rPr>
                <w:b/>
                <w:bCs/>
                <w:sz w:val="14"/>
                <w:szCs w:val="14"/>
              </w:rPr>
              <w:t>t</w:t>
            </w:r>
            <w:proofErr w:type="spellEnd"/>
            <w:r w:rsidRPr="00AC5C7D">
              <w:rPr>
                <w:b/>
                <w:bCs/>
                <w:sz w:val="14"/>
                <w:szCs w:val="14"/>
              </w:rPr>
              <w:t xml:space="preserve"> Sector Borrowing(</w:t>
            </w:r>
            <w:proofErr w:type="spellStart"/>
            <w:r w:rsidRPr="00AC5C7D">
              <w:rPr>
                <w:b/>
                <w:bCs/>
                <w:sz w:val="14"/>
                <w:szCs w:val="14"/>
              </w:rPr>
              <w:t>a+b+c</w:t>
            </w:r>
            <w:proofErr w:type="spellEnd"/>
            <w:r w:rsidRPr="00AC5C7D">
              <w:rPr>
                <w:b/>
                <w:bCs/>
                <w:sz w:val="14"/>
                <w:szCs w:val="14"/>
              </w:rPr>
              <w: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8,955,597</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10,199,670</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12,336,664</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11,639,710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12,336,664</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13,171,974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13,225,470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14,155,911</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14,562,872</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5"/>
              </w:numPr>
              <w:ind w:left="342" w:hanging="180"/>
              <w:jc w:val="left"/>
              <w:rPr>
                <w:b/>
                <w:bCs/>
                <w:sz w:val="14"/>
                <w:szCs w:val="14"/>
              </w:rPr>
            </w:pPr>
            <w:r w:rsidRPr="00AC5C7D">
              <w:rPr>
                <w:b/>
                <w:bCs/>
                <w:sz w:val="14"/>
                <w:szCs w:val="14"/>
              </w:rPr>
              <w:t>Borrowings for Budgetary support</w:t>
            </w:r>
            <w:r>
              <w:rPr>
                <w:b/>
                <w:bCs/>
                <w:sz w:val="14"/>
                <w:szCs w:val="14"/>
              </w:rPr>
              <w:t xml:space="preserve"> </w:t>
            </w:r>
            <w:r w:rsidRPr="007114E7">
              <w:rPr>
                <w:b/>
                <w:bCs/>
                <w:sz w:val="14"/>
                <w:szCs w:val="14"/>
                <w:vertAlign w:val="superscript"/>
              </w:rPr>
              <w:t>1</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8,282,074</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9,392,960</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11,596,468</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10,895,071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11,596,468</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12,562,925</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12,597,476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13,351,104</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13,763,948</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w:t>
            </w:r>
            <w:proofErr w:type="spellStart"/>
            <w:r w:rsidRPr="00AC5C7D">
              <w:rPr>
                <w:sz w:val="14"/>
                <w:szCs w:val="14"/>
              </w:rPr>
              <w:t>i</w:t>
            </w:r>
            <w:proofErr w:type="spellEnd"/>
            <w:r w:rsidRPr="00AC5C7D">
              <w:rPr>
                <w:sz w:val="14"/>
                <w:szCs w:val="14"/>
              </w:rPr>
              <w:t xml:space="preserve">) From SBP </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2,350,109</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3,613,406</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6,691,870</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6,194,713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6,691,870</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6,211,471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5,955,402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6,390,482</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6,556,991</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2,440,624</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3,667,619</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6,833,275</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6,453,541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6,833,275</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6,680,302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6,460,468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6,764,664</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6,768,318</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of which deposits with SBP </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(91,238)</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(40,546)</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(967,305)</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(821,625)</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(967,305)</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(1,119,397)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(1,393,946)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(1,189,040)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(546,371)</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b) Provincial Government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(88,555)</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(43,840)</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(127,135)</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(226,707)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(127,135)</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(430,303)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(469,805)</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(333,568)</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(192,737)</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w:t>
            </w:r>
            <w:proofErr w:type="spellStart"/>
            <w:r w:rsidRPr="00AC5C7D">
              <w:rPr>
                <w:sz w:val="14"/>
                <w:szCs w:val="14"/>
              </w:rPr>
              <w:t>Balochistan</w:t>
            </w:r>
            <w:proofErr w:type="spellEnd"/>
            <w:r w:rsidRPr="00AC5C7D">
              <w:rPr>
                <w:sz w:val="14"/>
                <w:szCs w:val="14"/>
              </w:rPr>
              <w:t xml:space="preserve"> Government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(1,460)</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(5,329)</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(19,072)</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(36,336)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(19,072)</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(75,766)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(73,121)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(77,110)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(39,105)</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Khyber  Pakhtunkhwa Government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(30,245)</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(23,945)</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(16,983)</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(37,336)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(16,983)</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(81,103)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(70,034)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(44,380)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(8,321)</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Punjab Government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(38,146)</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(5,114)</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(70,339)</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(121,768)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(70,339)</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(189,335)</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(226,444)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(152,502)</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(81,570)</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Sindh Government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(18,704)</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(9,453)</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(20,741)</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(31,266)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(20,741)</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(84,098)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(100,207)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(59,576)</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(63,741)</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c) AJK Government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7,279</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5,515</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(97)</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(10,450)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(97)</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(18,366)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(16,331)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(19,451)</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(5,047)</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d) </w:t>
            </w:r>
            <w:proofErr w:type="spellStart"/>
            <w:r w:rsidRPr="00AC5C7D">
              <w:rPr>
                <w:sz w:val="14"/>
                <w:szCs w:val="14"/>
              </w:rPr>
              <w:t>Gilgit</w:t>
            </w:r>
            <w:proofErr w:type="spellEnd"/>
            <w:r w:rsidRPr="00AC5C7D">
              <w:rPr>
                <w:sz w:val="14"/>
                <w:szCs w:val="14"/>
              </w:rPr>
              <w:t>-Baltistan</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(9,239)</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(15,888)</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(14,174)</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(21,671)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(14,174)</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(20,162)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(18,930)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(21,163)</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(13,543)</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(ii) From Scheduled banks (</w:t>
            </w:r>
            <w:proofErr w:type="spellStart"/>
            <w:r w:rsidRPr="00AC5C7D">
              <w:rPr>
                <w:sz w:val="14"/>
                <w:szCs w:val="14"/>
              </w:rPr>
              <w:t>a+b</w:t>
            </w:r>
            <w:proofErr w:type="spellEnd"/>
            <w:r w:rsidRPr="00AC5C7D">
              <w:rPr>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sz w:val="14"/>
                <w:szCs w:val="14"/>
              </w:rPr>
            </w:pPr>
            <w:r>
              <w:rPr>
                <w:sz w:val="14"/>
                <w:szCs w:val="14"/>
              </w:rPr>
              <w:t>5,931,965</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5,779,554</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4,904,598</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4,700,359</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4,904,598</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6,351,454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6,642,074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6,960,622</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7,206,957</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a) Federal Government</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6,631,399</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6,523,418</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5,753,677</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5,541,327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5,753,677</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7,259,336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7,550,618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7,859,440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8,228,342</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sz w:val="14"/>
                <w:szCs w:val="14"/>
              </w:rPr>
            </w:pPr>
            <w:r>
              <w:rPr>
                <w:sz w:val="14"/>
                <w:szCs w:val="14"/>
              </w:rPr>
              <w:t>(883,796)</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(1,083,755)</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(1,228,344)</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(1,103,874)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(1,228,344)</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(1,257,478)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(1,279,719)</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(1,467,984)</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(1,366,088)</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b) Provincial Government </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(699,434)</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(743,864)</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(849,079)</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(840,969)</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(849,079)</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(907,882)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(908,544)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(898,818)</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(1,021,385)</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                of which deposits with banks</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(700,458)</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(744,888)</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(850,103)</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(841,993)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(850,103)</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(908,906)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(909,568)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(899,842)</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(1,022,409)</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5"/>
              </w:numPr>
              <w:ind w:left="342" w:hanging="180"/>
              <w:jc w:val="left"/>
              <w:rPr>
                <w:b/>
                <w:bCs/>
                <w:sz w:val="14"/>
                <w:szCs w:val="14"/>
              </w:rPr>
            </w:pPr>
            <w:r w:rsidRPr="00AC5C7D">
              <w:rPr>
                <w:b/>
                <w:bCs/>
                <w:sz w:val="14"/>
                <w:szCs w:val="14"/>
              </w:rPr>
              <w:t>Commodity operations</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686,508</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819,680</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756,416</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759,511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756,416</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619,257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639,926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820,760</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813,435</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5"/>
              </w:numPr>
              <w:ind w:left="342" w:hanging="180"/>
              <w:jc w:val="left"/>
              <w:rPr>
                <w:b/>
                <w:bCs/>
                <w:sz w:val="14"/>
                <w:szCs w:val="14"/>
              </w:rPr>
            </w:pPr>
            <w:r w:rsidRPr="00AC5C7D">
              <w:rPr>
                <w:b/>
                <w:bCs/>
                <w:sz w:val="14"/>
                <w:szCs w:val="14"/>
              </w:rPr>
              <w:t>Others</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(12,985)</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(12,971)</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(16,220)</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(14,873)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(16,220)</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(10,208)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(11,932)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(15,953)</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(14,510)</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numPr>
                <w:ilvl w:val="0"/>
                <w:numId w:val="4"/>
              </w:numPr>
              <w:ind w:left="252" w:hanging="252"/>
              <w:jc w:val="left"/>
              <w:rPr>
                <w:b/>
                <w:bCs/>
                <w:sz w:val="14"/>
                <w:szCs w:val="14"/>
              </w:rPr>
            </w:pPr>
            <w:r>
              <w:rPr>
                <w:b/>
                <w:bCs/>
                <w:sz w:val="14"/>
                <w:szCs w:val="14"/>
              </w:rPr>
              <w:t>Credit to Non-Gov</w:t>
            </w:r>
            <w:r w:rsidRPr="00AC5C7D">
              <w:rPr>
                <w:b/>
                <w:bCs/>
                <w:sz w:val="14"/>
                <w:szCs w:val="14"/>
              </w:rPr>
              <w:t>t</w:t>
            </w:r>
            <w:r>
              <w:rPr>
                <w:b/>
                <w:bCs/>
                <w:sz w:val="14"/>
                <w:szCs w:val="14"/>
              </w:rPr>
              <w:t>.</w:t>
            </w:r>
            <w:r w:rsidRPr="00AC5C7D">
              <w:rPr>
                <w:b/>
                <w:bCs/>
                <w:sz w:val="14"/>
                <w:szCs w:val="14"/>
              </w:rPr>
              <w:t xml:space="preserve"> Sector (</w:t>
            </w:r>
            <w:proofErr w:type="spellStart"/>
            <w:r w:rsidRPr="00AC5C7D">
              <w:rPr>
                <w:b/>
                <w:bCs/>
                <w:sz w:val="14"/>
                <w:szCs w:val="14"/>
              </w:rPr>
              <w:t>a+b+c+d</w:t>
            </w:r>
            <w:proofErr w:type="spellEnd"/>
            <w:r w:rsidRPr="00AC5C7D">
              <w:rPr>
                <w:b/>
                <w:bCs/>
                <w:sz w:val="14"/>
                <w:szCs w:val="14"/>
              </w:rPr>
              <w:t>)</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b/>
                <w:bCs/>
                <w:sz w:val="14"/>
                <w:szCs w:val="14"/>
              </w:rPr>
            </w:pPr>
            <w:r>
              <w:rPr>
                <w:b/>
                <w:bCs/>
                <w:sz w:val="14"/>
                <w:szCs w:val="14"/>
              </w:rPr>
              <w:t>6,011,267</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7,033,598</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8,072,803</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7,990,665</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8,072,803</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8,400,646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8,366,843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8,489,141</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8,368,029</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numPr>
                <w:ilvl w:val="0"/>
                <w:numId w:val="6"/>
              </w:numPr>
              <w:ind w:left="342" w:hanging="177"/>
              <w:jc w:val="left"/>
              <w:rPr>
                <w:b/>
                <w:bCs/>
                <w:sz w:val="14"/>
                <w:szCs w:val="14"/>
              </w:rPr>
            </w:pPr>
            <w:r w:rsidRPr="00AC5C7D">
              <w:rPr>
                <w:b/>
                <w:bCs/>
                <w:sz w:val="14"/>
                <w:szCs w:val="14"/>
              </w:rPr>
              <w:t>Credit to Private Sector*</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b/>
                <w:bCs/>
                <w:sz w:val="14"/>
                <w:szCs w:val="14"/>
              </w:rPr>
            </w:pPr>
            <w:r>
              <w:rPr>
                <w:b/>
                <w:bCs/>
                <w:sz w:val="14"/>
                <w:szCs w:val="14"/>
              </w:rPr>
              <w:t>5,197,473</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5,972,968</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6,666,505</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6,601,372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6,666,505</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6,989,708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6,969,798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6,955,373</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6,862,862</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ind w:firstLineChars="200" w:firstLine="280"/>
              <w:jc w:val="left"/>
              <w:rPr>
                <w:sz w:val="14"/>
                <w:szCs w:val="14"/>
              </w:rPr>
            </w:pPr>
            <w:r>
              <w:rPr>
                <w:sz w:val="14"/>
                <w:szCs w:val="14"/>
              </w:rPr>
              <w:t xml:space="preserve">  </w:t>
            </w:r>
            <w:r w:rsidRPr="00AC5C7D">
              <w:rPr>
                <w:sz w:val="14"/>
                <w:szCs w:val="14"/>
              </w:rPr>
              <w:t>Conventional Banking Branches</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sz w:val="14"/>
                <w:szCs w:val="14"/>
              </w:rPr>
            </w:pPr>
            <w:r>
              <w:rPr>
                <w:sz w:val="14"/>
                <w:szCs w:val="14"/>
              </w:rPr>
              <w:t>4,241,174</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4,789,627</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5,276,240</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5,214,851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5,276,240</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5,420,653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5,399,528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5,358,512</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5,305,518</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ind w:firstLineChars="200" w:firstLine="280"/>
              <w:jc w:val="left"/>
              <w:rPr>
                <w:sz w:val="14"/>
                <w:szCs w:val="14"/>
              </w:rPr>
            </w:pPr>
            <w:r>
              <w:rPr>
                <w:sz w:val="14"/>
                <w:szCs w:val="14"/>
              </w:rPr>
              <w:t xml:space="preserve">   </w:t>
            </w:r>
            <w:r w:rsidRPr="00AC5C7D">
              <w:rPr>
                <w:sz w:val="14"/>
                <w:szCs w:val="14"/>
              </w:rPr>
              <w:t>Islamic Banks</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sz w:val="14"/>
                <w:szCs w:val="14"/>
              </w:rPr>
            </w:pPr>
            <w:r>
              <w:rPr>
                <w:sz w:val="14"/>
                <w:szCs w:val="14"/>
              </w:rPr>
              <w:t>628,335</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732,195</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835,105</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825,774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835,105</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901,942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891,049</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885,279</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868,473</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ind w:firstLineChars="200" w:firstLine="280"/>
              <w:jc w:val="left"/>
              <w:rPr>
                <w:sz w:val="14"/>
                <w:szCs w:val="14"/>
              </w:rPr>
            </w:pPr>
            <w:r>
              <w:rPr>
                <w:sz w:val="14"/>
                <w:szCs w:val="14"/>
              </w:rPr>
              <w:t xml:space="preserve">   Islamic Banking Branches</w:t>
            </w:r>
            <w:r w:rsidRPr="00AC5C7D">
              <w:rPr>
                <w:sz w:val="14"/>
                <w:szCs w:val="14"/>
              </w:rPr>
              <w:t xml:space="preserve"> of Conventional Banks</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sz w:val="14"/>
                <w:szCs w:val="14"/>
              </w:rPr>
            </w:pPr>
            <w:r>
              <w:rPr>
                <w:sz w:val="14"/>
                <w:szCs w:val="14"/>
              </w:rPr>
              <w:t>327,963</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451,146</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555,160</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560,747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555,160</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667,113</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679,221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711,583</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688,871</w:t>
            </w:r>
          </w:p>
        </w:tc>
      </w:tr>
      <w:tr w:rsidR="00DF6C02" w:rsidRPr="00247299" w:rsidTr="00AB7A08">
        <w:trPr>
          <w:trHeight w:hRule="exact" w:val="230"/>
          <w:jc w:val="center"/>
        </w:trPr>
        <w:tc>
          <w:tcPr>
            <w:tcW w:w="3337" w:type="dxa"/>
            <w:tcBorders>
              <w:top w:val="nil"/>
              <w:left w:val="nil"/>
              <w:bottom w:val="nil"/>
              <w:right w:val="nil"/>
            </w:tcBorders>
            <w:shd w:val="clear" w:color="auto" w:fill="auto"/>
            <w:tcMar>
              <w:left w:w="86" w:type="dxa"/>
              <w:right w:w="29" w:type="dxa"/>
            </w:tcMar>
            <w:vAlign w:val="center"/>
            <w:hideMark/>
          </w:tcPr>
          <w:p w:rsidR="00DF6C02" w:rsidRPr="00AC5C7D" w:rsidRDefault="00DF6C02" w:rsidP="00C81E06">
            <w:pPr>
              <w:numPr>
                <w:ilvl w:val="0"/>
                <w:numId w:val="6"/>
              </w:numPr>
              <w:ind w:left="342" w:hanging="177"/>
              <w:jc w:val="left"/>
              <w:rPr>
                <w:b/>
                <w:bCs/>
                <w:sz w:val="14"/>
                <w:szCs w:val="14"/>
              </w:rPr>
            </w:pPr>
            <w:r w:rsidRPr="00AC5C7D">
              <w:rPr>
                <w:b/>
                <w:bCs/>
                <w:sz w:val="14"/>
                <w:szCs w:val="14"/>
              </w:rPr>
              <w:t>Credit to PSEs</w:t>
            </w:r>
          </w:p>
        </w:tc>
        <w:tc>
          <w:tcPr>
            <w:tcW w:w="777"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822,797</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1,068,199</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1,394,221</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1,394,981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1,394,221</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1,397,687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1,383,671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1,519,545</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1,490,522</w:t>
            </w:r>
          </w:p>
        </w:tc>
      </w:tr>
      <w:tr w:rsidR="00DF6C02" w:rsidRPr="00247299" w:rsidTr="00AB7A08">
        <w:trPr>
          <w:trHeight w:hRule="exact" w:val="189"/>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numPr>
                <w:ilvl w:val="0"/>
                <w:numId w:val="6"/>
              </w:numPr>
              <w:ind w:left="342" w:hanging="177"/>
              <w:jc w:val="left"/>
              <w:rPr>
                <w:b/>
                <w:bCs/>
                <w:sz w:val="14"/>
                <w:szCs w:val="14"/>
              </w:rPr>
            </w:pPr>
            <w:r>
              <w:rPr>
                <w:b/>
                <w:bCs/>
                <w:sz w:val="14"/>
                <w:szCs w:val="14"/>
              </w:rPr>
              <w:t>PSEs Special a/c-d</w:t>
            </w:r>
            <w:r w:rsidRPr="00AC5C7D">
              <w:rPr>
                <w:b/>
                <w:bCs/>
                <w:sz w:val="14"/>
                <w:szCs w:val="14"/>
              </w:rPr>
              <w:t xml:space="preserve">ebt Repayment </w:t>
            </w:r>
            <w:r w:rsidRPr="00770CFE">
              <w:rPr>
                <w:b/>
                <w:bCs/>
                <w:sz w:val="14"/>
                <w:szCs w:val="14"/>
              </w:rPr>
              <w:t>with BP/PSPC</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b/>
                <w:bCs/>
                <w:sz w:val="14"/>
                <w:szCs w:val="14"/>
              </w:rPr>
            </w:pPr>
            <w:r>
              <w:rPr>
                <w:b/>
                <w:bCs/>
                <w:sz w:val="14"/>
                <w:szCs w:val="14"/>
              </w:rPr>
              <w:t>(24,244)</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(24,244)</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(24,244)</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(24,244)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(24,244)</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(24,244)</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numPr>
                <w:ilvl w:val="0"/>
                <w:numId w:val="6"/>
              </w:numPr>
              <w:ind w:left="342" w:hanging="177"/>
              <w:jc w:val="left"/>
              <w:rPr>
                <w:b/>
                <w:bCs/>
                <w:sz w:val="14"/>
                <w:szCs w:val="14"/>
              </w:rPr>
            </w:pPr>
            <w:r w:rsidRPr="00AC5C7D">
              <w:rPr>
                <w:b/>
                <w:bCs/>
                <w:sz w:val="14"/>
                <w:szCs w:val="14"/>
              </w:rPr>
              <w:t>Credit to NBFIs</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b/>
                <w:bCs/>
                <w:sz w:val="14"/>
                <w:szCs w:val="14"/>
              </w:rPr>
            </w:pPr>
            <w:r>
              <w:rPr>
                <w:b/>
                <w:bCs/>
                <w:sz w:val="14"/>
                <w:szCs w:val="14"/>
              </w:rPr>
              <w:t>15,241</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16,675</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36,321</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18,556</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36,321</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37,494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37,618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38,466</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38,889</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numPr>
                <w:ilvl w:val="0"/>
                <w:numId w:val="4"/>
              </w:numPr>
              <w:ind w:left="252" w:hanging="252"/>
              <w:jc w:val="left"/>
              <w:rPr>
                <w:b/>
                <w:bCs/>
                <w:sz w:val="14"/>
                <w:szCs w:val="14"/>
              </w:rPr>
            </w:pPr>
            <w:r w:rsidRPr="00AC5C7D">
              <w:rPr>
                <w:b/>
                <w:bCs/>
                <w:sz w:val="14"/>
                <w:szCs w:val="14"/>
              </w:rPr>
              <w:t>Other Items  (net)</w:t>
            </w:r>
            <w:r>
              <w:rPr>
                <w:b/>
                <w:bCs/>
                <w:sz w:val="14"/>
                <w:szCs w:val="14"/>
              </w:rPr>
              <w:t xml:space="preserve"> *</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b/>
                <w:bCs/>
                <w:sz w:val="14"/>
                <w:szCs w:val="14"/>
              </w:rPr>
            </w:pPr>
            <w:r>
              <w:rPr>
                <w:b/>
                <w:bCs/>
                <w:sz w:val="14"/>
                <w:szCs w:val="14"/>
              </w:rPr>
              <w:t>(988,031)</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(1,027,682)</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(1,103,892)</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(1,267,561)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(1,103,892)</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(1,544,160)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(1,726,264)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(1,720,181)</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(1,510,739)</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jc w:val="left"/>
              <w:rPr>
                <w:b/>
                <w:bCs/>
                <w:sz w:val="14"/>
                <w:szCs w:val="14"/>
              </w:rPr>
            </w:pPr>
            <w:r w:rsidRPr="00AC5C7D">
              <w:rPr>
                <w:b/>
                <w:bCs/>
                <w:sz w:val="14"/>
                <w:szCs w:val="14"/>
              </w:rPr>
              <w:t>Broad Money M2  (A+B)</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b/>
                <w:bCs/>
                <w:sz w:val="14"/>
                <w:szCs w:val="14"/>
              </w:rPr>
            </w:pPr>
            <w:r>
              <w:rPr>
                <w:b/>
                <w:bCs/>
                <w:sz w:val="14"/>
                <w:szCs w:val="14"/>
              </w:rPr>
              <w:t>14,580,882</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15,997,162</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17,798,494</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17,102,511</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b/>
                <w:bCs/>
                <w:sz w:val="14"/>
                <w:szCs w:val="14"/>
              </w:rPr>
            </w:pPr>
            <w:r>
              <w:rPr>
                <w:b/>
                <w:bCs/>
                <w:sz w:val="14"/>
                <w:szCs w:val="14"/>
              </w:rPr>
              <w:t>17,798,494</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b/>
                <w:bCs/>
                <w:sz w:val="14"/>
                <w:szCs w:val="14"/>
              </w:rPr>
            </w:pPr>
            <w:r>
              <w:rPr>
                <w:b/>
                <w:bCs/>
                <w:sz w:val="14"/>
                <w:szCs w:val="14"/>
              </w:rPr>
              <w:t>19,318,460</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19,259,188</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b/>
                <w:bCs/>
                <w:sz w:val="14"/>
                <w:szCs w:val="14"/>
              </w:rPr>
            </w:pPr>
            <w:r>
              <w:rPr>
                <w:b/>
                <w:bCs/>
                <w:sz w:val="14"/>
                <w:szCs w:val="14"/>
              </w:rPr>
              <w:t>20,071,827</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b/>
                <w:bCs/>
                <w:sz w:val="14"/>
                <w:szCs w:val="14"/>
              </w:rPr>
            </w:pPr>
            <w:r>
              <w:rPr>
                <w:b/>
                <w:bCs/>
                <w:sz w:val="14"/>
                <w:szCs w:val="14"/>
              </w:rPr>
              <w:t>20,905,242</w:t>
            </w: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numPr>
                <w:ilvl w:val="0"/>
                <w:numId w:val="1"/>
              </w:numPr>
              <w:ind w:left="162" w:hanging="270"/>
              <w:jc w:val="left"/>
              <w:rPr>
                <w:b/>
                <w:bCs/>
                <w:sz w:val="14"/>
                <w:szCs w:val="14"/>
              </w:rPr>
            </w:pPr>
            <w:r w:rsidRPr="00AC5C7D">
              <w:rPr>
                <w:b/>
                <w:bCs/>
                <w:sz w:val="14"/>
                <w:szCs w:val="14"/>
              </w:rPr>
              <w:t>Memorandum Items</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Pr="00B000A9" w:rsidRDefault="00DF6C02" w:rsidP="00C81E06">
            <w:pPr>
              <w:jc w:val="right"/>
              <w:rPr>
                <w:sz w:val="14"/>
                <w:szCs w:val="14"/>
              </w:rPr>
            </w:pPr>
          </w:p>
        </w:tc>
        <w:tc>
          <w:tcPr>
            <w:tcW w:w="769" w:type="dxa"/>
            <w:tcBorders>
              <w:top w:val="nil"/>
              <w:left w:val="nil"/>
              <w:bottom w:val="nil"/>
              <w:right w:val="nil"/>
            </w:tcBorders>
            <w:shd w:val="clear" w:color="auto" w:fill="auto"/>
            <w:tcMar>
              <w:left w:w="29" w:type="dxa"/>
              <w:right w:w="29" w:type="dxa"/>
            </w:tcMar>
            <w:vAlign w:val="center"/>
          </w:tcPr>
          <w:p w:rsidR="00DF6C02" w:rsidRPr="00B000A9" w:rsidRDefault="00DF6C02" w:rsidP="00C81E06">
            <w:pPr>
              <w:jc w:val="right"/>
              <w:rPr>
                <w:sz w:val="14"/>
                <w:szCs w:val="14"/>
              </w:rPr>
            </w:pPr>
          </w:p>
        </w:tc>
        <w:tc>
          <w:tcPr>
            <w:tcW w:w="786" w:type="dxa"/>
            <w:tcBorders>
              <w:top w:val="nil"/>
              <w:left w:val="nil"/>
              <w:bottom w:val="nil"/>
              <w:right w:val="nil"/>
            </w:tcBorders>
            <w:shd w:val="clear" w:color="auto" w:fill="auto"/>
            <w:tcMar>
              <w:left w:w="29" w:type="dxa"/>
              <w:right w:w="29" w:type="dxa"/>
            </w:tcMar>
            <w:vAlign w:val="center"/>
          </w:tcPr>
          <w:p w:rsidR="00DF6C02" w:rsidRPr="00B000A9" w:rsidRDefault="00DF6C02" w:rsidP="00C81E06">
            <w:pPr>
              <w:jc w:val="right"/>
              <w:rPr>
                <w:sz w:val="14"/>
                <w:szCs w:val="14"/>
              </w:rPr>
            </w:pP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20"/>
              </w:rPr>
            </w:pP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20"/>
              </w:rPr>
            </w:pP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20"/>
              </w:rPr>
            </w:pP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20"/>
              </w:rPr>
            </w:pPr>
          </w:p>
        </w:tc>
      </w:tr>
      <w:tr w:rsidR="00DF6C02" w:rsidRPr="00247299" w:rsidTr="00AB7A08">
        <w:trPr>
          <w:trHeight w:hRule="exact" w:val="230"/>
          <w:jc w:val="center"/>
        </w:trPr>
        <w:tc>
          <w:tcPr>
            <w:tcW w:w="3337" w:type="dxa"/>
            <w:tcBorders>
              <w:top w:val="nil"/>
              <w:left w:val="nil"/>
              <w:bottom w:val="nil"/>
              <w:right w:val="nil"/>
            </w:tcBorders>
            <w:shd w:val="clear" w:color="auto" w:fill="auto"/>
            <w:noWrap/>
            <w:tcMar>
              <w:left w:w="86" w:type="dxa"/>
              <w:right w:w="29" w:type="dxa"/>
            </w:tcMar>
            <w:vAlign w:val="center"/>
            <w:hideMark/>
          </w:tcPr>
          <w:p w:rsidR="00DF6C02" w:rsidRPr="00AC5C7D" w:rsidRDefault="00DF6C02" w:rsidP="00C81E06">
            <w:pPr>
              <w:jc w:val="left"/>
              <w:rPr>
                <w:sz w:val="14"/>
                <w:szCs w:val="14"/>
              </w:rPr>
            </w:pPr>
            <w:r w:rsidRPr="00AC5C7D">
              <w:rPr>
                <w:sz w:val="14"/>
                <w:szCs w:val="14"/>
              </w:rPr>
              <w:t>Accrued Profit on SBP holdings of MRTBs/MTBs</w:t>
            </w:r>
          </w:p>
        </w:tc>
        <w:tc>
          <w:tcPr>
            <w:tcW w:w="777" w:type="dxa"/>
            <w:tcBorders>
              <w:top w:val="nil"/>
              <w:left w:val="nil"/>
              <w:bottom w:val="nil"/>
              <w:right w:val="nil"/>
            </w:tcBorders>
            <w:shd w:val="clear" w:color="auto" w:fill="auto"/>
            <w:noWrap/>
            <w:tcMar>
              <w:left w:w="29" w:type="dxa"/>
              <w:right w:w="29" w:type="dxa"/>
            </w:tcMar>
            <w:vAlign w:val="center"/>
            <w:hideMark/>
          </w:tcPr>
          <w:p w:rsidR="00DF6C02" w:rsidRDefault="00DF6C02" w:rsidP="00C81E06">
            <w:pPr>
              <w:jc w:val="right"/>
              <w:rPr>
                <w:sz w:val="14"/>
                <w:szCs w:val="14"/>
              </w:rPr>
            </w:pPr>
            <w:r>
              <w:rPr>
                <w:sz w:val="14"/>
                <w:szCs w:val="14"/>
              </w:rPr>
              <w:t>50,463</w:t>
            </w:r>
          </w:p>
        </w:tc>
        <w:tc>
          <w:tcPr>
            <w:tcW w:w="769"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73,953</w:t>
            </w:r>
          </w:p>
        </w:tc>
        <w:tc>
          <w:tcPr>
            <w:tcW w:w="786"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2,912</w:t>
            </w:r>
          </w:p>
        </w:tc>
        <w:tc>
          <w:tcPr>
            <w:tcW w:w="81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237,654</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2,912</w:t>
            </w:r>
          </w:p>
        </w:tc>
        <w:tc>
          <w:tcPr>
            <w:tcW w:w="720" w:type="dxa"/>
            <w:tcBorders>
              <w:top w:val="nil"/>
              <w:left w:val="nil"/>
              <w:bottom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285,997</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340,632</w:t>
            </w:r>
          </w:p>
        </w:tc>
        <w:tc>
          <w:tcPr>
            <w:tcW w:w="720" w:type="dxa"/>
            <w:tcBorders>
              <w:top w:val="nil"/>
              <w:left w:val="nil"/>
              <w:bottom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440,488</w:t>
            </w:r>
          </w:p>
        </w:tc>
        <w:tc>
          <w:tcPr>
            <w:tcW w:w="744" w:type="dxa"/>
            <w:tcBorders>
              <w:top w:val="nil"/>
              <w:left w:val="nil"/>
              <w:bottom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83,855</w:t>
            </w:r>
          </w:p>
        </w:tc>
      </w:tr>
      <w:tr w:rsidR="00DF6C02"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F6C02" w:rsidRPr="00AC5C7D" w:rsidRDefault="00DF6C02" w:rsidP="00C81E06">
            <w:pPr>
              <w:jc w:val="left"/>
              <w:rPr>
                <w:sz w:val="14"/>
                <w:szCs w:val="14"/>
              </w:rPr>
            </w:pPr>
            <w:r w:rsidRPr="00AC5C7D">
              <w:rPr>
                <w:sz w:val="14"/>
                <w:szCs w:val="14"/>
              </w:rPr>
              <w:t xml:space="preserve">Outstanding amount of MTBs (realized value in auction) </w:t>
            </w:r>
          </w:p>
        </w:tc>
        <w:tc>
          <w:tcPr>
            <w:tcW w:w="777" w:type="dxa"/>
            <w:tcBorders>
              <w:top w:val="nil"/>
              <w:left w:val="nil"/>
              <w:right w:val="nil"/>
            </w:tcBorders>
            <w:shd w:val="clear" w:color="auto" w:fill="auto"/>
            <w:noWrap/>
            <w:tcMar>
              <w:left w:w="29" w:type="dxa"/>
              <w:right w:w="29" w:type="dxa"/>
            </w:tcMar>
            <w:vAlign w:val="center"/>
            <w:hideMark/>
          </w:tcPr>
          <w:p w:rsidR="00DF6C02" w:rsidRDefault="00DF6C02" w:rsidP="00C81E06">
            <w:pPr>
              <w:jc w:val="right"/>
              <w:rPr>
                <w:sz w:val="14"/>
                <w:szCs w:val="14"/>
              </w:rPr>
            </w:pPr>
            <w:r>
              <w:rPr>
                <w:sz w:val="14"/>
                <w:szCs w:val="14"/>
              </w:rPr>
              <w:t>3,711,754</w:t>
            </w:r>
          </w:p>
        </w:tc>
        <w:tc>
          <w:tcPr>
            <w:tcW w:w="769" w:type="dxa"/>
            <w:tcBorders>
              <w:top w:val="nil"/>
              <w:left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4,743,836</w:t>
            </w:r>
          </w:p>
        </w:tc>
        <w:tc>
          <w:tcPr>
            <w:tcW w:w="786" w:type="dxa"/>
            <w:tcBorders>
              <w:top w:val="nil"/>
              <w:left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4,363,090</w:t>
            </w:r>
          </w:p>
        </w:tc>
        <w:tc>
          <w:tcPr>
            <w:tcW w:w="810" w:type="dxa"/>
            <w:tcBorders>
              <w:top w:val="nil"/>
              <w:left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4,106,154</w:t>
            </w:r>
          </w:p>
        </w:tc>
        <w:tc>
          <w:tcPr>
            <w:tcW w:w="720" w:type="dxa"/>
            <w:tcBorders>
              <w:top w:val="nil"/>
              <w:left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4,363,090</w:t>
            </w:r>
          </w:p>
        </w:tc>
        <w:tc>
          <w:tcPr>
            <w:tcW w:w="720" w:type="dxa"/>
            <w:tcBorders>
              <w:top w:val="nil"/>
              <w:left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4,803,332</w:t>
            </w:r>
          </w:p>
        </w:tc>
        <w:tc>
          <w:tcPr>
            <w:tcW w:w="720" w:type="dxa"/>
            <w:tcBorders>
              <w:top w:val="nil"/>
              <w:left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4,771,148</w:t>
            </w:r>
          </w:p>
        </w:tc>
        <w:tc>
          <w:tcPr>
            <w:tcW w:w="720" w:type="dxa"/>
            <w:tcBorders>
              <w:top w:val="nil"/>
              <w:left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4,950,955</w:t>
            </w:r>
          </w:p>
        </w:tc>
        <w:tc>
          <w:tcPr>
            <w:tcW w:w="744" w:type="dxa"/>
            <w:tcBorders>
              <w:top w:val="nil"/>
              <w:left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4,956,617</w:t>
            </w:r>
          </w:p>
        </w:tc>
      </w:tr>
      <w:tr w:rsidR="00DF6C02"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F6C02" w:rsidRPr="00B53708" w:rsidRDefault="00DF6C02" w:rsidP="00C81E06">
            <w:pPr>
              <w:jc w:val="left"/>
              <w:rPr>
                <w:sz w:val="14"/>
                <w:szCs w:val="14"/>
              </w:rPr>
            </w:pPr>
            <w:r w:rsidRPr="00B53708">
              <w:rPr>
                <w:sz w:val="14"/>
                <w:szCs w:val="14"/>
              </w:rPr>
              <w:t>Net Government Budgetary Borrowing (Cash Basis)</w:t>
            </w:r>
          </w:p>
        </w:tc>
        <w:tc>
          <w:tcPr>
            <w:tcW w:w="777" w:type="dxa"/>
            <w:tcBorders>
              <w:top w:val="nil"/>
              <w:left w:val="nil"/>
              <w:right w:val="nil"/>
            </w:tcBorders>
            <w:shd w:val="clear" w:color="auto" w:fill="auto"/>
            <w:noWrap/>
            <w:tcMar>
              <w:left w:w="29" w:type="dxa"/>
              <w:right w:w="29" w:type="dxa"/>
            </w:tcMar>
            <w:vAlign w:val="center"/>
            <w:hideMark/>
          </w:tcPr>
          <w:p w:rsidR="00DF6C02" w:rsidRDefault="00DF6C02" w:rsidP="00C81E06">
            <w:pPr>
              <w:jc w:val="right"/>
              <w:rPr>
                <w:sz w:val="14"/>
                <w:szCs w:val="14"/>
              </w:rPr>
            </w:pPr>
            <w:r>
              <w:rPr>
                <w:sz w:val="14"/>
                <w:szCs w:val="14"/>
              </w:rPr>
              <w:t>8,163,028</w:t>
            </w:r>
          </w:p>
        </w:tc>
        <w:tc>
          <w:tcPr>
            <w:tcW w:w="769" w:type="dxa"/>
            <w:tcBorders>
              <w:top w:val="nil"/>
              <w:left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9,283,551</w:t>
            </w:r>
          </w:p>
        </w:tc>
        <w:tc>
          <w:tcPr>
            <w:tcW w:w="786" w:type="dxa"/>
            <w:tcBorders>
              <w:top w:val="nil"/>
              <w:left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11,545,893</w:t>
            </w:r>
          </w:p>
        </w:tc>
        <w:tc>
          <w:tcPr>
            <w:tcW w:w="810" w:type="dxa"/>
            <w:tcBorders>
              <w:top w:val="nil"/>
              <w:left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10,642,967</w:t>
            </w:r>
          </w:p>
        </w:tc>
        <w:tc>
          <w:tcPr>
            <w:tcW w:w="720" w:type="dxa"/>
            <w:tcBorders>
              <w:top w:val="nil"/>
              <w:left w:val="nil"/>
              <w:right w:val="nil"/>
            </w:tcBorders>
            <w:shd w:val="clear" w:color="auto" w:fill="auto"/>
            <w:tcMar>
              <w:left w:w="29" w:type="dxa"/>
              <w:right w:w="29" w:type="dxa"/>
            </w:tcMar>
            <w:vAlign w:val="center"/>
          </w:tcPr>
          <w:p w:rsidR="00DF6C02" w:rsidRDefault="00DF6C02" w:rsidP="00DF6C02">
            <w:pPr>
              <w:jc w:val="right"/>
              <w:rPr>
                <w:sz w:val="14"/>
                <w:szCs w:val="14"/>
              </w:rPr>
            </w:pPr>
            <w:r>
              <w:rPr>
                <w:sz w:val="14"/>
                <w:szCs w:val="14"/>
              </w:rPr>
              <w:t>11,545,893</w:t>
            </w:r>
          </w:p>
        </w:tc>
        <w:tc>
          <w:tcPr>
            <w:tcW w:w="720" w:type="dxa"/>
            <w:tcBorders>
              <w:top w:val="nil"/>
              <w:left w:val="nil"/>
              <w:right w:val="nil"/>
            </w:tcBorders>
            <w:shd w:val="clear" w:color="auto" w:fill="auto"/>
            <w:tcMar>
              <w:left w:w="29" w:type="dxa"/>
              <w:right w:w="29" w:type="dxa"/>
            </w:tcMar>
            <w:vAlign w:val="center"/>
            <w:hideMark/>
          </w:tcPr>
          <w:p w:rsidR="00DF6C02" w:rsidRDefault="00DF6C02" w:rsidP="00C81E06">
            <w:pPr>
              <w:jc w:val="right"/>
              <w:rPr>
                <w:sz w:val="14"/>
                <w:szCs w:val="14"/>
              </w:rPr>
            </w:pPr>
            <w:r>
              <w:rPr>
                <w:sz w:val="14"/>
                <w:szCs w:val="14"/>
              </w:rPr>
              <w:t>12,147,705</w:t>
            </w:r>
          </w:p>
        </w:tc>
        <w:tc>
          <w:tcPr>
            <w:tcW w:w="720" w:type="dxa"/>
            <w:tcBorders>
              <w:top w:val="nil"/>
              <w:left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12,063,064</w:t>
            </w:r>
          </w:p>
        </w:tc>
        <w:tc>
          <w:tcPr>
            <w:tcW w:w="720" w:type="dxa"/>
            <w:tcBorders>
              <w:top w:val="nil"/>
              <w:left w:val="nil"/>
              <w:right w:val="nil"/>
            </w:tcBorders>
            <w:shd w:val="clear" w:color="auto" w:fill="auto"/>
            <w:tcMar>
              <w:left w:w="29" w:type="dxa"/>
              <w:right w:w="29" w:type="dxa"/>
            </w:tcMar>
            <w:vAlign w:val="center"/>
          </w:tcPr>
          <w:p w:rsidR="00DF6C02" w:rsidRDefault="00DF6C02" w:rsidP="00C81E06">
            <w:pPr>
              <w:jc w:val="right"/>
              <w:rPr>
                <w:sz w:val="14"/>
                <w:szCs w:val="14"/>
              </w:rPr>
            </w:pPr>
            <w:r>
              <w:rPr>
                <w:sz w:val="14"/>
                <w:szCs w:val="14"/>
              </w:rPr>
              <w:t>12,741,155</w:t>
            </w:r>
          </w:p>
        </w:tc>
        <w:tc>
          <w:tcPr>
            <w:tcW w:w="744" w:type="dxa"/>
            <w:tcBorders>
              <w:top w:val="nil"/>
              <w:left w:val="nil"/>
              <w:right w:val="nil"/>
            </w:tcBorders>
            <w:shd w:val="clear" w:color="auto" w:fill="auto"/>
            <w:noWrap/>
            <w:tcMar>
              <w:left w:w="29" w:type="dxa"/>
              <w:right w:w="29" w:type="dxa"/>
            </w:tcMar>
            <w:vAlign w:val="center"/>
          </w:tcPr>
          <w:p w:rsidR="00DF6C02" w:rsidRDefault="00DF6C02" w:rsidP="00DF6C02">
            <w:pPr>
              <w:jc w:val="right"/>
              <w:rPr>
                <w:sz w:val="14"/>
                <w:szCs w:val="14"/>
              </w:rPr>
            </w:pPr>
            <w:r>
              <w:rPr>
                <w:sz w:val="14"/>
                <w:szCs w:val="14"/>
              </w:rPr>
              <w:t>13,486,453</w:t>
            </w:r>
          </w:p>
        </w:tc>
      </w:tr>
      <w:tr w:rsidR="00DF6C02" w:rsidRPr="00247299" w:rsidTr="00AB7A08">
        <w:trPr>
          <w:trHeight w:hRule="exact" w:val="230"/>
          <w:jc w:val="center"/>
        </w:trPr>
        <w:tc>
          <w:tcPr>
            <w:tcW w:w="3337" w:type="dxa"/>
            <w:tcBorders>
              <w:top w:val="nil"/>
              <w:left w:val="nil"/>
              <w:right w:val="nil"/>
            </w:tcBorders>
            <w:shd w:val="clear" w:color="auto" w:fill="auto"/>
            <w:noWrap/>
            <w:tcMar>
              <w:left w:w="86" w:type="dxa"/>
              <w:right w:w="29" w:type="dxa"/>
            </w:tcMar>
            <w:vAlign w:val="center"/>
            <w:hideMark/>
          </w:tcPr>
          <w:p w:rsidR="00DF6C02" w:rsidRPr="0018778B" w:rsidRDefault="00DF6C02" w:rsidP="00C81E06">
            <w:pPr>
              <w:ind w:firstLine="152"/>
              <w:jc w:val="left"/>
              <w:rPr>
                <w:i/>
                <w:iCs/>
                <w:sz w:val="14"/>
                <w:szCs w:val="14"/>
              </w:rPr>
            </w:pPr>
            <w:r w:rsidRPr="0018778B">
              <w:rPr>
                <w:i/>
                <w:iCs/>
                <w:sz w:val="14"/>
                <w:szCs w:val="14"/>
              </w:rPr>
              <w:t>From SBP</w:t>
            </w:r>
          </w:p>
        </w:tc>
        <w:tc>
          <w:tcPr>
            <w:tcW w:w="777" w:type="dxa"/>
            <w:tcBorders>
              <w:top w:val="nil"/>
              <w:left w:val="nil"/>
              <w:right w:val="nil"/>
            </w:tcBorders>
            <w:shd w:val="clear" w:color="auto" w:fill="auto"/>
            <w:noWrap/>
            <w:tcMar>
              <w:left w:w="29" w:type="dxa"/>
              <w:right w:w="29" w:type="dxa"/>
            </w:tcMar>
            <w:vAlign w:val="center"/>
            <w:hideMark/>
          </w:tcPr>
          <w:p w:rsidR="00DF6C02" w:rsidRDefault="00DF6C02" w:rsidP="00C81E06">
            <w:pPr>
              <w:jc w:val="right"/>
              <w:rPr>
                <w:i/>
                <w:iCs/>
                <w:sz w:val="14"/>
                <w:szCs w:val="14"/>
              </w:rPr>
            </w:pPr>
            <w:r>
              <w:rPr>
                <w:i/>
                <w:iCs/>
                <w:sz w:val="14"/>
                <w:szCs w:val="14"/>
              </w:rPr>
              <w:t>2,299,646</w:t>
            </w:r>
          </w:p>
        </w:tc>
        <w:tc>
          <w:tcPr>
            <w:tcW w:w="769" w:type="dxa"/>
            <w:tcBorders>
              <w:top w:val="nil"/>
              <w:left w:val="nil"/>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3,539,453</w:t>
            </w:r>
          </w:p>
        </w:tc>
        <w:tc>
          <w:tcPr>
            <w:tcW w:w="786" w:type="dxa"/>
            <w:tcBorders>
              <w:top w:val="nil"/>
              <w:left w:val="nil"/>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6,688,958</w:t>
            </w:r>
          </w:p>
        </w:tc>
        <w:tc>
          <w:tcPr>
            <w:tcW w:w="810" w:type="dxa"/>
            <w:tcBorders>
              <w:top w:val="nil"/>
              <w:left w:val="nil"/>
              <w:right w:val="nil"/>
            </w:tcBorders>
            <w:shd w:val="clear" w:color="auto" w:fill="auto"/>
            <w:tcMar>
              <w:left w:w="29" w:type="dxa"/>
              <w:right w:w="29" w:type="dxa"/>
            </w:tcMar>
            <w:vAlign w:val="center"/>
            <w:hideMark/>
          </w:tcPr>
          <w:p w:rsidR="00DF6C02" w:rsidRDefault="00DF6C02" w:rsidP="00C81E06">
            <w:pPr>
              <w:jc w:val="right"/>
              <w:rPr>
                <w:i/>
                <w:iCs/>
                <w:sz w:val="14"/>
                <w:szCs w:val="14"/>
              </w:rPr>
            </w:pPr>
            <w:r>
              <w:rPr>
                <w:i/>
                <w:iCs/>
                <w:sz w:val="14"/>
                <w:szCs w:val="14"/>
              </w:rPr>
              <w:t>5,957,058</w:t>
            </w:r>
          </w:p>
        </w:tc>
        <w:tc>
          <w:tcPr>
            <w:tcW w:w="720" w:type="dxa"/>
            <w:tcBorders>
              <w:top w:val="nil"/>
              <w:left w:val="nil"/>
              <w:right w:val="nil"/>
            </w:tcBorders>
            <w:shd w:val="clear" w:color="auto" w:fill="auto"/>
            <w:tcMar>
              <w:left w:w="29" w:type="dxa"/>
              <w:right w:w="29" w:type="dxa"/>
            </w:tcMar>
            <w:vAlign w:val="center"/>
          </w:tcPr>
          <w:p w:rsidR="00DF6C02" w:rsidRDefault="00DF6C02" w:rsidP="00DF6C02">
            <w:pPr>
              <w:jc w:val="right"/>
              <w:rPr>
                <w:i/>
                <w:iCs/>
                <w:sz w:val="14"/>
                <w:szCs w:val="14"/>
              </w:rPr>
            </w:pPr>
            <w:r>
              <w:rPr>
                <w:i/>
                <w:iCs/>
                <w:sz w:val="14"/>
                <w:szCs w:val="14"/>
              </w:rPr>
              <w:t>6,688,958</w:t>
            </w:r>
          </w:p>
        </w:tc>
        <w:tc>
          <w:tcPr>
            <w:tcW w:w="720" w:type="dxa"/>
            <w:tcBorders>
              <w:top w:val="nil"/>
              <w:left w:val="nil"/>
              <w:right w:val="nil"/>
            </w:tcBorders>
            <w:shd w:val="clear" w:color="auto" w:fill="auto"/>
            <w:tcMar>
              <w:left w:w="29" w:type="dxa"/>
              <w:right w:w="29" w:type="dxa"/>
            </w:tcMar>
            <w:vAlign w:val="center"/>
            <w:hideMark/>
          </w:tcPr>
          <w:p w:rsidR="00DF6C02" w:rsidRDefault="00DF6C02" w:rsidP="00C81E06">
            <w:pPr>
              <w:jc w:val="right"/>
              <w:rPr>
                <w:i/>
                <w:iCs/>
                <w:sz w:val="14"/>
                <w:szCs w:val="14"/>
              </w:rPr>
            </w:pPr>
            <w:r>
              <w:rPr>
                <w:i/>
                <w:iCs/>
                <w:sz w:val="14"/>
                <w:szCs w:val="14"/>
              </w:rPr>
              <w:t>5,925,475</w:t>
            </w:r>
          </w:p>
        </w:tc>
        <w:tc>
          <w:tcPr>
            <w:tcW w:w="720" w:type="dxa"/>
            <w:tcBorders>
              <w:top w:val="nil"/>
              <w:left w:val="nil"/>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5,614,770</w:t>
            </w:r>
          </w:p>
        </w:tc>
        <w:tc>
          <w:tcPr>
            <w:tcW w:w="720" w:type="dxa"/>
            <w:tcBorders>
              <w:top w:val="nil"/>
              <w:left w:val="nil"/>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5,949,994</w:t>
            </w:r>
          </w:p>
        </w:tc>
        <w:tc>
          <w:tcPr>
            <w:tcW w:w="744" w:type="dxa"/>
            <w:tcBorders>
              <w:top w:val="nil"/>
              <w:left w:val="nil"/>
              <w:right w:val="nil"/>
            </w:tcBorders>
            <w:shd w:val="clear" w:color="auto" w:fill="auto"/>
            <w:noWrap/>
            <w:tcMar>
              <w:left w:w="29" w:type="dxa"/>
              <w:right w:w="29" w:type="dxa"/>
            </w:tcMar>
            <w:vAlign w:val="center"/>
          </w:tcPr>
          <w:p w:rsidR="00DF6C02" w:rsidRDefault="00DF6C02" w:rsidP="00DF6C02">
            <w:pPr>
              <w:jc w:val="right"/>
              <w:rPr>
                <w:i/>
                <w:iCs/>
                <w:sz w:val="14"/>
                <w:szCs w:val="14"/>
              </w:rPr>
            </w:pPr>
            <w:r>
              <w:rPr>
                <w:i/>
                <w:iCs/>
                <w:sz w:val="14"/>
                <w:szCs w:val="14"/>
              </w:rPr>
              <w:t>6,473,136</w:t>
            </w:r>
          </w:p>
        </w:tc>
      </w:tr>
      <w:tr w:rsidR="00DF6C02" w:rsidRPr="00247299" w:rsidTr="00AB7A08">
        <w:trPr>
          <w:trHeight w:hRule="exact" w:val="230"/>
          <w:jc w:val="center"/>
        </w:trPr>
        <w:tc>
          <w:tcPr>
            <w:tcW w:w="3337" w:type="dxa"/>
            <w:tcBorders>
              <w:left w:val="nil"/>
              <w:bottom w:val="single" w:sz="12" w:space="0" w:color="auto"/>
              <w:right w:val="nil"/>
            </w:tcBorders>
            <w:shd w:val="clear" w:color="auto" w:fill="auto"/>
            <w:noWrap/>
            <w:tcMar>
              <w:left w:w="86" w:type="dxa"/>
              <w:right w:w="29" w:type="dxa"/>
            </w:tcMar>
            <w:vAlign w:val="center"/>
            <w:hideMark/>
          </w:tcPr>
          <w:p w:rsidR="00DF6C02" w:rsidRPr="0018778B" w:rsidRDefault="00DF6C02" w:rsidP="00C81E06">
            <w:pPr>
              <w:ind w:firstLine="152"/>
              <w:jc w:val="left"/>
              <w:rPr>
                <w:i/>
                <w:iCs/>
                <w:sz w:val="14"/>
                <w:szCs w:val="14"/>
              </w:rPr>
            </w:pPr>
            <w:r w:rsidRPr="0018778B">
              <w:rPr>
                <w:i/>
                <w:iCs/>
                <w:sz w:val="14"/>
                <w:szCs w:val="14"/>
              </w:rPr>
              <w:t>From Scheduled Banks</w:t>
            </w:r>
          </w:p>
        </w:tc>
        <w:tc>
          <w:tcPr>
            <w:tcW w:w="777" w:type="dxa"/>
            <w:tcBorders>
              <w:left w:val="nil"/>
              <w:bottom w:val="single" w:sz="12" w:space="0" w:color="auto"/>
              <w:right w:val="nil"/>
            </w:tcBorders>
            <w:shd w:val="clear" w:color="auto" w:fill="auto"/>
            <w:noWrap/>
            <w:tcMar>
              <w:left w:w="29" w:type="dxa"/>
              <w:right w:w="29" w:type="dxa"/>
            </w:tcMar>
            <w:vAlign w:val="center"/>
            <w:hideMark/>
          </w:tcPr>
          <w:p w:rsidR="00DF6C02" w:rsidRDefault="00DF6C02" w:rsidP="00C81E06">
            <w:pPr>
              <w:jc w:val="right"/>
              <w:rPr>
                <w:i/>
                <w:iCs/>
                <w:sz w:val="14"/>
                <w:szCs w:val="14"/>
              </w:rPr>
            </w:pPr>
            <w:r>
              <w:rPr>
                <w:i/>
                <w:iCs/>
                <w:sz w:val="14"/>
                <w:szCs w:val="14"/>
              </w:rPr>
              <w:t>5,863,382</w:t>
            </w:r>
          </w:p>
        </w:tc>
        <w:tc>
          <w:tcPr>
            <w:tcW w:w="769" w:type="dxa"/>
            <w:tcBorders>
              <w:left w:val="nil"/>
              <w:bottom w:val="single" w:sz="12" w:space="0" w:color="auto"/>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5,744,098</w:t>
            </w:r>
          </w:p>
        </w:tc>
        <w:tc>
          <w:tcPr>
            <w:tcW w:w="786" w:type="dxa"/>
            <w:tcBorders>
              <w:left w:val="nil"/>
              <w:bottom w:val="single" w:sz="12" w:space="0" w:color="auto"/>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4,856,935</w:t>
            </w:r>
          </w:p>
        </w:tc>
        <w:tc>
          <w:tcPr>
            <w:tcW w:w="810" w:type="dxa"/>
            <w:tcBorders>
              <w:left w:val="nil"/>
              <w:bottom w:val="single" w:sz="12" w:space="0" w:color="auto"/>
              <w:right w:val="nil"/>
            </w:tcBorders>
            <w:shd w:val="clear" w:color="auto" w:fill="auto"/>
            <w:tcMar>
              <w:left w:w="29" w:type="dxa"/>
              <w:right w:w="29" w:type="dxa"/>
            </w:tcMar>
            <w:vAlign w:val="center"/>
            <w:hideMark/>
          </w:tcPr>
          <w:p w:rsidR="00DF6C02" w:rsidRDefault="00DF6C02" w:rsidP="00C81E06">
            <w:pPr>
              <w:jc w:val="right"/>
              <w:rPr>
                <w:i/>
                <w:iCs/>
                <w:sz w:val="14"/>
                <w:szCs w:val="14"/>
              </w:rPr>
            </w:pPr>
            <w:r>
              <w:rPr>
                <w:i/>
                <w:iCs/>
                <w:sz w:val="14"/>
                <w:szCs w:val="14"/>
              </w:rPr>
              <w:t>4,685,909</w:t>
            </w:r>
          </w:p>
        </w:tc>
        <w:tc>
          <w:tcPr>
            <w:tcW w:w="720" w:type="dxa"/>
            <w:tcBorders>
              <w:left w:val="nil"/>
              <w:bottom w:val="single" w:sz="12" w:space="0" w:color="auto"/>
              <w:right w:val="nil"/>
            </w:tcBorders>
            <w:shd w:val="clear" w:color="auto" w:fill="auto"/>
            <w:tcMar>
              <w:left w:w="29" w:type="dxa"/>
              <w:right w:w="29" w:type="dxa"/>
            </w:tcMar>
            <w:vAlign w:val="center"/>
          </w:tcPr>
          <w:p w:rsidR="00DF6C02" w:rsidRDefault="00DF6C02" w:rsidP="00DF6C02">
            <w:pPr>
              <w:jc w:val="right"/>
              <w:rPr>
                <w:i/>
                <w:iCs/>
                <w:sz w:val="14"/>
                <w:szCs w:val="14"/>
              </w:rPr>
            </w:pPr>
            <w:r>
              <w:rPr>
                <w:i/>
                <w:iCs/>
                <w:sz w:val="14"/>
                <w:szCs w:val="14"/>
              </w:rPr>
              <w:t>4,856,935</w:t>
            </w:r>
          </w:p>
        </w:tc>
        <w:tc>
          <w:tcPr>
            <w:tcW w:w="720" w:type="dxa"/>
            <w:tcBorders>
              <w:left w:val="nil"/>
              <w:bottom w:val="single" w:sz="12" w:space="0" w:color="auto"/>
              <w:right w:val="nil"/>
            </w:tcBorders>
            <w:shd w:val="clear" w:color="auto" w:fill="auto"/>
            <w:tcMar>
              <w:left w:w="29" w:type="dxa"/>
              <w:right w:w="29" w:type="dxa"/>
            </w:tcMar>
            <w:vAlign w:val="center"/>
            <w:hideMark/>
          </w:tcPr>
          <w:p w:rsidR="00DF6C02" w:rsidRDefault="00DF6C02" w:rsidP="00C81E06">
            <w:pPr>
              <w:jc w:val="right"/>
              <w:rPr>
                <w:i/>
                <w:iCs/>
                <w:sz w:val="14"/>
                <w:szCs w:val="14"/>
              </w:rPr>
            </w:pPr>
            <w:r>
              <w:rPr>
                <w:i/>
                <w:iCs/>
                <w:sz w:val="14"/>
                <w:szCs w:val="14"/>
              </w:rPr>
              <w:t>6,222,230</w:t>
            </w:r>
          </w:p>
        </w:tc>
        <w:tc>
          <w:tcPr>
            <w:tcW w:w="720" w:type="dxa"/>
            <w:tcBorders>
              <w:left w:val="nil"/>
              <w:bottom w:val="single" w:sz="12" w:space="0" w:color="auto"/>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6,448,294</w:t>
            </w:r>
          </w:p>
        </w:tc>
        <w:tc>
          <w:tcPr>
            <w:tcW w:w="720" w:type="dxa"/>
            <w:tcBorders>
              <w:left w:val="nil"/>
              <w:bottom w:val="single" w:sz="12" w:space="0" w:color="auto"/>
              <w:right w:val="nil"/>
            </w:tcBorders>
            <w:shd w:val="clear" w:color="auto" w:fill="auto"/>
            <w:tcMar>
              <w:left w:w="29" w:type="dxa"/>
              <w:right w:w="29" w:type="dxa"/>
            </w:tcMar>
            <w:vAlign w:val="center"/>
          </w:tcPr>
          <w:p w:rsidR="00DF6C02" w:rsidRDefault="00DF6C02" w:rsidP="00C81E06">
            <w:pPr>
              <w:jc w:val="right"/>
              <w:rPr>
                <w:i/>
                <w:iCs/>
                <w:sz w:val="14"/>
                <w:szCs w:val="14"/>
              </w:rPr>
            </w:pPr>
            <w:r>
              <w:rPr>
                <w:i/>
                <w:iCs/>
                <w:sz w:val="14"/>
                <w:szCs w:val="14"/>
              </w:rPr>
              <w:t>6,791,161</w:t>
            </w:r>
          </w:p>
        </w:tc>
        <w:tc>
          <w:tcPr>
            <w:tcW w:w="744" w:type="dxa"/>
            <w:tcBorders>
              <w:left w:val="nil"/>
              <w:bottom w:val="single" w:sz="12" w:space="0" w:color="auto"/>
              <w:right w:val="nil"/>
            </w:tcBorders>
            <w:shd w:val="clear" w:color="auto" w:fill="auto"/>
            <w:noWrap/>
            <w:tcMar>
              <w:left w:w="29" w:type="dxa"/>
              <w:right w:w="29" w:type="dxa"/>
            </w:tcMar>
            <w:vAlign w:val="center"/>
          </w:tcPr>
          <w:p w:rsidR="00DF6C02" w:rsidRDefault="00DF6C02" w:rsidP="00DF6C02">
            <w:pPr>
              <w:jc w:val="right"/>
              <w:rPr>
                <w:i/>
                <w:iCs/>
                <w:sz w:val="14"/>
                <w:szCs w:val="14"/>
              </w:rPr>
            </w:pPr>
            <w:r>
              <w:rPr>
                <w:i/>
                <w:iCs/>
                <w:sz w:val="14"/>
                <w:szCs w:val="14"/>
              </w:rPr>
              <w:t>7,013,317</w:t>
            </w:r>
          </w:p>
        </w:tc>
      </w:tr>
      <w:tr w:rsidR="00C81E06" w:rsidRPr="00247299" w:rsidTr="00261F80">
        <w:trPr>
          <w:trHeight w:hRule="exact" w:val="174"/>
          <w:jc w:val="center"/>
        </w:trPr>
        <w:tc>
          <w:tcPr>
            <w:tcW w:w="10103" w:type="dxa"/>
            <w:gridSpan w:val="10"/>
            <w:tcBorders>
              <w:top w:val="single" w:sz="12" w:space="0" w:color="auto"/>
              <w:left w:val="nil"/>
              <w:right w:val="nil"/>
            </w:tcBorders>
            <w:shd w:val="clear" w:color="auto" w:fill="auto"/>
            <w:noWrap/>
            <w:vAlign w:val="bottom"/>
            <w:hideMark/>
          </w:tcPr>
          <w:p w:rsidR="00C81E06" w:rsidRPr="00247299" w:rsidRDefault="00C81E06" w:rsidP="00C81E06">
            <w:pPr>
              <w:jc w:val="right"/>
              <w:rPr>
                <w:color w:val="auto"/>
                <w:sz w:val="14"/>
                <w:szCs w:val="14"/>
              </w:rPr>
            </w:pPr>
            <w:r>
              <w:rPr>
                <w:sz w:val="14"/>
                <w:szCs w:val="14"/>
              </w:rPr>
              <w:t>Source: Statistics &amp; Data Warehouse Department SBP</w:t>
            </w:r>
            <w:r w:rsidRPr="00247299">
              <w:rPr>
                <w:color w:val="auto"/>
                <w:sz w:val="14"/>
                <w:szCs w:val="14"/>
              </w:rPr>
              <w:t> </w:t>
            </w:r>
          </w:p>
          <w:p w:rsidR="00C81E06" w:rsidRPr="00247299" w:rsidRDefault="00C81E06" w:rsidP="00C81E06">
            <w:pPr>
              <w:jc w:val="right"/>
              <w:rPr>
                <w:rFonts w:ascii="Calibri" w:hAnsi="Calibri"/>
                <w:sz w:val="22"/>
                <w:szCs w:val="22"/>
              </w:rPr>
            </w:pPr>
            <w:r w:rsidRPr="00247299">
              <w:rPr>
                <w:i/>
                <w:iCs/>
                <w:color w:val="auto"/>
                <w:sz w:val="14"/>
                <w:szCs w:val="14"/>
              </w:rPr>
              <w:t> </w:t>
            </w:r>
          </w:p>
        </w:tc>
      </w:tr>
      <w:tr w:rsidR="00C81E06" w:rsidRPr="00916320" w:rsidTr="00916320">
        <w:trPr>
          <w:trHeight w:val="1080"/>
          <w:jc w:val="center"/>
        </w:trPr>
        <w:tc>
          <w:tcPr>
            <w:tcW w:w="10103" w:type="dxa"/>
            <w:gridSpan w:val="10"/>
            <w:tcBorders>
              <w:top w:val="nil"/>
              <w:left w:val="nil"/>
              <w:bottom w:val="nil"/>
              <w:right w:val="nil"/>
            </w:tcBorders>
            <w:shd w:val="clear" w:color="auto" w:fill="auto"/>
            <w:hideMark/>
          </w:tcPr>
          <w:p w:rsidR="00C81E06" w:rsidRPr="00916320" w:rsidRDefault="00C81E06" w:rsidP="00C81E06">
            <w:pPr>
              <w:ind w:left="162" w:hanging="180"/>
              <w:jc w:val="left"/>
              <w:rPr>
                <w:color w:val="auto"/>
                <w:sz w:val="14"/>
                <w:szCs w:val="14"/>
              </w:rPr>
            </w:pPr>
            <w:r w:rsidRPr="00916320">
              <w:rPr>
                <w:color w:val="auto"/>
                <w:sz w:val="14"/>
                <w:szCs w:val="14"/>
              </w:rPr>
              <w:t>1. Excluding IMF A/c Nos. 1 &amp; 2, SAF loan account, counterpart funds, deposits of foreign central banks, foreign governments, international organizations and deposit money banks.</w:t>
            </w:r>
          </w:p>
          <w:p w:rsidR="00C81E06" w:rsidRPr="00916320" w:rsidRDefault="00C81E06" w:rsidP="00C81E06">
            <w:pPr>
              <w:ind w:left="162" w:hanging="180"/>
              <w:jc w:val="left"/>
              <w:rPr>
                <w:color w:val="auto"/>
                <w:sz w:val="14"/>
                <w:szCs w:val="14"/>
              </w:rPr>
            </w:pPr>
            <w:r w:rsidRPr="00916320">
              <w:rPr>
                <w:color w:val="auto"/>
                <w:sz w:val="14"/>
                <w:szCs w:val="14"/>
              </w:rPr>
              <w:t>Note:-</w:t>
            </w:r>
          </w:p>
          <w:p w:rsidR="00C81E06" w:rsidRPr="00916320" w:rsidRDefault="00C81E06" w:rsidP="00C81E06">
            <w:pPr>
              <w:ind w:left="162" w:hanging="180"/>
              <w:jc w:val="left"/>
              <w:rPr>
                <w:color w:val="auto"/>
                <w:sz w:val="14"/>
                <w:szCs w:val="14"/>
              </w:rPr>
            </w:pPr>
            <w:proofErr w:type="spellStart"/>
            <w:r w:rsidRPr="00916320">
              <w:rPr>
                <w:color w:val="auto"/>
                <w:sz w:val="14"/>
                <w:szCs w:val="14"/>
              </w:rPr>
              <w:t>i</w:t>
            </w:r>
            <w:proofErr w:type="spellEnd"/>
            <w:r w:rsidRPr="00916320">
              <w:rPr>
                <w:color w:val="auto"/>
                <w:sz w:val="14"/>
                <w:szCs w:val="14"/>
              </w:rPr>
              <w:t xml:space="preserve"> - Data is based on weekly returns. The quarterly data covers the period up to the last working day of the month and others months data up to the last working day of last week.</w:t>
            </w:r>
          </w:p>
          <w:p w:rsidR="00C81E06" w:rsidRDefault="00C81E06" w:rsidP="00C81E06">
            <w:pPr>
              <w:ind w:left="162" w:hanging="180"/>
              <w:jc w:val="left"/>
              <w:rPr>
                <w:color w:val="auto"/>
                <w:sz w:val="14"/>
                <w:szCs w:val="14"/>
              </w:rPr>
            </w:pPr>
            <w:proofErr w:type="gramStart"/>
            <w:r w:rsidRPr="00916320">
              <w:rPr>
                <w:color w:val="auto"/>
                <w:sz w:val="14"/>
                <w:szCs w:val="14"/>
              </w:rPr>
              <w:t>ii-</w:t>
            </w:r>
            <w:proofErr w:type="gramEnd"/>
            <w:r w:rsidRPr="00916320">
              <w:rPr>
                <w:color w:val="auto"/>
                <w:sz w:val="14"/>
                <w:szCs w:val="14"/>
              </w:rPr>
              <w:t xml:space="preserve"> </w:t>
            </w:r>
            <w:r w:rsidRPr="00C978EF">
              <w:rPr>
                <w:color w:val="auto"/>
                <w:sz w:val="14"/>
                <w:szCs w:val="14"/>
              </w:rPr>
              <w:t>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Detail of changes are available at:</w:t>
            </w:r>
            <w:r>
              <w:t xml:space="preserve"> </w:t>
            </w:r>
            <w:hyperlink r:id="rId18" w:history="1">
              <w:r w:rsidRPr="00846D97">
                <w:rPr>
                  <w:rStyle w:val="Hyperlink"/>
                  <w:sz w:val="14"/>
                  <w:szCs w:val="14"/>
                </w:rPr>
                <w:t>http://www.sbp.org.pk/departments/stats/Expalanatory-Note.pdf</w:t>
              </w:r>
            </w:hyperlink>
          </w:p>
          <w:p w:rsidR="00C81E06" w:rsidRPr="00916320" w:rsidRDefault="00C81E06" w:rsidP="00C81E06">
            <w:pPr>
              <w:ind w:left="162" w:hanging="180"/>
              <w:jc w:val="left"/>
              <w:rPr>
                <w:color w:val="auto"/>
                <w:sz w:val="12"/>
                <w:szCs w:val="12"/>
              </w:rPr>
            </w:pPr>
            <w:r w:rsidRPr="00916320">
              <w:rPr>
                <w:color w:val="auto"/>
                <w:sz w:val="14"/>
                <w:szCs w:val="14"/>
              </w:rPr>
              <w:t xml:space="preserve">* Note: Islamic Financings, Advances (against </w:t>
            </w:r>
            <w:proofErr w:type="spellStart"/>
            <w:r w:rsidRPr="00916320">
              <w:rPr>
                <w:color w:val="auto"/>
                <w:sz w:val="14"/>
                <w:szCs w:val="14"/>
              </w:rPr>
              <w:t>Murabaha</w:t>
            </w:r>
            <w:proofErr w:type="spellEnd"/>
            <w:r w:rsidRPr="00916320">
              <w:rPr>
                <w:color w:val="auto"/>
                <w:sz w:val="14"/>
                <w:szCs w:val="14"/>
              </w:rPr>
              <w:t xml:space="preserve"> </w:t>
            </w:r>
            <w:proofErr w:type="spellStart"/>
            <w:r w:rsidRPr="00916320">
              <w:rPr>
                <w:color w:val="auto"/>
                <w:sz w:val="14"/>
                <w:szCs w:val="14"/>
              </w:rPr>
              <w:t>etc</w:t>
            </w:r>
            <w:proofErr w:type="spellEnd"/>
            <w:r w:rsidRPr="00916320">
              <w:rPr>
                <w:color w:val="auto"/>
                <w:sz w:val="14"/>
                <w:szCs w:val="14"/>
              </w:rPr>
              <w:t xml:space="preserve">), Inventories  and any Other related item(s) pertaining to Islamic Financing  previously reported under Other Assets has been reclassified as credit to private </w:t>
            </w:r>
            <w:proofErr w:type="spellStart"/>
            <w:r w:rsidRPr="00916320">
              <w:rPr>
                <w:color w:val="auto"/>
                <w:sz w:val="14"/>
                <w:szCs w:val="14"/>
              </w:rPr>
              <w:t>sector.Details</w:t>
            </w:r>
            <w:proofErr w:type="spellEnd"/>
            <w:r w:rsidRPr="00916320">
              <w:rPr>
                <w:color w:val="auto"/>
                <w:sz w:val="14"/>
                <w:szCs w:val="14"/>
              </w:rPr>
              <w:t xml:space="preserve"> of reclassifications/revisions are available in revision study on SBP website at:</w:t>
            </w:r>
            <w:r w:rsidRPr="00916320">
              <w:rPr>
                <w:sz w:val="14"/>
                <w:szCs w:val="14"/>
              </w:rPr>
              <w:t xml:space="preserve"> </w:t>
            </w:r>
            <w:hyperlink r:id="rId19" w:history="1">
              <w:r w:rsidRPr="00916320">
                <w:rPr>
                  <w:rStyle w:val="Hyperlink"/>
                  <w:sz w:val="14"/>
                  <w:szCs w:val="14"/>
                </w:rPr>
                <w:t>http://www.sbp.org.pk/ecodata/RSMS.pdf</w:t>
              </w:r>
            </w:hyperlink>
          </w:p>
        </w:tc>
      </w:tr>
    </w:tbl>
    <w:p w:rsidR="008B2948" w:rsidRPr="00D5469A" w:rsidRDefault="008B2948" w:rsidP="0069571C">
      <w:pPr>
        <w:jc w:val="left"/>
        <w:rPr>
          <w:color w:val="auto"/>
        </w:rPr>
      </w:pPr>
    </w:p>
    <w:p w:rsidR="008B2948" w:rsidRPr="00D5469A" w:rsidRDefault="008B2948" w:rsidP="0069571C">
      <w:pPr>
        <w:jc w:val="left"/>
        <w:rPr>
          <w:color w:val="auto"/>
        </w:rPr>
      </w:pPr>
    </w:p>
    <w:p w:rsidR="008B2948" w:rsidRDefault="008B2948" w:rsidP="0069571C">
      <w:pPr>
        <w:jc w:val="left"/>
        <w:rPr>
          <w:color w:val="auto"/>
        </w:rPr>
      </w:pPr>
    </w:p>
    <w:p w:rsidR="00601FB0" w:rsidRDefault="00601FB0" w:rsidP="0069571C">
      <w:pPr>
        <w:jc w:val="left"/>
        <w:rPr>
          <w:color w:val="auto"/>
        </w:rPr>
      </w:pPr>
    </w:p>
    <w:p w:rsidR="000A5CDF" w:rsidRDefault="000A5CDF" w:rsidP="0069571C">
      <w:pPr>
        <w:jc w:val="left"/>
        <w:rPr>
          <w:color w:val="auto"/>
        </w:rPr>
      </w:pPr>
    </w:p>
    <w:tbl>
      <w:tblPr>
        <w:tblW w:w="5045" w:type="pct"/>
        <w:jc w:val="center"/>
        <w:tblLook w:val="04A0" w:firstRow="1" w:lastRow="0" w:firstColumn="1" w:lastColumn="0" w:noHBand="0" w:noVBand="1"/>
      </w:tblPr>
      <w:tblGrid>
        <w:gridCol w:w="5218"/>
        <w:gridCol w:w="1142"/>
        <w:gridCol w:w="1144"/>
        <w:gridCol w:w="1259"/>
        <w:gridCol w:w="1289"/>
      </w:tblGrid>
      <w:tr w:rsidR="00E07EFE" w:rsidRPr="00D5469A" w:rsidTr="00E07EFE">
        <w:trPr>
          <w:trHeight w:val="522"/>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r>
              <w:rPr>
                <w:b/>
                <w:bCs/>
                <w:color w:val="auto"/>
                <w:sz w:val="28"/>
                <w:szCs w:val="28"/>
              </w:rPr>
              <w:t>2.7</w:t>
            </w:r>
            <w:r w:rsidRPr="00D5469A">
              <w:rPr>
                <w:b/>
                <w:bCs/>
                <w:color w:val="auto"/>
                <w:sz w:val="28"/>
                <w:szCs w:val="28"/>
              </w:rPr>
              <w:t xml:space="preserve">  Government Budgetary Borrowing from Banks</w:t>
            </w:r>
          </w:p>
        </w:tc>
      </w:tr>
      <w:tr w:rsidR="00E07EFE" w:rsidRPr="00D5469A" w:rsidTr="001160B1">
        <w:trPr>
          <w:trHeight w:val="108"/>
          <w:jc w:val="center"/>
        </w:trPr>
        <w:tc>
          <w:tcPr>
            <w:tcW w:w="5000" w:type="pct"/>
            <w:gridSpan w:val="5"/>
            <w:tcBorders>
              <w:top w:val="nil"/>
              <w:left w:val="nil"/>
              <w:bottom w:val="nil"/>
              <w:right w:val="nil"/>
            </w:tcBorders>
            <w:shd w:val="clear" w:color="auto" w:fill="auto"/>
            <w:vAlign w:val="center"/>
            <w:hideMark/>
          </w:tcPr>
          <w:p w:rsidR="00E07EFE" w:rsidRPr="00D5469A" w:rsidRDefault="00E07EFE" w:rsidP="00601FB0">
            <w:pPr>
              <w:rPr>
                <w:b/>
                <w:bCs/>
                <w:color w:val="auto"/>
                <w:sz w:val="28"/>
                <w:szCs w:val="28"/>
              </w:rPr>
            </w:pPr>
          </w:p>
        </w:tc>
      </w:tr>
      <w:tr w:rsidR="00E07EFE" w:rsidRPr="00D5469A" w:rsidTr="001160B1">
        <w:trPr>
          <w:trHeight w:val="180"/>
          <w:jc w:val="center"/>
        </w:trPr>
        <w:tc>
          <w:tcPr>
            <w:tcW w:w="5000" w:type="pct"/>
            <w:gridSpan w:val="5"/>
            <w:tcBorders>
              <w:top w:val="nil"/>
              <w:left w:val="nil"/>
              <w:bottom w:val="single" w:sz="12" w:space="0" w:color="auto"/>
              <w:right w:val="nil"/>
            </w:tcBorders>
            <w:shd w:val="clear" w:color="auto" w:fill="auto"/>
            <w:tcMar>
              <w:left w:w="115" w:type="dxa"/>
              <w:right w:w="0" w:type="dxa"/>
            </w:tcMar>
            <w:vAlign w:val="bottom"/>
            <w:hideMark/>
          </w:tcPr>
          <w:p w:rsidR="00E07EFE" w:rsidRPr="00D5469A" w:rsidRDefault="00E07EFE" w:rsidP="00601FB0">
            <w:pPr>
              <w:jc w:val="right"/>
              <w:rPr>
                <w:color w:val="auto"/>
                <w:sz w:val="14"/>
                <w:szCs w:val="14"/>
              </w:rPr>
            </w:pPr>
            <w:r w:rsidRPr="00D5469A">
              <w:rPr>
                <w:color w:val="auto"/>
                <w:sz w:val="14"/>
                <w:szCs w:val="14"/>
              </w:rPr>
              <w:t xml:space="preserve">              (Million Rupees)                                                                                                                                                                                </w:t>
            </w:r>
          </w:p>
        </w:tc>
      </w:tr>
      <w:tr w:rsidR="00E07EFE" w:rsidRPr="00D5469A" w:rsidTr="009168FC">
        <w:trPr>
          <w:cantSplit/>
          <w:trHeight w:hRule="exact" w:val="390"/>
          <w:jc w:val="center"/>
        </w:trPr>
        <w:tc>
          <w:tcPr>
            <w:tcW w:w="2596" w:type="pct"/>
            <w:vMerge w:val="restart"/>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ITEMS</w:t>
            </w:r>
          </w:p>
        </w:tc>
        <w:tc>
          <w:tcPr>
            <w:tcW w:w="1137" w:type="pct"/>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Stocks</w:t>
            </w:r>
          </w:p>
        </w:tc>
        <w:tc>
          <w:tcPr>
            <w:tcW w:w="1267" w:type="pct"/>
            <w:gridSpan w:val="2"/>
            <w:tcBorders>
              <w:top w:val="single" w:sz="12" w:space="0" w:color="auto"/>
              <w:left w:val="single" w:sz="4" w:space="0" w:color="auto"/>
              <w:bottom w:val="single" w:sz="4" w:space="0" w:color="auto"/>
              <w:right w:val="nil"/>
            </w:tcBorders>
            <w:shd w:val="clear" w:color="auto" w:fill="auto"/>
            <w:vAlign w:val="center"/>
            <w:hideMark/>
          </w:tcPr>
          <w:p w:rsidR="00E07EFE" w:rsidRPr="00D5469A" w:rsidRDefault="00E07EFE" w:rsidP="00601FB0">
            <w:pPr>
              <w:rPr>
                <w:b/>
                <w:bCs/>
                <w:color w:val="auto"/>
                <w:sz w:val="18"/>
                <w:szCs w:val="18"/>
              </w:rPr>
            </w:pPr>
            <w:r w:rsidRPr="00D5469A">
              <w:rPr>
                <w:b/>
                <w:bCs/>
                <w:color w:val="auto"/>
                <w:sz w:val="18"/>
                <w:szCs w:val="18"/>
              </w:rPr>
              <w:t>Monetary Impact During</w:t>
            </w:r>
          </w:p>
        </w:tc>
      </w:tr>
      <w:tr w:rsidR="00E07EFE" w:rsidRPr="00D5469A" w:rsidTr="009168FC">
        <w:trPr>
          <w:trHeight w:hRule="exact" w:val="624"/>
          <w:jc w:val="center"/>
        </w:trPr>
        <w:tc>
          <w:tcPr>
            <w:tcW w:w="2596" w:type="pct"/>
            <w:vMerge/>
            <w:tcBorders>
              <w:top w:val="nil"/>
              <w:left w:val="nil"/>
              <w:bottom w:val="single" w:sz="12" w:space="0" w:color="000000"/>
              <w:right w:val="single" w:sz="4" w:space="0" w:color="auto"/>
            </w:tcBorders>
            <w:shd w:val="clear" w:color="auto" w:fill="auto"/>
            <w:vAlign w:val="center"/>
            <w:hideMark/>
          </w:tcPr>
          <w:p w:rsidR="00E07EFE" w:rsidRPr="00D5469A" w:rsidRDefault="00E07EFE" w:rsidP="00601FB0">
            <w:pPr>
              <w:jc w:val="left"/>
              <w:rPr>
                <w:b/>
                <w:bCs/>
                <w:color w:val="auto"/>
                <w:sz w:val="18"/>
                <w:szCs w:val="18"/>
              </w:rPr>
            </w:pPr>
          </w:p>
        </w:tc>
        <w:tc>
          <w:tcPr>
            <w:tcW w:w="568"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rPr>
                <w:b/>
                <w:bCs/>
                <w:color w:val="auto"/>
                <w:szCs w:val="16"/>
              </w:rPr>
            </w:pPr>
            <w:r w:rsidRPr="006619BF">
              <w:rPr>
                <w:b/>
                <w:bCs/>
                <w:color w:val="auto"/>
                <w:szCs w:val="16"/>
              </w:rPr>
              <w:t>30-Jun-1</w:t>
            </w:r>
            <w:r w:rsidR="0000065A">
              <w:rPr>
                <w:b/>
                <w:bCs/>
                <w:color w:val="auto"/>
                <w:szCs w:val="16"/>
              </w:rPr>
              <w:t>9</w:t>
            </w:r>
          </w:p>
        </w:tc>
        <w:tc>
          <w:tcPr>
            <w:tcW w:w="569" w:type="pct"/>
            <w:tcBorders>
              <w:top w:val="nil"/>
              <w:left w:val="single" w:sz="4" w:space="0" w:color="auto"/>
              <w:bottom w:val="single" w:sz="12" w:space="0" w:color="000000"/>
              <w:right w:val="single" w:sz="4" w:space="0" w:color="auto"/>
            </w:tcBorders>
            <w:shd w:val="clear" w:color="auto" w:fill="auto"/>
            <w:vAlign w:val="center"/>
            <w:hideMark/>
          </w:tcPr>
          <w:p w:rsidR="00E07EFE" w:rsidRPr="006619BF" w:rsidRDefault="00E07EFE" w:rsidP="0000065A">
            <w:pPr>
              <w:jc w:val="right"/>
              <w:rPr>
                <w:b/>
                <w:bCs/>
                <w:color w:val="auto"/>
                <w:szCs w:val="16"/>
              </w:rPr>
            </w:pPr>
            <w:r w:rsidRPr="006619BF">
              <w:rPr>
                <w:b/>
                <w:bCs/>
                <w:color w:val="auto"/>
                <w:szCs w:val="16"/>
              </w:rPr>
              <w:t>30-Jun-</w:t>
            </w:r>
            <w:r w:rsidR="0000065A">
              <w:rPr>
                <w:b/>
                <w:bCs/>
                <w:color w:val="auto"/>
                <w:szCs w:val="16"/>
              </w:rPr>
              <w:t>20</w:t>
            </w:r>
          </w:p>
        </w:tc>
        <w:tc>
          <w:tcPr>
            <w:tcW w:w="626" w:type="pct"/>
            <w:tcBorders>
              <w:top w:val="nil"/>
              <w:left w:val="single" w:sz="4" w:space="0" w:color="auto"/>
              <w:bottom w:val="single" w:sz="12" w:space="0" w:color="auto"/>
              <w:right w:val="single" w:sz="4" w:space="0" w:color="auto"/>
            </w:tcBorders>
            <w:shd w:val="clear" w:color="auto" w:fill="auto"/>
            <w:vAlign w:val="center"/>
            <w:hideMark/>
          </w:tcPr>
          <w:p w:rsidR="00E07EFE" w:rsidRPr="006619BF" w:rsidRDefault="00E07EFE" w:rsidP="00960F16">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960F16">
              <w:rPr>
                <w:b/>
                <w:bCs/>
                <w:color w:val="auto"/>
                <w:szCs w:val="16"/>
              </w:rPr>
              <w:t>8</w:t>
            </w:r>
          </w:p>
          <w:p w:rsidR="00E07EFE" w:rsidRPr="006619BF" w:rsidRDefault="00E07EFE" w:rsidP="009D05AF">
            <w:pPr>
              <w:rPr>
                <w:b/>
                <w:bCs/>
                <w:color w:val="auto"/>
                <w:szCs w:val="16"/>
              </w:rPr>
            </w:pPr>
            <w:r w:rsidRPr="006619BF">
              <w:rPr>
                <w:b/>
                <w:bCs/>
                <w:color w:val="auto"/>
                <w:szCs w:val="16"/>
              </w:rPr>
              <w:t>to</w:t>
            </w:r>
          </w:p>
          <w:p w:rsidR="00E07EFE" w:rsidRPr="006619BF" w:rsidRDefault="00BA4533" w:rsidP="0000065A">
            <w:pPr>
              <w:rPr>
                <w:b/>
                <w:bCs/>
                <w:color w:val="auto"/>
                <w:szCs w:val="16"/>
              </w:rPr>
            </w:pPr>
            <w:r>
              <w:rPr>
                <w:b/>
                <w:bCs/>
                <w:color w:val="auto"/>
                <w:szCs w:val="16"/>
              </w:rPr>
              <w:t>3</w:t>
            </w:r>
            <w:r w:rsidR="0000065A">
              <w:rPr>
                <w:b/>
                <w:bCs/>
                <w:color w:val="auto"/>
                <w:szCs w:val="16"/>
              </w:rPr>
              <w:t>0</w:t>
            </w:r>
            <w:r>
              <w:rPr>
                <w:b/>
                <w:bCs/>
                <w:color w:val="auto"/>
                <w:szCs w:val="16"/>
                <w:vertAlign w:val="superscript"/>
              </w:rPr>
              <w:t>t</w:t>
            </w:r>
            <w:r w:rsidR="0000065A">
              <w:rPr>
                <w:b/>
                <w:bCs/>
                <w:color w:val="auto"/>
                <w:szCs w:val="16"/>
                <w:vertAlign w:val="superscript"/>
              </w:rPr>
              <w:t>h</w:t>
            </w:r>
            <w:r w:rsidR="00E07EFE" w:rsidRPr="006619BF">
              <w:rPr>
                <w:b/>
                <w:bCs/>
                <w:color w:val="auto"/>
                <w:szCs w:val="16"/>
              </w:rPr>
              <w:t xml:space="preserve"> </w:t>
            </w:r>
            <w:r w:rsidR="0000065A">
              <w:rPr>
                <w:b/>
                <w:bCs/>
                <w:color w:val="auto"/>
                <w:szCs w:val="16"/>
              </w:rPr>
              <w:t>Jun</w:t>
            </w:r>
            <w:r w:rsidR="00E07EFE" w:rsidRPr="006619BF">
              <w:rPr>
                <w:b/>
                <w:bCs/>
                <w:color w:val="auto"/>
                <w:szCs w:val="16"/>
              </w:rPr>
              <w:t xml:space="preserve"> 1</w:t>
            </w:r>
            <w:r w:rsidR="00A034CD">
              <w:rPr>
                <w:b/>
                <w:bCs/>
                <w:color w:val="auto"/>
                <w:szCs w:val="16"/>
              </w:rPr>
              <w:t>9</w:t>
            </w:r>
          </w:p>
        </w:tc>
        <w:tc>
          <w:tcPr>
            <w:tcW w:w="641" w:type="pct"/>
            <w:tcBorders>
              <w:top w:val="nil"/>
              <w:left w:val="single" w:sz="4" w:space="0" w:color="auto"/>
              <w:bottom w:val="single" w:sz="12" w:space="0" w:color="auto"/>
              <w:right w:val="nil"/>
            </w:tcBorders>
            <w:shd w:val="clear" w:color="auto" w:fill="auto"/>
            <w:vAlign w:val="center"/>
            <w:hideMark/>
          </w:tcPr>
          <w:p w:rsidR="00E07EFE" w:rsidRPr="006619BF" w:rsidRDefault="00E07EFE" w:rsidP="00FD0225">
            <w:pPr>
              <w:rPr>
                <w:b/>
                <w:bCs/>
                <w:color w:val="auto"/>
                <w:szCs w:val="16"/>
              </w:rPr>
            </w:pPr>
            <w:r w:rsidRPr="006619BF">
              <w:rPr>
                <w:b/>
                <w:bCs/>
                <w:color w:val="auto"/>
                <w:szCs w:val="16"/>
              </w:rPr>
              <w:t>1</w:t>
            </w:r>
            <w:r w:rsidRPr="006619BF">
              <w:rPr>
                <w:b/>
                <w:bCs/>
                <w:color w:val="auto"/>
                <w:szCs w:val="16"/>
                <w:vertAlign w:val="superscript"/>
              </w:rPr>
              <w:t>st</w:t>
            </w:r>
            <w:r w:rsidR="00F76CFB">
              <w:rPr>
                <w:b/>
                <w:bCs/>
                <w:color w:val="auto"/>
                <w:szCs w:val="16"/>
              </w:rPr>
              <w:t xml:space="preserve"> Jul 1</w:t>
            </w:r>
            <w:r w:rsidR="00FD0225">
              <w:rPr>
                <w:b/>
                <w:bCs/>
                <w:color w:val="auto"/>
                <w:szCs w:val="16"/>
              </w:rPr>
              <w:t>9</w:t>
            </w:r>
          </w:p>
          <w:p w:rsidR="00E07EFE" w:rsidRPr="006619BF" w:rsidRDefault="00E07EFE" w:rsidP="009D05AF">
            <w:pPr>
              <w:rPr>
                <w:b/>
                <w:bCs/>
                <w:color w:val="auto"/>
                <w:szCs w:val="16"/>
              </w:rPr>
            </w:pPr>
            <w:r w:rsidRPr="006619BF">
              <w:rPr>
                <w:b/>
                <w:bCs/>
                <w:color w:val="auto"/>
                <w:szCs w:val="16"/>
              </w:rPr>
              <w:t>to</w:t>
            </w:r>
          </w:p>
          <w:p w:rsidR="00E07EFE" w:rsidRPr="006619BF" w:rsidRDefault="0000065A" w:rsidP="00BA4533">
            <w:pPr>
              <w:rPr>
                <w:b/>
                <w:bCs/>
                <w:color w:val="auto"/>
                <w:szCs w:val="16"/>
              </w:rPr>
            </w:pPr>
            <w:r>
              <w:rPr>
                <w:b/>
                <w:bCs/>
                <w:color w:val="auto"/>
                <w:szCs w:val="16"/>
              </w:rPr>
              <w:t>30</w:t>
            </w:r>
            <w:r>
              <w:rPr>
                <w:b/>
                <w:bCs/>
                <w:color w:val="auto"/>
                <w:szCs w:val="16"/>
                <w:vertAlign w:val="superscript"/>
              </w:rPr>
              <w:t>th</w:t>
            </w:r>
            <w:r w:rsidRPr="006619BF">
              <w:rPr>
                <w:b/>
                <w:bCs/>
                <w:color w:val="auto"/>
                <w:szCs w:val="16"/>
              </w:rPr>
              <w:t xml:space="preserve"> </w:t>
            </w:r>
            <w:r>
              <w:rPr>
                <w:b/>
                <w:bCs/>
                <w:color w:val="auto"/>
                <w:szCs w:val="16"/>
              </w:rPr>
              <w:t>Jun</w:t>
            </w:r>
            <w:r w:rsidRPr="006619BF">
              <w:rPr>
                <w:b/>
                <w:bCs/>
                <w:color w:val="auto"/>
                <w:szCs w:val="16"/>
              </w:rPr>
              <w:t xml:space="preserve"> </w:t>
            </w:r>
            <w:r w:rsidR="00A034CD">
              <w:rPr>
                <w:b/>
                <w:bCs/>
                <w:color w:val="auto"/>
                <w:szCs w:val="16"/>
              </w:rPr>
              <w:t>20</w:t>
            </w:r>
          </w:p>
        </w:tc>
      </w:tr>
      <w:tr w:rsidR="00E07EFE" w:rsidRPr="00D5469A" w:rsidTr="009168FC">
        <w:trPr>
          <w:trHeight w:val="204"/>
          <w:jc w:val="center"/>
        </w:trPr>
        <w:tc>
          <w:tcPr>
            <w:tcW w:w="2596" w:type="pct"/>
            <w:tcBorders>
              <w:top w:val="nil"/>
              <w:left w:val="nil"/>
              <w:bottom w:val="nil"/>
              <w:right w:val="nil"/>
            </w:tcBorders>
            <w:shd w:val="clear" w:color="auto" w:fill="auto"/>
            <w:vAlign w:val="bottom"/>
            <w:hideMark/>
          </w:tcPr>
          <w:p w:rsidR="00E07EFE" w:rsidRPr="00D5469A" w:rsidRDefault="00E07EFE" w:rsidP="00601FB0">
            <w:pPr>
              <w:jc w:val="left"/>
              <w:rPr>
                <w:b/>
                <w:bCs/>
                <w:color w:val="auto"/>
                <w:sz w:val="18"/>
                <w:szCs w:val="18"/>
              </w:rPr>
            </w:pPr>
          </w:p>
        </w:tc>
        <w:tc>
          <w:tcPr>
            <w:tcW w:w="568"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569" w:type="pct"/>
            <w:tcBorders>
              <w:top w:val="nil"/>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26"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c>
          <w:tcPr>
            <w:tcW w:w="641" w:type="pct"/>
            <w:tcBorders>
              <w:top w:val="single" w:sz="12" w:space="0" w:color="auto"/>
              <w:left w:val="nil"/>
              <w:bottom w:val="nil"/>
              <w:right w:val="nil"/>
            </w:tcBorders>
            <w:shd w:val="clear" w:color="auto" w:fill="auto"/>
            <w:vAlign w:val="bottom"/>
            <w:hideMark/>
          </w:tcPr>
          <w:p w:rsidR="00E07EFE" w:rsidRPr="00D5469A" w:rsidRDefault="00E07EFE" w:rsidP="009D05AF">
            <w:pPr>
              <w:jc w:val="right"/>
              <w:rPr>
                <w:b/>
                <w:bCs/>
                <w:color w:val="auto"/>
                <w:sz w:val="18"/>
                <w:szCs w:val="18"/>
              </w:rPr>
            </w:pP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jc w:val="left"/>
              <w:rPr>
                <w:b/>
                <w:bCs/>
                <w:color w:val="auto"/>
                <w:sz w:val="18"/>
                <w:szCs w:val="18"/>
              </w:rPr>
            </w:pPr>
            <w:r w:rsidRPr="00D5469A">
              <w:rPr>
                <w:b/>
                <w:bCs/>
                <w:color w:val="auto"/>
                <w:sz w:val="18"/>
                <w:szCs w:val="18"/>
              </w:rPr>
              <w:t>1. Central Government (</w:t>
            </w:r>
            <w:proofErr w:type="spellStart"/>
            <w:r w:rsidRPr="00D5469A">
              <w:rPr>
                <w:b/>
                <w:bCs/>
                <w:color w:val="auto"/>
                <w:sz w:val="18"/>
                <w:szCs w:val="18"/>
              </w:rPr>
              <w:t>a+b</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0065A" w:rsidRDefault="0000065A" w:rsidP="0000065A">
            <w:pPr>
              <w:jc w:val="right"/>
              <w:rPr>
                <w:b/>
                <w:bCs/>
                <w:szCs w:val="16"/>
              </w:rPr>
            </w:pPr>
            <w:r>
              <w:rPr>
                <w:b/>
                <w:bCs/>
                <w:szCs w:val="16"/>
              </w:rPr>
              <w:t>12,586,952</w:t>
            </w:r>
          </w:p>
        </w:tc>
        <w:tc>
          <w:tcPr>
            <w:tcW w:w="569" w:type="pct"/>
            <w:tcBorders>
              <w:top w:val="nil"/>
              <w:left w:val="nil"/>
              <w:bottom w:val="nil"/>
              <w:right w:val="nil"/>
            </w:tcBorders>
            <w:shd w:val="clear" w:color="auto" w:fill="auto"/>
            <w:vAlign w:val="center"/>
            <w:hideMark/>
          </w:tcPr>
          <w:p w:rsidR="0000065A" w:rsidRDefault="0000065A" w:rsidP="0000065A">
            <w:pPr>
              <w:jc w:val="right"/>
              <w:rPr>
                <w:b/>
                <w:bCs/>
                <w:szCs w:val="16"/>
              </w:rPr>
            </w:pPr>
            <w:r>
              <w:rPr>
                <w:b/>
                <w:bCs/>
                <w:szCs w:val="16"/>
              </w:rPr>
              <w:t>14,996,660</w:t>
            </w:r>
          </w:p>
        </w:tc>
        <w:tc>
          <w:tcPr>
            <w:tcW w:w="626" w:type="pct"/>
            <w:tcBorders>
              <w:top w:val="nil"/>
              <w:left w:val="nil"/>
              <w:bottom w:val="nil"/>
              <w:right w:val="nil"/>
            </w:tcBorders>
            <w:shd w:val="clear" w:color="auto" w:fill="auto"/>
            <w:vAlign w:val="center"/>
            <w:hideMark/>
          </w:tcPr>
          <w:p w:rsidR="0000065A" w:rsidRDefault="0000065A" w:rsidP="0000065A">
            <w:pPr>
              <w:jc w:val="right"/>
              <w:rPr>
                <w:b/>
                <w:bCs/>
                <w:szCs w:val="16"/>
              </w:rPr>
            </w:pPr>
            <w:r>
              <w:rPr>
                <w:b/>
                <w:bCs/>
                <w:szCs w:val="16"/>
              </w:rPr>
              <w:t>2,395,915</w:t>
            </w:r>
          </w:p>
        </w:tc>
        <w:tc>
          <w:tcPr>
            <w:tcW w:w="641" w:type="pct"/>
            <w:tcBorders>
              <w:top w:val="nil"/>
              <w:left w:val="nil"/>
              <w:bottom w:val="nil"/>
              <w:right w:val="nil"/>
            </w:tcBorders>
            <w:shd w:val="clear" w:color="auto" w:fill="auto"/>
            <w:vAlign w:val="center"/>
            <w:hideMark/>
          </w:tcPr>
          <w:p w:rsidR="0000065A" w:rsidRDefault="0000065A" w:rsidP="0000065A">
            <w:pPr>
              <w:jc w:val="right"/>
              <w:rPr>
                <w:b/>
                <w:bCs/>
                <w:szCs w:val="16"/>
              </w:rPr>
            </w:pPr>
            <w:r>
              <w:rPr>
                <w:b/>
                <w:bCs/>
                <w:szCs w:val="16"/>
              </w:rPr>
              <w:t>2,409,708</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100" w:firstLine="180"/>
              <w:jc w:val="left"/>
              <w:rPr>
                <w:color w:val="auto"/>
                <w:sz w:val="18"/>
                <w:szCs w:val="18"/>
              </w:rPr>
            </w:pPr>
            <w:r w:rsidRPr="00D5469A">
              <w:rPr>
                <w:color w:val="auto"/>
                <w:sz w:val="18"/>
                <w:szCs w:val="18"/>
              </w:rPr>
              <w:t>a. Scheduled Banks</w:t>
            </w:r>
          </w:p>
        </w:tc>
        <w:tc>
          <w:tcPr>
            <w:tcW w:w="568"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5,753,677</w:t>
            </w:r>
          </w:p>
        </w:tc>
        <w:tc>
          <w:tcPr>
            <w:tcW w:w="569"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8,228,342</w:t>
            </w:r>
          </w:p>
        </w:tc>
        <w:tc>
          <w:tcPr>
            <w:tcW w:w="626"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(769,742)</w:t>
            </w:r>
          </w:p>
        </w:tc>
        <w:tc>
          <w:tcPr>
            <w:tcW w:w="641"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2,474,665</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T-Bills and Securities</w:t>
            </w:r>
          </w:p>
        </w:tc>
        <w:tc>
          <w:tcPr>
            <w:tcW w:w="568"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6,982,021</w:t>
            </w:r>
          </w:p>
        </w:tc>
        <w:tc>
          <w:tcPr>
            <w:tcW w:w="569"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9,594,430</w:t>
            </w:r>
          </w:p>
        </w:tc>
        <w:tc>
          <w:tcPr>
            <w:tcW w:w="626"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(625,152)</w:t>
            </w:r>
          </w:p>
        </w:tc>
        <w:tc>
          <w:tcPr>
            <w:tcW w:w="641"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2,612,409</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569"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626"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641" w:type="pct"/>
            <w:tcBorders>
              <w:top w:val="nil"/>
              <w:left w:val="nil"/>
              <w:bottom w:val="nil"/>
              <w:right w:val="nil"/>
            </w:tcBorders>
            <w:shd w:val="clear" w:color="auto" w:fill="auto"/>
            <w:vAlign w:val="center"/>
            <w:hideMark/>
          </w:tcPr>
          <w:p w:rsidR="0000065A" w:rsidRDefault="0000065A" w:rsidP="0000065A">
            <w:pPr>
              <w:jc w:val="right"/>
              <w:rPr>
                <w:sz w:val="20"/>
              </w:rPr>
            </w:pP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0A675C" w:rsidRDefault="0000065A" w:rsidP="00BF05C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1,228,344</w:t>
            </w:r>
          </w:p>
        </w:tc>
        <w:tc>
          <w:tcPr>
            <w:tcW w:w="569"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1,366,088</w:t>
            </w:r>
          </w:p>
        </w:tc>
        <w:tc>
          <w:tcPr>
            <w:tcW w:w="626"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144,590</w:t>
            </w:r>
          </w:p>
        </w:tc>
        <w:tc>
          <w:tcPr>
            <w:tcW w:w="641"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137,744</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100" w:firstLine="180"/>
              <w:jc w:val="left"/>
              <w:rPr>
                <w:color w:val="auto"/>
                <w:sz w:val="18"/>
                <w:szCs w:val="18"/>
              </w:rPr>
            </w:pPr>
            <w:r w:rsidRPr="00D5469A">
              <w:rPr>
                <w:color w:val="auto"/>
                <w:sz w:val="18"/>
                <w:szCs w:val="18"/>
              </w:rPr>
              <w:t>b. State Bank</w:t>
            </w:r>
          </w:p>
        </w:tc>
        <w:tc>
          <w:tcPr>
            <w:tcW w:w="568"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6,833,275</w:t>
            </w:r>
          </w:p>
        </w:tc>
        <w:tc>
          <w:tcPr>
            <w:tcW w:w="569"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6,768,318</w:t>
            </w:r>
          </w:p>
        </w:tc>
        <w:tc>
          <w:tcPr>
            <w:tcW w:w="626"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3,165,656</w:t>
            </w:r>
          </w:p>
        </w:tc>
        <w:tc>
          <w:tcPr>
            <w:tcW w:w="641"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(64,958)</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Pr>
                <w:color w:val="auto"/>
                <w:sz w:val="18"/>
                <w:szCs w:val="18"/>
              </w:rPr>
              <w:t>T-bills and Securities etc.*</w:t>
            </w:r>
          </w:p>
        </w:tc>
        <w:tc>
          <w:tcPr>
            <w:tcW w:w="568" w:type="pct"/>
            <w:tcBorders>
              <w:top w:val="nil"/>
              <w:left w:val="nil"/>
              <w:bottom w:val="nil"/>
              <w:right w:val="nil"/>
            </w:tcBorders>
            <w:shd w:val="clear" w:color="auto" w:fill="auto"/>
            <w:noWrap/>
            <w:vAlign w:val="center"/>
            <w:hideMark/>
          </w:tcPr>
          <w:p w:rsidR="0000065A" w:rsidRDefault="0000065A" w:rsidP="0000065A">
            <w:pPr>
              <w:jc w:val="right"/>
              <w:rPr>
                <w:szCs w:val="16"/>
              </w:rPr>
            </w:pPr>
            <w:r>
              <w:rPr>
                <w:szCs w:val="16"/>
              </w:rPr>
              <w:t>7,762,812</w:t>
            </w:r>
          </w:p>
        </w:tc>
        <w:tc>
          <w:tcPr>
            <w:tcW w:w="569" w:type="pct"/>
            <w:tcBorders>
              <w:top w:val="nil"/>
              <w:left w:val="nil"/>
              <w:bottom w:val="nil"/>
              <w:right w:val="nil"/>
            </w:tcBorders>
            <w:shd w:val="clear" w:color="auto" w:fill="auto"/>
            <w:noWrap/>
            <w:vAlign w:val="center"/>
            <w:hideMark/>
          </w:tcPr>
          <w:p w:rsidR="0000065A" w:rsidRDefault="0000065A" w:rsidP="0000065A">
            <w:pPr>
              <w:jc w:val="right"/>
              <w:rPr>
                <w:szCs w:val="16"/>
              </w:rPr>
            </w:pPr>
            <w:r>
              <w:rPr>
                <w:szCs w:val="16"/>
              </w:rPr>
              <w:t>7,274,742</w:t>
            </w:r>
          </w:p>
        </w:tc>
        <w:tc>
          <w:tcPr>
            <w:tcW w:w="626" w:type="pct"/>
            <w:tcBorders>
              <w:top w:val="nil"/>
              <w:left w:val="nil"/>
              <w:bottom w:val="nil"/>
              <w:right w:val="nil"/>
            </w:tcBorders>
            <w:shd w:val="clear" w:color="auto" w:fill="auto"/>
            <w:noWrap/>
            <w:vAlign w:val="center"/>
            <w:hideMark/>
          </w:tcPr>
          <w:p w:rsidR="0000065A" w:rsidRDefault="0000065A" w:rsidP="0000065A">
            <w:pPr>
              <w:jc w:val="right"/>
              <w:rPr>
                <w:szCs w:val="16"/>
              </w:rPr>
            </w:pPr>
            <w:r>
              <w:rPr>
                <w:szCs w:val="16"/>
              </w:rPr>
              <w:t>4,091,798</w:t>
            </w:r>
          </w:p>
        </w:tc>
        <w:tc>
          <w:tcPr>
            <w:tcW w:w="641" w:type="pct"/>
            <w:tcBorders>
              <w:top w:val="nil"/>
              <w:left w:val="nil"/>
              <w:bottom w:val="nil"/>
              <w:right w:val="nil"/>
            </w:tcBorders>
            <w:shd w:val="clear" w:color="auto" w:fill="auto"/>
            <w:noWrap/>
            <w:vAlign w:val="center"/>
            <w:hideMark/>
          </w:tcPr>
          <w:p w:rsidR="0000065A" w:rsidRDefault="0000065A" w:rsidP="0000065A">
            <w:pPr>
              <w:jc w:val="right"/>
              <w:rPr>
                <w:szCs w:val="16"/>
              </w:rPr>
            </w:pPr>
            <w:r>
              <w:rPr>
                <w:szCs w:val="16"/>
              </w:rPr>
              <w:t>(488,069)</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Debtor Balances</w:t>
            </w:r>
            <w:r>
              <w:rPr>
                <w:color w:val="auto"/>
                <w:sz w:val="18"/>
                <w:szCs w:val="18"/>
              </w:rPr>
              <w:t xml:space="preserve"> (Exc.</w:t>
            </w:r>
            <w:r w:rsidRPr="00D5469A">
              <w:rPr>
                <w:color w:val="auto"/>
                <w:sz w:val="18"/>
                <w:szCs w:val="18"/>
              </w:rPr>
              <w:t xml:space="preserve"> Zakat Fund)</w:t>
            </w:r>
          </w:p>
        </w:tc>
        <w:tc>
          <w:tcPr>
            <w:tcW w:w="568" w:type="pct"/>
            <w:tcBorders>
              <w:top w:val="nil"/>
              <w:left w:val="nil"/>
              <w:bottom w:val="nil"/>
              <w:right w:val="nil"/>
            </w:tcBorders>
            <w:shd w:val="clear" w:color="auto" w:fill="auto"/>
            <w:noWrap/>
            <w:vAlign w:val="center"/>
            <w:hideMark/>
          </w:tcPr>
          <w:p w:rsidR="0000065A" w:rsidRDefault="0000065A" w:rsidP="0000065A">
            <w:pPr>
              <w:jc w:val="right"/>
              <w:rPr>
                <w:szCs w:val="16"/>
              </w:rPr>
            </w:pPr>
            <w:r>
              <w:rPr>
                <w:szCs w:val="16"/>
              </w:rPr>
              <w:t>28,200</w:t>
            </w:r>
          </w:p>
        </w:tc>
        <w:tc>
          <w:tcPr>
            <w:tcW w:w="569" w:type="pct"/>
            <w:tcBorders>
              <w:top w:val="nil"/>
              <w:left w:val="nil"/>
              <w:bottom w:val="nil"/>
              <w:right w:val="nil"/>
            </w:tcBorders>
            <w:shd w:val="clear" w:color="auto" w:fill="auto"/>
            <w:noWrap/>
            <w:vAlign w:val="center"/>
            <w:hideMark/>
          </w:tcPr>
          <w:p w:rsidR="0000065A" w:rsidRDefault="0000065A" w:rsidP="0000065A">
            <w:pPr>
              <w:jc w:val="right"/>
              <w:rPr>
                <w:szCs w:val="16"/>
              </w:rPr>
            </w:pPr>
            <w:r>
              <w:rPr>
                <w:szCs w:val="16"/>
              </w:rPr>
              <w:t>30,157</w:t>
            </w:r>
          </w:p>
        </w:tc>
        <w:tc>
          <w:tcPr>
            <w:tcW w:w="626" w:type="pct"/>
            <w:tcBorders>
              <w:top w:val="nil"/>
              <w:left w:val="nil"/>
              <w:bottom w:val="nil"/>
              <w:right w:val="nil"/>
            </w:tcBorders>
            <w:shd w:val="clear" w:color="auto" w:fill="auto"/>
            <w:noWrap/>
            <w:vAlign w:val="center"/>
            <w:hideMark/>
          </w:tcPr>
          <w:p w:rsidR="0000065A" w:rsidRDefault="0000065A" w:rsidP="0000065A">
            <w:pPr>
              <w:jc w:val="right"/>
              <w:rPr>
                <w:szCs w:val="16"/>
              </w:rPr>
            </w:pPr>
            <w:r>
              <w:rPr>
                <w:szCs w:val="16"/>
              </w:rPr>
              <w:t>612</w:t>
            </w:r>
          </w:p>
        </w:tc>
        <w:tc>
          <w:tcPr>
            <w:tcW w:w="641" w:type="pct"/>
            <w:tcBorders>
              <w:top w:val="nil"/>
              <w:left w:val="nil"/>
              <w:bottom w:val="nil"/>
              <w:right w:val="nil"/>
            </w:tcBorders>
            <w:shd w:val="clear" w:color="auto" w:fill="auto"/>
            <w:noWrap/>
            <w:vAlign w:val="center"/>
            <w:hideMark/>
          </w:tcPr>
          <w:p w:rsidR="0000065A" w:rsidRDefault="0000065A" w:rsidP="0000065A">
            <w:pPr>
              <w:jc w:val="right"/>
              <w:rPr>
                <w:szCs w:val="16"/>
              </w:rPr>
            </w:pPr>
            <w:r>
              <w:rPr>
                <w:szCs w:val="16"/>
              </w:rPr>
              <w:t>1,957</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569"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626"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641" w:type="pct"/>
            <w:tcBorders>
              <w:top w:val="nil"/>
              <w:left w:val="nil"/>
              <w:bottom w:val="nil"/>
              <w:right w:val="nil"/>
            </w:tcBorders>
            <w:shd w:val="clear" w:color="auto" w:fill="auto"/>
            <w:vAlign w:val="center"/>
            <w:hideMark/>
          </w:tcPr>
          <w:p w:rsidR="0000065A" w:rsidRDefault="0000065A" w:rsidP="0000065A">
            <w:pPr>
              <w:jc w:val="right"/>
              <w:rPr>
                <w:sz w:val="20"/>
              </w:rPr>
            </w:pP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0A675C" w:rsidRDefault="0000065A" w:rsidP="00BF05C2">
            <w:pPr>
              <w:ind w:left="720"/>
              <w:jc w:val="left"/>
              <w:rPr>
                <w:i/>
                <w:iCs/>
                <w:color w:val="auto"/>
                <w:sz w:val="18"/>
                <w:szCs w:val="18"/>
              </w:rPr>
            </w:pPr>
            <w:r w:rsidRPr="000A675C">
              <w:rPr>
                <w:i/>
                <w:iCs/>
                <w:color w:val="auto"/>
                <w:sz w:val="18"/>
                <w:szCs w:val="18"/>
              </w:rPr>
              <w:t>Govt. Deposits (Ex. Zakat and Privatization Fund)</w:t>
            </w:r>
          </w:p>
        </w:tc>
        <w:tc>
          <w:tcPr>
            <w:tcW w:w="568"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967,305</w:t>
            </w:r>
          </w:p>
        </w:tc>
        <w:tc>
          <w:tcPr>
            <w:tcW w:w="569"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546,371</w:t>
            </w:r>
          </w:p>
        </w:tc>
        <w:tc>
          <w:tcPr>
            <w:tcW w:w="626"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926,760</w:t>
            </w:r>
          </w:p>
        </w:tc>
        <w:tc>
          <w:tcPr>
            <w:tcW w:w="641"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(420,935)</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0A675C" w:rsidRDefault="0000065A" w:rsidP="00BF05C2">
            <w:pPr>
              <w:ind w:left="720"/>
              <w:jc w:val="left"/>
              <w:rPr>
                <w:i/>
                <w:iCs/>
                <w:color w:val="auto"/>
                <w:sz w:val="18"/>
                <w:szCs w:val="18"/>
              </w:rPr>
            </w:pPr>
            <w:r w:rsidRPr="000A675C">
              <w:rPr>
                <w:i/>
                <w:iCs/>
                <w:color w:val="auto"/>
                <w:sz w:val="18"/>
                <w:szCs w:val="18"/>
              </w:rPr>
              <w:t>Others</w:t>
            </w:r>
          </w:p>
        </w:tc>
        <w:tc>
          <w:tcPr>
            <w:tcW w:w="568"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(9,569)</w:t>
            </w:r>
          </w:p>
        </w:tc>
        <w:tc>
          <w:tcPr>
            <w:tcW w:w="569"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(9,789)</w:t>
            </w:r>
          </w:p>
        </w:tc>
        <w:tc>
          <w:tcPr>
            <w:tcW w:w="626"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(6)</w:t>
            </w:r>
          </w:p>
        </w:tc>
        <w:tc>
          <w:tcPr>
            <w:tcW w:w="641"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(220)</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jc w:val="left"/>
              <w:rPr>
                <w:b/>
                <w:bCs/>
                <w:color w:val="auto"/>
                <w:sz w:val="18"/>
                <w:szCs w:val="18"/>
              </w:rPr>
            </w:pPr>
            <w:r w:rsidRPr="00D5469A">
              <w:rPr>
                <w:b/>
                <w:bCs/>
                <w:color w:val="auto"/>
                <w:sz w:val="18"/>
                <w:szCs w:val="18"/>
              </w:rPr>
              <w:t>2. Provincial Governments (</w:t>
            </w:r>
            <w:proofErr w:type="spellStart"/>
            <w:r w:rsidRPr="00D5469A">
              <w:rPr>
                <w:b/>
                <w:bCs/>
                <w:color w:val="auto"/>
                <w:sz w:val="18"/>
                <w:szCs w:val="18"/>
              </w:rPr>
              <w:t>c+d</w:t>
            </w:r>
            <w:proofErr w:type="spellEnd"/>
            <w:r w:rsidRPr="00D5469A">
              <w:rPr>
                <w:b/>
                <w:bCs/>
                <w:color w:val="auto"/>
                <w:sz w:val="18"/>
                <w:szCs w:val="18"/>
              </w:rPr>
              <w:t>)</w:t>
            </w:r>
          </w:p>
        </w:tc>
        <w:tc>
          <w:tcPr>
            <w:tcW w:w="568" w:type="pct"/>
            <w:tcBorders>
              <w:top w:val="nil"/>
              <w:left w:val="nil"/>
              <w:bottom w:val="nil"/>
              <w:right w:val="nil"/>
            </w:tcBorders>
            <w:shd w:val="clear" w:color="auto" w:fill="auto"/>
            <w:vAlign w:val="center"/>
            <w:hideMark/>
          </w:tcPr>
          <w:p w:rsidR="0000065A" w:rsidRDefault="0000065A" w:rsidP="0000065A">
            <w:pPr>
              <w:jc w:val="right"/>
              <w:rPr>
                <w:b/>
                <w:bCs/>
                <w:szCs w:val="16"/>
              </w:rPr>
            </w:pPr>
            <w:r>
              <w:rPr>
                <w:b/>
                <w:bCs/>
                <w:szCs w:val="16"/>
              </w:rPr>
              <w:t>(990,484)</w:t>
            </w:r>
          </w:p>
        </w:tc>
        <w:tc>
          <w:tcPr>
            <w:tcW w:w="569" w:type="pct"/>
            <w:tcBorders>
              <w:top w:val="nil"/>
              <w:left w:val="nil"/>
              <w:bottom w:val="nil"/>
              <w:right w:val="nil"/>
            </w:tcBorders>
            <w:shd w:val="clear" w:color="auto" w:fill="auto"/>
            <w:vAlign w:val="center"/>
            <w:hideMark/>
          </w:tcPr>
          <w:p w:rsidR="0000065A" w:rsidRDefault="0000065A" w:rsidP="0000065A">
            <w:pPr>
              <w:jc w:val="right"/>
              <w:rPr>
                <w:b/>
                <w:bCs/>
                <w:szCs w:val="16"/>
              </w:rPr>
            </w:pPr>
            <w:r>
              <w:rPr>
                <w:b/>
                <w:bCs/>
                <w:szCs w:val="16"/>
              </w:rPr>
              <w:t>(1,232,712)</w:t>
            </w:r>
          </w:p>
        </w:tc>
        <w:tc>
          <w:tcPr>
            <w:tcW w:w="626" w:type="pct"/>
            <w:tcBorders>
              <w:top w:val="nil"/>
              <w:left w:val="nil"/>
              <w:bottom w:val="nil"/>
              <w:right w:val="nil"/>
            </w:tcBorders>
            <w:shd w:val="clear" w:color="auto" w:fill="auto"/>
            <w:vAlign w:val="center"/>
            <w:hideMark/>
          </w:tcPr>
          <w:p w:rsidR="0000065A" w:rsidRDefault="0000065A" w:rsidP="0000065A">
            <w:pPr>
              <w:jc w:val="right"/>
              <w:rPr>
                <w:b/>
                <w:bCs/>
                <w:szCs w:val="16"/>
              </w:rPr>
            </w:pPr>
            <w:r>
              <w:rPr>
                <w:b/>
                <w:bCs/>
                <w:szCs w:val="16"/>
              </w:rPr>
              <w:t>(192,407)</w:t>
            </w:r>
          </w:p>
        </w:tc>
        <w:tc>
          <w:tcPr>
            <w:tcW w:w="641" w:type="pct"/>
            <w:tcBorders>
              <w:top w:val="nil"/>
              <w:left w:val="nil"/>
              <w:bottom w:val="nil"/>
              <w:right w:val="nil"/>
            </w:tcBorders>
            <w:shd w:val="clear" w:color="auto" w:fill="auto"/>
            <w:vAlign w:val="center"/>
            <w:hideMark/>
          </w:tcPr>
          <w:p w:rsidR="0000065A" w:rsidRDefault="0000065A" w:rsidP="0000065A">
            <w:pPr>
              <w:jc w:val="right"/>
              <w:rPr>
                <w:b/>
                <w:bCs/>
                <w:szCs w:val="16"/>
              </w:rPr>
            </w:pPr>
            <w:r>
              <w:rPr>
                <w:b/>
                <w:bCs/>
                <w:szCs w:val="16"/>
              </w:rPr>
              <w:t>(242,228)</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100" w:firstLine="180"/>
              <w:jc w:val="left"/>
              <w:rPr>
                <w:color w:val="auto"/>
                <w:sz w:val="18"/>
                <w:szCs w:val="18"/>
              </w:rPr>
            </w:pPr>
            <w:r w:rsidRPr="00D5469A">
              <w:rPr>
                <w:color w:val="auto"/>
                <w:sz w:val="18"/>
                <w:szCs w:val="18"/>
              </w:rPr>
              <w:t>c. Scheduled Banks</w:t>
            </w:r>
          </w:p>
        </w:tc>
        <w:tc>
          <w:tcPr>
            <w:tcW w:w="568"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(849,079)</w:t>
            </w:r>
          </w:p>
        </w:tc>
        <w:tc>
          <w:tcPr>
            <w:tcW w:w="569"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(1,021,385)</w:t>
            </w:r>
          </w:p>
        </w:tc>
        <w:tc>
          <w:tcPr>
            <w:tcW w:w="626"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(105,215)</w:t>
            </w:r>
          </w:p>
        </w:tc>
        <w:tc>
          <w:tcPr>
            <w:tcW w:w="641"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(172,306)</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Government  Securities and Others</w:t>
            </w:r>
          </w:p>
        </w:tc>
        <w:tc>
          <w:tcPr>
            <w:tcW w:w="568"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1,024</w:t>
            </w:r>
          </w:p>
        </w:tc>
        <w:tc>
          <w:tcPr>
            <w:tcW w:w="569"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1,024</w:t>
            </w:r>
          </w:p>
        </w:tc>
        <w:tc>
          <w:tcPr>
            <w:tcW w:w="626"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w:t>
            </w:r>
          </w:p>
        </w:tc>
        <w:tc>
          <w:tcPr>
            <w:tcW w:w="641"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569"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626" w:type="pct"/>
            <w:tcBorders>
              <w:top w:val="nil"/>
              <w:left w:val="nil"/>
              <w:bottom w:val="nil"/>
              <w:right w:val="nil"/>
            </w:tcBorders>
            <w:shd w:val="clear" w:color="auto" w:fill="auto"/>
            <w:vAlign w:val="center"/>
            <w:hideMark/>
          </w:tcPr>
          <w:p w:rsidR="0000065A" w:rsidRDefault="0000065A" w:rsidP="0000065A">
            <w:pPr>
              <w:jc w:val="right"/>
              <w:rPr>
                <w:sz w:val="20"/>
              </w:rPr>
            </w:pPr>
          </w:p>
        </w:tc>
        <w:tc>
          <w:tcPr>
            <w:tcW w:w="641" w:type="pct"/>
            <w:tcBorders>
              <w:top w:val="nil"/>
              <w:left w:val="nil"/>
              <w:bottom w:val="nil"/>
              <w:right w:val="nil"/>
            </w:tcBorders>
            <w:shd w:val="clear" w:color="auto" w:fill="auto"/>
            <w:vAlign w:val="center"/>
            <w:hideMark/>
          </w:tcPr>
          <w:p w:rsidR="0000065A" w:rsidRDefault="0000065A" w:rsidP="0000065A">
            <w:pPr>
              <w:jc w:val="right"/>
              <w:rPr>
                <w:sz w:val="20"/>
              </w:rPr>
            </w:pP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0A675C" w:rsidRDefault="0000065A" w:rsidP="00BF05C2">
            <w:pPr>
              <w:ind w:left="720"/>
              <w:jc w:val="left"/>
              <w:rPr>
                <w:i/>
                <w:iCs/>
                <w:color w:val="auto"/>
                <w:sz w:val="18"/>
                <w:szCs w:val="18"/>
              </w:rPr>
            </w:pPr>
            <w:r w:rsidRPr="000A675C">
              <w:rPr>
                <w:i/>
                <w:iCs/>
                <w:color w:val="auto"/>
                <w:sz w:val="18"/>
                <w:szCs w:val="18"/>
              </w:rPr>
              <w:t>Government Deposits</w:t>
            </w:r>
          </w:p>
        </w:tc>
        <w:tc>
          <w:tcPr>
            <w:tcW w:w="568"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850,103</w:t>
            </w:r>
          </w:p>
        </w:tc>
        <w:tc>
          <w:tcPr>
            <w:tcW w:w="569"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1,022,409</w:t>
            </w:r>
          </w:p>
        </w:tc>
        <w:tc>
          <w:tcPr>
            <w:tcW w:w="626"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105,215</w:t>
            </w:r>
          </w:p>
        </w:tc>
        <w:tc>
          <w:tcPr>
            <w:tcW w:w="641" w:type="pct"/>
            <w:tcBorders>
              <w:top w:val="nil"/>
              <w:left w:val="nil"/>
              <w:bottom w:val="nil"/>
              <w:right w:val="nil"/>
            </w:tcBorders>
            <w:shd w:val="clear" w:color="auto" w:fill="auto"/>
            <w:vAlign w:val="center"/>
            <w:hideMark/>
          </w:tcPr>
          <w:p w:rsidR="0000065A" w:rsidRDefault="0000065A" w:rsidP="0000065A">
            <w:pPr>
              <w:jc w:val="right"/>
              <w:rPr>
                <w:i/>
                <w:iCs/>
                <w:szCs w:val="16"/>
              </w:rPr>
            </w:pPr>
            <w:r>
              <w:rPr>
                <w:i/>
                <w:iCs/>
                <w:szCs w:val="16"/>
              </w:rPr>
              <w:t>172,306</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100" w:firstLine="180"/>
              <w:jc w:val="left"/>
              <w:rPr>
                <w:color w:val="auto"/>
                <w:sz w:val="18"/>
                <w:szCs w:val="18"/>
              </w:rPr>
            </w:pPr>
            <w:r w:rsidRPr="00D5469A">
              <w:rPr>
                <w:color w:val="auto"/>
                <w:sz w:val="18"/>
                <w:szCs w:val="18"/>
              </w:rPr>
              <w:t>d. State Bank</w:t>
            </w:r>
          </w:p>
        </w:tc>
        <w:tc>
          <w:tcPr>
            <w:tcW w:w="568"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(141,405)</w:t>
            </w:r>
          </w:p>
        </w:tc>
        <w:tc>
          <w:tcPr>
            <w:tcW w:w="569"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(211,327)</w:t>
            </w:r>
          </w:p>
        </w:tc>
        <w:tc>
          <w:tcPr>
            <w:tcW w:w="626"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(87,193)</w:t>
            </w:r>
          </w:p>
        </w:tc>
        <w:tc>
          <w:tcPr>
            <w:tcW w:w="641"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(69,921)</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Government Securities</w:t>
            </w:r>
          </w:p>
        </w:tc>
        <w:tc>
          <w:tcPr>
            <w:tcW w:w="568" w:type="pct"/>
            <w:tcBorders>
              <w:top w:val="nil"/>
              <w:left w:val="nil"/>
              <w:bottom w:val="nil"/>
              <w:right w:val="nil"/>
            </w:tcBorders>
            <w:shd w:val="clear" w:color="auto" w:fill="auto"/>
            <w:noWrap/>
            <w:vAlign w:val="center"/>
            <w:hideMark/>
          </w:tcPr>
          <w:p w:rsidR="0000065A" w:rsidRDefault="0000065A" w:rsidP="0000065A">
            <w:pPr>
              <w:jc w:val="right"/>
              <w:rPr>
                <w:sz w:val="20"/>
              </w:rPr>
            </w:pPr>
          </w:p>
        </w:tc>
        <w:tc>
          <w:tcPr>
            <w:tcW w:w="569" w:type="pct"/>
            <w:tcBorders>
              <w:top w:val="nil"/>
              <w:left w:val="nil"/>
              <w:bottom w:val="nil"/>
              <w:right w:val="nil"/>
            </w:tcBorders>
            <w:shd w:val="clear" w:color="auto" w:fill="auto"/>
            <w:noWrap/>
            <w:vAlign w:val="center"/>
            <w:hideMark/>
          </w:tcPr>
          <w:p w:rsidR="0000065A" w:rsidRDefault="0000065A" w:rsidP="0000065A">
            <w:pPr>
              <w:jc w:val="right"/>
              <w:rPr>
                <w:sz w:val="20"/>
              </w:rPr>
            </w:pPr>
          </w:p>
        </w:tc>
        <w:tc>
          <w:tcPr>
            <w:tcW w:w="626" w:type="pct"/>
            <w:tcBorders>
              <w:top w:val="nil"/>
              <w:left w:val="nil"/>
              <w:bottom w:val="nil"/>
              <w:right w:val="nil"/>
            </w:tcBorders>
            <w:shd w:val="clear" w:color="auto" w:fill="auto"/>
            <w:noWrap/>
            <w:vAlign w:val="center"/>
            <w:hideMark/>
          </w:tcPr>
          <w:p w:rsidR="0000065A" w:rsidRDefault="0000065A" w:rsidP="0000065A">
            <w:pPr>
              <w:jc w:val="right"/>
              <w:rPr>
                <w:sz w:val="20"/>
              </w:rPr>
            </w:pPr>
          </w:p>
        </w:tc>
        <w:tc>
          <w:tcPr>
            <w:tcW w:w="641" w:type="pct"/>
            <w:tcBorders>
              <w:top w:val="nil"/>
              <w:left w:val="nil"/>
              <w:bottom w:val="nil"/>
              <w:right w:val="nil"/>
            </w:tcBorders>
            <w:shd w:val="clear" w:color="auto" w:fill="auto"/>
            <w:noWrap/>
            <w:vAlign w:val="center"/>
            <w:hideMark/>
          </w:tcPr>
          <w:p w:rsidR="0000065A" w:rsidRDefault="0000065A" w:rsidP="0000065A">
            <w:pPr>
              <w:jc w:val="right"/>
              <w:rPr>
                <w:sz w:val="20"/>
              </w:rPr>
            </w:pP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Debtor Balances (Excluding Zakat Fund)</w:t>
            </w:r>
          </w:p>
        </w:tc>
        <w:tc>
          <w:tcPr>
            <w:tcW w:w="568"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w:t>
            </w:r>
          </w:p>
        </w:tc>
        <w:tc>
          <w:tcPr>
            <w:tcW w:w="569"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w:t>
            </w:r>
          </w:p>
        </w:tc>
        <w:tc>
          <w:tcPr>
            <w:tcW w:w="626"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(5,515)</w:t>
            </w:r>
          </w:p>
        </w:tc>
        <w:tc>
          <w:tcPr>
            <w:tcW w:w="641" w:type="pct"/>
            <w:tcBorders>
              <w:top w:val="nil"/>
              <w:left w:val="nil"/>
              <w:bottom w:val="nil"/>
              <w:right w:val="nil"/>
            </w:tcBorders>
            <w:shd w:val="clear" w:color="auto" w:fill="auto"/>
            <w:vAlign w:val="center"/>
            <w:hideMark/>
          </w:tcPr>
          <w:p w:rsidR="0000065A" w:rsidRDefault="0000065A" w:rsidP="0000065A">
            <w:pPr>
              <w:jc w:val="right"/>
              <w:rPr>
                <w:szCs w:val="16"/>
              </w:rPr>
            </w:pPr>
            <w:r>
              <w:rPr>
                <w:szCs w:val="16"/>
              </w:rPr>
              <w:t>-</w:t>
            </w:r>
          </w:p>
        </w:tc>
      </w:tr>
      <w:tr w:rsidR="0000065A" w:rsidRPr="00D5469A" w:rsidTr="009168FC">
        <w:trPr>
          <w:trHeight w:val="288"/>
          <w:jc w:val="center"/>
        </w:trPr>
        <w:tc>
          <w:tcPr>
            <w:tcW w:w="2596" w:type="pct"/>
            <w:tcBorders>
              <w:top w:val="nil"/>
              <w:left w:val="nil"/>
              <w:bottom w:val="nil"/>
              <w:right w:val="nil"/>
            </w:tcBorders>
            <w:shd w:val="clear" w:color="auto" w:fill="auto"/>
            <w:vAlign w:val="center"/>
            <w:hideMark/>
          </w:tcPr>
          <w:p w:rsidR="0000065A" w:rsidRPr="00D5469A" w:rsidRDefault="0000065A" w:rsidP="00BF05C2">
            <w:pPr>
              <w:ind w:firstLineChars="200" w:firstLine="360"/>
              <w:jc w:val="left"/>
              <w:rPr>
                <w:color w:val="auto"/>
                <w:sz w:val="18"/>
                <w:szCs w:val="18"/>
              </w:rPr>
            </w:pPr>
            <w:r w:rsidRPr="00D5469A">
              <w:rPr>
                <w:color w:val="auto"/>
                <w:sz w:val="18"/>
                <w:szCs w:val="18"/>
              </w:rPr>
              <w:t>Less:</w:t>
            </w:r>
            <w:r>
              <w:rPr>
                <w:color w:val="auto"/>
                <w:sz w:val="18"/>
                <w:szCs w:val="18"/>
              </w:rPr>
              <w:t xml:space="preserve"> </w:t>
            </w:r>
          </w:p>
        </w:tc>
        <w:tc>
          <w:tcPr>
            <w:tcW w:w="568" w:type="pct"/>
            <w:tcBorders>
              <w:top w:val="nil"/>
              <w:left w:val="nil"/>
              <w:bottom w:val="nil"/>
              <w:right w:val="nil"/>
            </w:tcBorders>
            <w:shd w:val="clear" w:color="auto" w:fill="auto"/>
            <w:noWrap/>
            <w:vAlign w:val="center"/>
            <w:hideMark/>
          </w:tcPr>
          <w:p w:rsidR="0000065A" w:rsidRDefault="0000065A" w:rsidP="0000065A">
            <w:pPr>
              <w:jc w:val="right"/>
              <w:rPr>
                <w:sz w:val="20"/>
              </w:rPr>
            </w:pPr>
          </w:p>
        </w:tc>
        <w:tc>
          <w:tcPr>
            <w:tcW w:w="569" w:type="pct"/>
            <w:tcBorders>
              <w:top w:val="nil"/>
              <w:left w:val="nil"/>
              <w:bottom w:val="nil"/>
              <w:right w:val="nil"/>
            </w:tcBorders>
            <w:shd w:val="clear" w:color="auto" w:fill="auto"/>
            <w:noWrap/>
            <w:vAlign w:val="center"/>
            <w:hideMark/>
          </w:tcPr>
          <w:p w:rsidR="0000065A" w:rsidRDefault="0000065A" w:rsidP="0000065A">
            <w:pPr>
              <w:jc w:val="right"/>
              <w:rPr>
                <w:sz w:val="20"/>
              </w:rPr>
            </w:pPr>
          </w:p>
        </w:tc>
        <w:tc>
          <w:tcPr>
            <w:tcW w:w="626" w:type="pct"/>
            <w:tcBorders>
              <w:top w:val="nil"/>
              <w:left w:val="nil"/>
              <w:bottom w:val="nil"/>
              <w:right w:val="nil"/>
            </w:tcBorders>
            <w:shd w:val="clear" w:color="auto" w:fill="auto"/>
            <w:noWrap/>
            <w:vAlign w:val="center"/>
            <w:hideMark/>
          </w:tcPr>
          <w:p w:rsidR="0000065A" w:rsidRDefault="0000065A" w:rsidP="0000065A">
            <w:pPr>
              <w:jc w:val="right"/>
              <w:rPr>
                <w:sz w:val="20"/>
              </w:rPr>
            </w:pPr>
          </w:p>
        </w:tc>
        <w:tc>
          <w:tcPr>
            <w:tcW w:w="641" w:type="pct"/>
            <w:tcBorders>
              <w:top w:val="nil"/>
              <w:left w:val="nil"/>
              <w:bottom w:val="nil"/>
              <w:right w:val="nil"/>
            </w:tcBorders>
            <w:shd w:val="clear" w:color="auto" w:fill="auto"/>
            <w:noWrap/>
            <w:vAlign w:val="center"/>
            <w:hideMark/>
          </w:tcPr>
          <w:p w:rsidR="0000065A" w:rsidRDefault="0000065A" w:rsidP="0000065A">
            <w:pPr>
              <w:jc w:val="right"/>
              <w:rPr>
                <w:sz w:val="20"/>
              </w:rPr>
            </w:pPr>
          </w:p>
        </w:tc>
      </w:tr>
      <w:tr w:rsidR="0000065A" w:rsidRPr="00D5469A" w:rsidTr="009168FC">
        <w:trPr>
          <w:trHeight w:val="288"/>
          <w:jc w:val="center"/>
        </w:trPr>
        <w:tc>
          <w:tcPr>
            <w:tcW w:w="2596" w:type="pct"/>
            <w:tcBorders>
              <w:top w:val="nil"/>
              <w:left w:val="nil"/>
              <w:bottom w:val="single" w:sz="12" w:space="0" w:color="auto"/>
              <w:right w:val="nil"/>
            </w:tcBorders>
            <w:shd w:val="clear" w:color="auto" w:fill="auto"/>
            <w:vAlign w:val="center"/>
            <w:hideMark/>
          </w:tcPr>
          <w:p w:rsidR="0000065A" w:rsidRPr="000A675C" w:rsidRDefault="0000065A" w:rsidP="00BF05C2">
            <w:pPr>
              <w:ind w:left="720"/>
              <w:jc w:val="left"/>
              <w:rPr>
                <w:i/>
                <w:iCs/>
                <w:color w:val="auto"/>
                <w:sz w:val="18"/>
                <w:szCs w:val="18"/>
              </w:rPr>
            </w:pPr>
            <w:r w:rsidRPr="000A675C">
              <w:rPr>
                <w:i/>
                <w:iCs/>
                <w:color w:val="auto"/>
                <w:sz w:val="18"/>
                <w:szCs w:val="18"/>
              </w:rPr>
              <w:t>Government Deposits (Excluding  Zakat Fund)</w:t>
            </w:r>
          </w:p>
        </w:tc>
        <w:tc>
          <w:tcPr>
            <w:tcW w:w="568" w:type="pct"/>
            <w:tcBorders>
              <w:top w:val="nil"/>
              <w:left w:val="nil"/>
              <w:bottom w:val="single" w:sz="12" w:space="0" w:color="auto"/>
              <w:right w:val="nil"/>
            </w:tcBorders>
            <w:shd w:val="clear" w:color="auto" w:fill="auto"/>
            <w:vAlign w:val="center"/>
            <w:hideMark/>
          </w:tcPr>
          <w:p w:rsidR="0000065A" w:rsidRDefault="0000065A" w:rsidP="0000065A">
            <w:pPr>
              <w:jc w:val="right"/>
              <w:rPr>
                <w:i/>
                <w:iCs/>
                <w:szCs w:val="16"/>
              </w:rPr>
            </w:pPr>
            <w:r>
              <w:rPr>
                <w:i/>
                <w:iCs/>
                <w:szCs w:val="16"/>
              </w:rPr>
              <w:t>141,405</w:t>
            </w:r>
          </w:p>
        </w:tc>
        <w:tc>
          <w:tcPr>
            <w:tcW w:w="569" w:type="pct"/>
            <w:tcBorders>
              <w:top w:val="nil"/>
              <w:left w:val="nil"/>
              <w:bottom w:val="single" w:sz="12" w:space="0" w:color="auto"/>
              <w:right w:val="nil"/>
            </w:tcBorders>
            <w:shd w:val="clear" w:color="auto" w:fill="auto"/>
            <w:vAlign w:val="center"/>
            <w:hideMark/>
          </w:tcPr>
          <w:p w:rsidR="0000065A" w:rsidRDefault="0000065A" w:rsidP="0000065A">
            <w:pPr>
              <w:jc w:val="right"/>
              <w:rPr>
                <w:i/>
                <w:iCs/>
                <w:szCs w:val="16"/>
              </w:rPr>
            </w:pPr>
            <w:r>
              <w:rPr>
                <w:i/>
                <w:iCs/>
                <w:szCs w:val="16"/>
              </w:rPr>
              <w:t>211,327</w:t>
            </w:r>
          </w:p>
        </w:tc>
        <w:tc>
          <w:tcPr>
            <w:tcW w:w="626" w:type="pct"/>
            <w:tcBorders>
              <w:top w:val="nil"/>
              <w:left w:val="nil"/>
              <w:bottom w:val="single" w:sz="12" w:space="0" w:color="auto"/>
              <w:right w:val="nil"/>
            </w:tcBorders>
            <w:shd w:val="clear" w:color="auto" w:fill="auto"/>
            <w:vAlign w:val="center"/>
            <w:hideMark/>
          </w:tcPr>
          <w:p w:rsidR="0000065A" w:rsidRDefault="0000065A" w:rsidP="0000065A">
            <w:pPr>
              <w:jc w:val="right"/>
              <w:rPr>
                <w:i/>
                <w:iCs/>
                <w:szCs w:val="16"/>
              </w:rPr>
            </w:pPr>
            <w:r>
              <w:rPr>
                <w:i/>
                <w:iCs/>
                <w:szCs w:val="16"/>
              </w:rPr>
              <w:t>81,677</w:t>
            </w:r>
          </w:p>
        </w:tc>
        <w:tc>
          <w:tcPr>
            <w:tcW w:w="641" w:type="pct"/>
            <w:tcBorders>
              <w:top w:val="nil"/>
              <w:left w:val="nil"/>
              <w:bottom w:val="single" w:sz="12" w:space="0" w:color="auto"/>
              <w:right w:val="nil"/>
            </w:tcBorders>
            <w:shd w:val="clear" w:color="auto" w:fill="auto"/>
            <w:vAlign w:val="center"/>
            <w:hideMark/>
          </w:tcPr>
          <w:p w:rsidR="0000065A" w:rsidRDefault="0000065A" w:rsidP="0000065A">
            <w:pPr>
              <w:jc w:val="right"/>
              <w:rPr>
                <w:i/>
                <w:iCs/>
                <w:szCs w:val="16"/>
              </w:rPr>
            </w:pPr>
            <w:r>
              <w:rPr>
                <w:i/>
                <w:iCs/>
                <w:szCs w:val="16"/>
              </w:rPr>
              <w:t>69,921</w:t>
            </w:r>
          </w:p>
        </w:tc>
      </w:tr>
      <w:tr w:rsidR="0000065A" w:rsidRPr="00D5469A" w:rsidTr="009168FC">
        <w:trPr>
          <w:trHeight w:val="288"/>
          <w:jc w:val="center"/>
        </w:trPr>
        <w:tc>
          <w:tcPr>
            <w:tcW w:w="2596" w:type="pct"/>
            <w:tcBorders>
              <w:top w:val="single" w:sz="12" w:space="0" w:color="auto"/>
              <w:left w:val="nil"/>
              <w:bottom w:val="single" w:sz="12" w:space="0" w:color="auto"/>
              <w:right w:val="nil"/>
            </w:tcBorders>
            <w:shd w:val="clear" w:color="auto" w:fill="auto"/>
            <w:vAlign w:val="center"/>
            <w:hideMark/>
          </w:tcPr>
          <w:p w:rsidR="0000065A" w:rsidRPr="00D5469A" w:rsidRDefault="0000065A" w:rsidP="00BF05C2">
            <w:pPr>
              <w:jc w:val="left"/>
              <w:rPr>
                <w:b/>
                <w:bCs/>
                <w:color w:val="auto"/>
                <w:sz w:val="18"/>
                <w:szCs w:val="18"/>
              </w:rPr>
            </w:pPr>
            <w:r w:rsidRPr="00D5469A">
              <w:rPr>
                <w:b/>
                <w:bCs/>
                <w:color w:val="auto"/>
                <w:sz w:val="18"/>
                <w:szCs w:val="18"/>
              </w:rPr>
              <w:t>Net Budgetary Borrowing from the Banking System</w:t>
            </w:r>
          </w:p>
        </w:tc>
        <w:tc>
          <w:tcPr>
            <w:tcW w:w="568" w:type="pct"/>
            <w:tcBorders>
              <w:top w:val="single" w:sz="12" w:space="0" w:color="auto"/>
              <w:left w:val="nil"/>
              <w:bottom w:val="single" w:sz="12" w:space="0" w:color="auto"/>
              <w:right w:val="nil"/>
            </w:tcBorders>
            <w:shd w:val="clear" w:color="auto" w:fill="auto"/>
            <w:vAlign w:val="center"/>
            <w:hideMark/>
          </w:tcPr>
          <w:p w:rsidR="0000065A" w:rsidRDefault="0000065A" w:rsidP="0000065A">
            <w:pPr>
              <w:jc w:val="right"/>
              <w:rPr>
                <w:b/>
                <w:bCs/>
                <w:szCs w:val="16"/>
              </w:rPr>
            </w:pPr>
            <w:r>
              <w:rPr>
                <w:b/>
                <w:bCs/>
                <w:szCs w:val="16"/>
              </w:rPr>
              <w:t>11,596,468</w:t>
            </w:r>
          </w:p>
        </w:tc>
        <w:tc>
          <w:tcPr>
            <w:tcW w:w="569" w:type="pct"/>
            <w:tcBorders>
              <w:top w:val="single" w:sz="12" w:space="0" w:color="auto"/>
              <w:left w:val="nil"/>
              <w:bottom w:val="single" w:sz="12" w:space="0" w:color="auto"/>
              <w:right w:val="nil"/>
            </w:tcBorders>
            <w:shd w:val="clear" w:color="auto" w:fill="auto"/>
            <w:vAlign w:val="center"/>
            <w:hideMark/>
          </w:tcPr>
          <w:p w:rsidR="0000065A" w:rsidRDefault="0000065A" w:rsidP="0000065A">
            <w:pPr>
              <w:jc w:val="right"/>
              <w:rPr>
                <w:b/>
                <w:bCs/>
                <w:szCs w:val="16"/>
              </w:rPr>
            </w:pPr>
            <w:r>
              <w:rPr>
                <w:b/>
                <w:bCs/>
                <w:szCs w:val="16"/>
              </w:rPr>
              <w:t>13,763,948</w:t>
            </w:r>
          </w:p>
        </w:tc>
        <w:tc>
          <w:tcPr>
            <w:tcW w:w="626" w:type="pct"/>
            <w:tcBorders>
              <w:top w:val="single" w:sz="12" w:space="0" w:color="auto"/>
              <w:left w:val="nil"/>
              <w:bottom w:val="single" w:sz="12" w:space="0" w:color="auto"/>
              <w:right w:val="nil"/>
            </w:tcBorders>
            <w:shd w:val="clear" w:color="auto" w:fill="auto"/>
            <w:vAlign w:val="center"/>
            <w:hideMark/>
          </w:tcPr>
          <w:p w:rsidR="0000065A" w:rsidRDefault="0000065A" w:rsidP="0000065A">
            <w:pPr>
              <w:jc w:val="right"/>
              <w:rPr>
                <w:b/>
                <w:bCs/>
                <w:szCs w:val="16"/>
              </w:rPr>
            </w:pPr>
            <w:r>
              <w:rPr>
                <w:b/>
                <w:bCs/>
                <w:szCs w:val="16"/>
              </w:rPr>
              <w:t>2,203,507</w:t>
            </w:r>
          </w:p>
        </w:tc>
        <w:tc>
          <w:tcPr>
            <w:tcW w:w="641" w:type="pct"/>
            <w:tcBorders>
              <w:top w:val="single" w:sz="12" w:space="0" w:color="auto"/>
              <w:left w:val="nil"/>
              <w:bottom w:val="single" w:sz="12" w:space="0" w:color="auto"/>
              <w:right w:val="nil"/>
            </w:tcBorders>
            <w:shd w:val="clear" w:color="auto" w:fill="auto"/>
            <w:vAlign w:val="center"/>
            <w:hideMark/>
          </w:tcPr>
          <w:p w:rsidR="0000065A" w:rsidRDefault="0000065A" w:rsidP="0000065A">
            <w:pPr>
              <w:jc w:val="right"/>
              <w:rPr>
                <w:b/>
                <w:bCs/>
                <w:szCs w:val="16"/>
              </w:rPr>
            </w:pPr>
            <w:r>
              <w:rPr>
                <w:b/>
                <w:bCs/>
                <w:szCs w:val="16"/>
              </w:rPr>
              <w:t>2,167,480</w:t>
            </w:r>
          </w:p>
        </w:tc>
      </w:tr>
      <w:tr w:rsidR="00E07EFE" w:rsidRPr="00D5469A" w:rsidTr="00B4576D">
        <w:trPr>
          <w:trHeight w:val="447"/>
          <w:jc w:val="center"/>
        </w:trPr>
        <w:tc>
          <w:tcPr>
            <w:tcW w:w="5000" w:type="pct"/>
            <w:gridSpan w:val="5"/>
            <w:tcBorders>
              <w:top w:val="nil"/>
              <w:left w:val="nil"/>
              <w:bottom w:val="nil"/>
              <w:right w:val="nil"/>
            </w:tcBorders>
            <w:shd w:val="clear" w:color="auto" w:fill="auto"/>
            <w:vAlign w:val="center"/>
            <w:hideMark/>
          </w:tcPr>
          <w:p w:rsidR="00A5761B" w:rsidRDefault="00255FF0" w:rsidP="00114997">
            <w:pPr>
              <w:jc w:val="left"/>
              <w:rPr>
                <w:color w:val="auto"/>
                <w:sz w:val="14"/>
                <w:szCs w:val="14"/>
              </w:rPr>
            </w:pPr>
            <w:r>
              <w:rPr>
                <w:color w:val="auto"/>
                <w:sz w:val="14"/>
                <w:szCs w:val="14"/>
              </w:rPr>
              <w:t>Note; -</w:t>
            </w:r>
            <w:r w:rsidR="00114997">
              <w:rPr>
                <w:color w:val="auto"/>
                <w:sz w:val="14"/>
                <w:szCs w:val="14"/>
              </w:rPr>
              <w:t xml:space="preserve"> </w:t>
            </w:r>
            <w:r w:rsidR="00B4576D" w:rsidRPr="00B4576D">
              <w:rPr>
                <w:color w:val="auto"/>
                <w:sz w:val="14"/>
                <w:szCs w:val="14"/>
              </w:rPr>
              <w:t xml:space="preserve">From July, 2019, the data on Central and Provincial Government Deposits with Scheduled Banks have been revised. This revision is due to reclassification of some of the PSEs, which were previous reported under Government Institutions. The coverage of PSEs has been enhanced since July 2019. </w:t>
            </w:r>
          </w:p>
          <w:p w:rsidR="00A5761B" w:rsidRDefault="00A5761B" w:rsidP="00A5761B">
            <w:pPr>
              <w:jc w:val="left"/>
              <w:rPr>
                <w:color w:val="auto"/>
                <w:sz w:val="14"/>
                <w:szCs w:val="14"/>
              </w:rPr>
            </w:pPr>
            <w:r w:rsidRPr="00A5761B">
              <w:rPr>
                <w:color w:val="auto"/>
                <w:sz w:val="14"/>
                <w:szCs w:val="14"/>
              </w:rPr>
              <w:t>* it also includes securities purchased from secondary market</w:t>
            </w:r>
            <w:r>
              <w:rPr>
                <w:color w:val="auto"/>
                <w:sz w:val="14"/>
                <w:szCs w:val="14"/>
              </w:rPr>
              <w:t xml:space="preserve"> </w:t>
            </w:r>
            <w:r w:rsidRPr="00A5761B">
              <w:rPr>
                <w:color w:val="auto"/>
                <w:sz w:val="14"/>
                <w:szCs w:val="14"/>
              </w:rPr>
              <w:t>(unde</w:t>
            </w:r>
            <w:r>
              <w:rPr>
                <w:color w:val="auto"/>
                <w:sz w:val="14"/>
                <w:szCs w:val="14"/>
              </w:rPr>
              <w:t>r OMO/B</w:t>
            </w:r>
            <w:r w:rsidRPr="00A5761B">
              <w:rPr>
                <w:color w:val="auto"/>
                <w:sz w:val="14"/>
                <w:szCs w:val="14"/>
              </w:rPr>
              <w:t>ai-</w:t>
            </w:r>
            <w:proofErr w:type="spellStart"/>
            <w:r w:rsidRPr="00A5761B">
              <w:rPr>
                <w:color w:val="auto"/>
                <w:sz w:val="14"/>
                <w:szCs w:val="14"/>
              </w:rPr>
              <w:t>muajjal</w:t>
            </w:r>
            <w:proofErr w:type="spellEnd"/>
            <w:r w:rsidRPr="00A5761B">
              <w:rPr>
                <w:color w:val="auto"/>
                <w:sz w:val="14"/>
                <w:szCs w:val="14"/>
              </w:rPr>
              <w:t>)</w:t>
            </w:r>
          </w:p>
          <w:p w:rsidR="00E07EFE" w:rsidRDefault="00B4576D" w:rsidP="00114997">
            <w:pPr>
              <w:jc w:val="left"/>
              <w:rPr>
                <w:color w:val="auto"/>
                <w:sz w:val="14"/>
                <w:szCs w:val="14"/>
              </w:rPr>
            </w:pPr>
            <w:r w:rsidRPr="00B4576D">
              <w:rPr>
                <w:color w:val="auto"/>
                <w:sz w:val="14"/>
                <w:szCs w:val="14"/>
              </w:rPr>
              <w:t>Detail of changes are available at:</w:t>
            </w:r>
          </w:p>
          <w:p w:rsidR="00B4576D" w:rsidRPr="00114997" w:rsidRDefault="00C07FEB" w:rsidP="00B4576D">
            <w:pPr>
              <w:jc w:val="left"/>
              <w:rPr>
                <w:color w:val="auto"/>
                <w:sz w:val="14"/>
                <w:szCs w:val="14"/>
              </w:rPr>
            </w:pPr>
            <w:hyperlink r:id="rId20" w:history="1">
              <w:r w:rsidR="00B4576D" w:rsidRPr="00846D97">
                <w:rPr>
                  <w:rStyle w:val="Hyperlink"/>
                  <w:sz w:val="14"/>
                  <w:szCs w:val="14"/>
                </w:rPr>
                <w:t>http://www.sbp.org.pk/departments/stats/Expalanatory-Note.pdf</w:t>
              </w:r>
            </w:hyperlink>
          </w:p>
        </w:tc>
      </w:tr>
      <w:tr w:rsidR="00E07EFE" w:rsidRPr="00D5469A" w:rsidTr="00E07EFE">
        <w:trPr>
          <w:trHeight w:val="288"/>
          <w:jc w:val="center"/>
        </w:trPr>
        <w:tc>
          <w:tcPr>
            <w:tcW w:w="5000" w:type="pct"/>
            <w:gridSpan w:val="5"/>
            <w:tcBorders>
              <w:top w:val="nil"/>
              <w:left w:val="nil"/>
              <w:bottom w:val="single" w:sz="12" w:space="0" w:color="auto"/>
              <w:right w:val="nil"/>
            </w:tcBorders>
            <w:shd w:val="clear" w:color="auto" w:fill="auto"/>
            <w:vAlign w:val="center"/>
            <w:hideMark/>
          </w:tcPr>
          <w:p w:rsidR="00E07EFE" w:rsidRDefault="00E07EFE" w:rsidP="00601FB0">
            <w:pPr>
              <w:rPr>
                <w:b/>
                <w:bCs/>
                <w:szCs w:val="16"/>
              </w:rPr>
            </w:pPr>
            <w:r>
              <w:rPr>
                <w:b/>
                <w:bCs/>
                <w:color w:val="auto"/>
                <w:sz w:val="28"/>
                <w:szCs w:val="28"/>
              </w:rPr>
              <w:t>2.8</w:t>
            </w:r>
            <w:r w:rsidRPr="00D5469A">
              <w:rPr>
                <w:b/>
                <w:bCs/>
                <w:color w:val="auto"/>
                <w:sz w:val="28"/>
                <w:szCs w:val="28"/>
              </w:rPr>
              <w:t xml:space="preserve">  Government Borrowing for Commodity Operations</w:t>
            </w:r>
          </w:p>
        </w:tc>
      </w:tr>
      <w:tr w:rsidR="00A44D58" w:rsidRPr="00D5469A" w:rsidTr="00B27873">
        <w:trPr>
          <w:trHeight w:val="259"/>
          <w:jc w:val="center"/>
        </w:trPr>
        <w:tc>
          <w:tcPr>
            <w:tcW w:w="2596" w:type="pct"/>
            <w:tcBorders>
              <w:top w:val="single" w:sz="12" w:space="0" w:color="auto"/>
              <w:left w:val="nil"/>
              <w:bottom w:val="nil"/>
              <w:right w:val="nil"/>
            </w:tcBorders>
            <w:shd w:val="clear" w:color="auto" w:fill="auto"/>
            <w:vAlign w:val="center"/>
            <w:hideMark/>
          </w:tcPr>
          <w:p w:rsidR="00A44D58" w:rsidRPr="00D5469A" w:rsidRDefault="00A44D58" w:rsidP="00B27873">
            <w:pPr>
              <w:ind w:left="402"/>
              <w:jc w:val="left"/>
              <w:rPr>
                <w:color w:val="auto"/>
                <w:szCs w:val="16"/>
              </w:rPr>
            </w:pPr>
            <w:r w:rsidRPr="00D5469A">
              <w:rPr>
                <w:color w:val="auto"/>
                <w:szCs w:val="16"/>
              </w:rPr>
              <w:t>Rice</w:t>
            </w:r>
          </w:p>
        </w:tc>
        <w:tc>
          <w:tcPr>
            <w:tcW w:w="568" w:type="pct"/>
            <w:tcBorders>
              <w:top w:val="single" w:sz="12" w:space="0" w:color="auto"/>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949</w:t>
            </w:r>
          </w:p>
        </w:tc>
        <w:tc>
          <w:tcPr>
            <w:tcW w:w="569" w:type="pct"/>
            <w:tcBorders>
              <w:top w:val="single" w:sz="12" w:space="0" w:color="auto"/>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118</w:t>
            </w:r>
          </w:p>
        </w:tc>
        <w:tc>
          <w:tcPr>
            <w:tcW w:w="626" w:type="pct"/>
            <w:tcBorders>
              <w:top w:val="single" w:sz="12" w:space="0" w:color="auto"/>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(376)</w:t>
            </w:r>
          </w:p>
        </w:tc>
        <w:tc>
          <w:tcPr>
            <w:tcW w:w="641" w:type="pct"/>
            <w:tcBorders>
              <w:top w:val="single" w:sz="12" w:space="0" w:color="auto"/>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(831)</w:t>
            </w:r>
          </w:p>
        </w:tc>
      </w:tr>
      <w:tr w:rsidR="00A44D58" w:rsidRPr="00D5469A" w:rsidTr="00B27873">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B27873">
            <w:pPr>
              <w:ind w:left="402"/>
              <w:jc w:val="left"/>
              <w:rPr>
                <w:color w:val="auto"/>
                <w:szCs w:val="16"/>
              </w:rPr>
            </w:pPr>
            <w:r w:rsidRPr="00D5469A">
              <w:rPr>
                <w:color w:val="auto"/>
                <w:szCs w:val="16"/>
              </w:rPr>
              <w:t>Wheat</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654,170</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697,262</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(73,139)</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43,092</w:t>
            </w:r>
          </w:p>
        </w:tc>
      </w:tr>
      <w:tr w:rsidR="00A44D58" w:rsidRPr="00D5469A" w:rsidTr="00B27873">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B27873">
            <w:pPr>
              <w:ind w:left="402"/>
              <w:jc w:val="left"/>
              <w:rPr>
                <w:color w:val="auto"/>
                <w:szCs w:val="16"/>
              </w:rPr>
            </w:pPr>
            <w:r w:rsidRPr="00D5469A">
              <w:rPr>
                <w:color w:val="auto"/>
                <w:szCs w:val="16"/>
              </w:rPr>
              <w:t>Sugar</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56,074</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66,027</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4,465</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9,952</w:t>
            </w:r>
          </w:p>
        </w:tc>
      </w:tr>
      <w:tr w:rsidR="00A44D58" w:rsidRPr="00D5469A" w:rsidTr="00B27873">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B27873">
            <w:pPr>
              <w:ind w:left="402"/>
              <w:jc w:val="left"/>
              <w:rPr>
                <w:color w:val="auto"/>
                <w:szCs w:val="16"/>
              </w:rPr>
            </w:pPr>
            <w:r w:rsidRPr="00D5469A">
              <w:rPr>
                <w:color w:val="auto"/>
                <w:szCs w:val="16"/>
              </w:rPr>
              <w:t>Fertilizer</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44,056</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48,682</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5,684</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4,626</w:t>
            </w:r>
          </w:p>
        </w:tc>
      </w:tr>
      <w:tr w:rsidR="00A44D58" w:rsidRPr="00D5469A" w:rsidTr="001F2E25">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Seeds</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Oilseeds</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Pulses</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Edible Oil</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Black Mash</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Chilies</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Seed  Meal</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bottom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Gram</w:t>
            </w:r>
          </w:p>
        </w:tc>
        <w:tc>
          <w:tcPr>
            <w:tcW w:w="568"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bottom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Onion</w:t>
            </w:r>
          </w:p>
        </w:tc>
        <w:tc>
          <w:tcPr>
            <w:tcW w:w="568" w:type="pct"/>
            <w:tcBorders>
              <w:top w:val="nil"/>
              <w:left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1F2E25">
        <w:trPr>
          <w:trHeight w:val="259"/>
          <w:jc w:val="center"/>
        </w:trPr>
        <w:tc>
          <w:tcPr>
            <w:tcW w:w="2596" w:type="pct"/>
            <w:tcBorders>
              <w:top w:val="nil"/>
              <w:left w:val="nil"/>
              <w:right w:val="nil"/>
            </w:tcBorders>
            <w:shd w:val="clear" w:color="auto" w:fill="auto"/>
            <w:vAlign w:val="center"/>
            <w:hideMark/>
          </w:tcPr>
          <w:p w:rsidR="00A44D58" w:rsidRPr="00D5469A" w:rsidRDefault="00A44D58" w:rsidP="00CD777A">
            <w:pPr>
              <w:ind w:left="402"/>
              <w:jc w:val="left"/>
              <w:rPr>
                <w:color w:val="auto"/>
                <w:szCs w:val="16"/>
              </w:rPr>
            </w:pPr>
            <w:r w:rsidRPr="00D5469A">
              <w:rPr>
                <w:color w:val="auto"/>
                <w:szCs w:val="16"/>
              </w:rPr>
              <w:t>Potatoes</w:t>
            </w:r>
          </w:p>
        </w:tc>
        <w:tc>
          <w:tcPr>
            <w:tcW w:w="568" w:type="pct"/>
            <w:tcBorders>
              <w:top w:val="nil"/>
              <w:left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569" w:type="pct"/>
            <w:tcBorders>
              <w:top w:val="nil"/>
              <w:left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26" w:type="pct"/>
            <w:tcBorders>
              <w:top w:val="nil"/>
              <w:left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c>
          <w:tcPr>
            <w:tcW w:w="641" w:type="pct"/>
            <w:tcBorders>
              <w:top w:val="nil"/>
              <w:left w:val="nil"/>
              <w:right w:val="nil"/>
            </w:tcBorders>
            <w:shd w:val="clear" w:color="auto" w:fill="auto"/>
            <w:tcMar>
              <w:left w:w="72" w:type="dxa"/>
              <w:right w:w="72" w:type="dxa"/>
            </w:tcMar>
            <w:vAlign w:val="center"/>
            <w:hideMark/>
          </w:tcPr>
          <w:p w:rsidR="00A44D58" w:rsidRDefault="00A44D58" w:rsidP="00A44D58">
            <w:pPr>
              <w:jc w:val="right"/>
              <w:rPr>
                <w:szCs w:val="16"/>
              </w:rPr>
            </w:pPr>
            <w:r>
              <w:rPr>
                <w:szCs w:val="16"/>
              </w:rPr>
              <w:t>-</w:t>
            </w:r>
          </w:p>
        </w:tc>
      </w:tr>
      <w:tr w:rsidR="00A44D58" w:rsidRPr="00D5469A" w:rsidTr="00B27873">
        <w:trPr>
          <w:trHeight w:val="259"/>
          <w:jc w:val="center"/>
        </w:trPr>
        <w:tc>
          <w:tcPr>
            <w:tcW w:w="2596" w:type="pct"/>
            <w:tcBorders>
              <w:left w:val="nil"/>
              <w:bottom w:val="single" w:sz="12" w:space="0" w:color="auto"/>
              <w:right w:val="nil"/>
            </w:tcBorders>
            <w:shd w:val="clear" w:color="auto" w:fill="auto"/>
            <w:vAlign w:val="center"/>
          </w:tcPr>
          <w:p w:rsidR="00A44D58" w:rsidRPr="00D5469A" w:rsidRDefault="00A44D58" w:rsidP="00B27873">
            <w:pPr>
              <w:ind w:left="402"/>
              <w:jc w:val="left"/>
              <w:rPr>
                <w:color w:val="auto"/>
                <w:szCs w:val="16"/>
              </w:rPr>
            </w:pPr>
            <w:r w:rsidRPr="00D5469A">
              <w:rPr>
                <w:color w:val="auto"/>
                <w:szCs w:val="16"/>
              </w:rPr>
              <w:t>Cotton</w:t>
            </w:r>
          </w:p>
        </w:tc>
        <w:tc>
          <w:tcPr>
            <w:tcW w:w="568" w:type="pct"/>
            <w:tcBorders>
              <w:left w:val="nil"/>
              <w:bottom w:val="single" w:sz="12" w:space="0" w:color="auto"/>
              <w:right w:val="nil"/>
            </w:tcBorders>
            <w:shd w:val="clear" w:color="auto" w:fill="auto"/>
            <w:tcMar>
              <w:left w:w="72" w:type="dxa"/>
              <w:right w:w="72" w:type="dxa"/>
            </w:tcMar>
            <w:vAlign w:val="center"/>
          </w:tcPr>
          <w:p w:rsidR="00A44D58" w:rsidRDefault="00A44D58" w:rsidP="00A44D58">
            <w:pPr>
              <w:jc w:val="right"/>
              <w:rPr>
                <w:szCs w:val="16"/>
              </w:rPr>
            </w:pPr>
            <w:r>
              <w:rPr>
                <w:szCs w:val="16"/>
              </w:rPr>
              <w:t>1,167</w:t>
            </w:r>
          </w:p>
        </w:tc>
        <w:tc>
          <w:tcPr>
            <w:tcW w:w="569" w:type="pct"/>
            <w:tcBorders>
              <w:left w:val="nil"/>
              <w:bottom w:val="single" w:sz="12" w:space="0" w:color="auto"/>
              <w:right w:val="nil"/>
            </w:tcBorders>
            <w:shd w:val="clear" w:color="auto" w:fill="auto"/>
            <w:tcMar>
              <w:left w:w="72" w:type="dxa"/>
              <w:right w:w="72" w:type="dxa"/>
            </w:tcMar>
            <w:vAlign w:val="center"/>
          </w:tcPr>
          <w:p w:rsidR="00A44D58" w:rsidRDefault="00A44D58" w:rsidP="00A44D58">
            <w:pPr>
              <w:jc w:val="right"/>
              <w:rPr>
                <w:szCs w:val="16"/>
              </w:rPr>
            </w:pPr>
            <w:r>
              <w:rPr>
                <w:szCs w:val="16"/>
              </w:rPr>
              <w:t>1,345</w:t>
            </w:r>
          </w:p>
        </w:tc>
        <w:tc>
          <w:tcPr>
            <w:tcW w:w="626" w:type="pct"/>
            <w:tcBorders>
              <w:left w:val="nil"/>
              <w:bottom w:val="single" w:sz="12" w:space="0" w:color="auto"/>
              <w:right w:val="nil"/>
            </w:tcBorders>
            <w:shd w:val="clear" w:color="auto" w:fill="auto"/>
            <w:tcMar>
              <w:left w:w="72" w:type="dxa"/>
              <w:right w:w="72" w:type="dxa"/>
            </w:tcMar>
            <w:vAlign w:val="center"/>
          </w:tcPr>
          <w:p w:rsidR="00A44D58" w:rsidRDefault="00A44D58" w:rsidP="00A44D58">
            <w:pPr>
              <w:jc w:val="right"/>
              <w:rPr>
                <w:szCs w:val="16"/>
              </w:rPr>
            </w:pPr>
            <w:r>
              <w:rPr>
                <w:szCs w:val="16"/>
              </w:rPr>
              <w:t>102</w:t>
            </w:r>
          </w:p>
        </w:tc>
        <w:tc>
          <w:tcPr>
            <w:tcW w:w="641" w:type="pct"/>
            <w:tcBorders>
              <w:left w:val="nil"/>
              <w:bottom w:val="single" w:sz="12" w:space="0" w:color="auto"/>
              <w:right w:val="nil"/>
            </w:tcBorders>
            <w:shd w:val="clear" w:color="auto" w:fill="auto"/>
            <w:tcMar>
              <w:left w:w="72" w:type="dxa"/>
              <w:right w:w="72" w:type="dxa"/>
            </w:tcMar>
            <w:vAlign w:val="center"/>
          </w:tcPr>
          <w:p w:rsidR="00A44D58" w:rsidRDefault="00A44D58" w:rsidP="00A44D58">
            <w:pPr>
              <w:jc w:val="right"/>
              <w:rPr>
                <w:szCs w:val="16"/>
              </w:rPr>
            </w:pPr>
            <w:r>
              <w:rPr>
                <w:szCs w:val="16"/>
              </w:rPr>
              <w:t>178</w:t>
            </w:r>
          </w:p>
        </w:tc>
      </w:tr>
      <w:tr w:rsidR="00A44D58" w:rsidRPr="00D5469A" w:rsidTr="00B27873">
        <w:trPr>
          <w:trHeight w:val="259"/>
          <w:jc w:val="center"/>
        </w:trPr>
        <w:tc>
          <w:tcPr>
            <w:tcW w:w="2596" w:type="pct"/>
            <w:tcBorders>
              <w:top w:val="nil"/>
              <w:left w:val="nil"/>
              <w:bottom w:val="single" w:sz="12" w:space="0" w:color="auto"/>
              <w:right w:val="nil"/>
            </w:tcBorders>
            <w:shd w:val="clear" w:color="auto" w:fill="auto"/>
            <w:vAlign w:val="center"/>
          </w:tcPr>
          <w:p w:rsidR="00A44D58" w:rsidRPr="00D5469A" w:rsidRDefault="00A44D58" w:rsidP="00B27873">
            <w:pPr>
              <w:ind w:left="402"/>
              <w:jc w:val="both"/>
              <w:rPr>
                <w:b/>
                <w:color w:val="auto"/>
                <w:sz w:val="18"/>
                <w:szCs w:val="18"/>
              </w:rPr>
            </w:pPr>
            <w:r w:rsidRPr="00D5469A">
              <w:rPr>
                <w:b/>
                <w:color w:val="auto"/>
                <w:sz w:val="18"/>
                <w:szCs w:val="18"/>
              </w:rPr>
              <w:t>Total</w:t>
            </w:r>
          </w:p>
        </w:tc>
        <w:tc>
          <w:tcPr>
            <w:tcW w:w="568" w:type="pct"/>
            <w:tcBorders>
              <w:top w:val="nil"/>
              <w:left w:val="nil"/>
              <w:bottom w:val="single" w:sz="12" w:space="0" w:color="auto"/>
              <w:right w:val="nil"/>
            </w:tcBorders>
            <w:shd w:val="clear" w:color="auto" w:fill="auto"/>
            <w:tcMar>
              <w:left w:w="72" w:type="dxa"/>
              <w:right w:w="72" w:type="dxa"/>
            </w:tcMar>
            <w:vAlign w:val="center"/>
          </w:tcPr>
          <w:p w:rsidR="00A44D58" w:rsidRDefault="00A44D58" w:rsidP="00A44D58">
            <w:pPr>
              <w:jc w:val="right"/>
              <w:rPr>
                <w:b/>
                <w:bCs/>
                <w:szCs w:val="16"/>
              </w:rPr>
            </w:pPr>
            <w:r>
              <w:rPr>
                <w:b/>
                <w:bCs/>
                <w:szCs w:val="16"/>
              </w:rPr>
              <w:t>756,416</w:t>
            </w:r>
          </w:p>
        </w:tc>
        <w:tc>
          <w:tcPr>
            <w:tcW w:w="569" w:type="pct"/>
            <w:tcBorders>
              <w:top w:val="nil"/>
              <w:left w:val="nil"/>
              <w:bottom w:val="single" w:sz="12" w:space="0" w:color="auto"/>
              <w:right w:val="nil"/>
            </w:tcBorders>
            <w:shd w:val="clear" w:color="auto" w:fill="auto"/>
            <w:tcMar>
              <w:left w:w="72" w:type="dxa"/>
              <w:right w:w="72" w:type="dxa"/>
            </w:tcMar>
            <w:vAlign w:val="center"/>
          </w:tcPr>
          <w:p w:rsidR="00A44D58" w:rsidRDefault="00A44D58" w:rsidP="00A44D58">
            <w:pPr>
              <w:jc w:val="right"/>
              <w:rPr>
                <w:b/>
                <w:bCs/>
                <w:szCs w:val="16"/>
              </w:rPr>
            </w:pPr>
            <w:r>
              <w:rPr>
                <w:b/>
                <w:bCs/>
                <w:szCs w:val="16"/>
              </w:rPr>
              <w:t>813,435</w:t>
            </w:r>
          </w:p>
        </w:tc>
        <w:tc>
          <w:tcPr>
            <w:tcW w:w="626" w:type="pct"/>
            <w:tcBorders>
              <w:top w:val="nil"/>
              <w:left w:val="nil"/>
              <w:bottom w:val="single" w:sz="12" w:space="0" w:color="auto"/>
              <w:right w:val="nil"/>
            </w:tcBorders>
            <w:shd w:val="clear" w:color="auto" w:fill="auto"/>
            <w:tcMar>
              <w:left w:w="72" w:type="dxa"/>
              <w:right w:w="72" w:type="dxa"/>
            </w:tcMar>
            <w:vAlign w:val="center"/>
          </w:tcPr>
          <w:p w:rsidR="00A44D58" w:rsidRDefault="00A44D58" w:rsidP="00A44D58">
            <w:pPr>
              <w:jc w:val="right"/>
              <w:rPr>
                <w:b/>
                <w:bCs/>
                <w:szCs w:val="16"/>
              </w:rPr>
            </w:pPr>
            <w:r>
              <w:rPr>
                <w:b/>
                <w:bCs/>
                <w:szCs w:val="16"/>
              </w:rPr>
              <w:t>(63,264)</w:t>
            </w:r>
          </w:p>
        </w:tc>
        <w:tc>
          <w:tcPr>
            <w:tcW w:w="641" w:type="pct"/>
            <w:tcBorders>
              <w:top w:val="nil"/>
              <w:left w:val="nil"/>
              <w:bottom w:val="single" w:sz="12" w:space="0" w:color="auto"/>
              <w:right w:val="nil"/>
            </w:tcBorders>
            <w:shd w:val="clear" w:color="auto" w:fill="auto"/>
            <w:tcMar>
              <w:left w:w="72" w:type="dxa"/>
              <w:right w:w="72" w:type="dxa"/>
            </w:tcMar>
            <w:vAlign w:val="center"/>
          </w:tcPr>
          <w:p w:rsidR="00A44D58" w:rsidRDefault="00A44D58" w:rsidP="00A44D58">
            <w:pPr>
              <w:jc w:val="right"/>
              <w:rPr>
                <w:b/>
                <w:bCs/>
                <w:szCs w:val="16"/>
              </w:rPr>
            </w:pPr>
            <w:r>
              <w:rPr>
                <w:b/>
                <w:bCs/>
                <w:szCs w:val="16"/>
              </w:rPr>
              <w:t>57,019</w:t>
            </w:r>
          </w:p>
        </w:tc>
      </w:tr>
      <w:tr w:rsidR="000B24E7" w:rsidRPr="00D5469A" w:rsidTr="00E07EFE">
        <w:trPr>
          <w:trHeight w:val="288"/>
          <w:jc w:val="center"/>
        </w:trPr>
        <w:tc>
          <w:tcPr>
            <w:tcW w:w="5000" w:type="pct"/>
            <w:gridSpan w:val="5"/>
            <w:tcBorders>
              <w:top w:val="single" w:sz="12" w:space="0" w:color="auto"/>
              <w:left w:val="nil"/>
              <w:right w:val="nil"/>
            </w:tcBorders>
            <w:shd w:val="clear" w:color="auto" w:fill="auto"/>
            <w:vAlign w:val="center"/>
          </w:tcPr>
          <w:p w:rsidR="000B24E7" w:rsidRDefault="000B24E7" w:rsidP="00037ADD">
            <w:pPr>
              <w:jc w:val="right"/>
              <w:rPr>
                <w:b/>
                <w:bCs/>
                <w:szCs w:val="16"/>
              </w:rPr>
            </w:pPr>
            <w:r>
              <w:rPr>
                <w:sz w:val="14"/>
                <w:szCs w:val="14"/>
              </w:rPr>
              <w:t>Source: Statistics &amp; Data Warehouse Department SBP</w:t>
            </w:r>
          </w:p>
        </w:tc>
      </w:tr>
    </w:tbl>
    <w:p w:rsidR="00E23D58" w:rsidRPr="00D5469A" w:rsidRDefault="00E23D58" w:rsidP="0069571C">
      <w:pPr>
        <w:jc w:val="left"/>
        <w:rPr>
          <w:color w:val="auto"/>
        </w:rPr>
      </w:pPr>
    </w:p>
    <w:p w:rsidR="008B2948" w:rsidRDefault="008B2948" w:rsidP="0069571C">
      <w:pPr>
        <w:jc w:val="left"/>
        <w:rPr>
          <w:color w:val="auto"/>
        </w:rPr>
      </w:pPr>
    </w:p>
    <w:p w:rsidR="00A1737C" w:rsidRDefault="00A1737C" w:rsidP="00ED1347">
      <w:pPr>
        <w:jc w:val="right"/>
        <w:rPr>
          <w:color w:val="auto"/>
        </w:rPr>
      </w:pPr>
    </w:p>
    <w:p w:rsidR="00601FB0" w:rsidRPr="00D5469A" w:rsidRDefault="00601FB0" w:rsidP="0069571C">
      <w:pPr>
        <w:jc w:val="left"/>
        <w:rPr>
          <w:color w:val="auto"/>
        </w:rPr>
      </w:pPr>
    </w:p>
    <w:tbl>
      <w:tblPr>
        <w:tblW w:w="10440" w:type="dxa"/>
        <w:jc w:val="center"/>
        <w:tblLayout w:type="fixed"/>
        <w:tblLook w:val="04A0" w:firstRow="1" w:lastRow="0" w:firstColumn="1" w:lastColumn="0" w:noHBand="0" w:noVBand="1"/>
      </w:tblPr>
      <w:tblGrid>
        <w:gridCol w:w="2430"/>
        <w:gridCol w:w="810"/>
        <w:gridCol w:w="900"/>
        <w:gridCol w:w="900"/>
        <w:gridCol w:w="887"/>
        <w:gridCol w:w="900"/>
        <w:gridCol w:w="900"/>
        <w:gridCol w:w="900"/>
        <w:gridCol w:w="900"/>
        <w:gridCol w:w="913"/>
      </w:tblGrid>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601FB0" w:rsidP="000C3431">
            <w:pPr>
              <w:rPr>
                <w:b/>
                <w:bCs/>
                <w:color w:val="auto"/>
                <w:sz w:val="28"/>
                <w:szCs w:val="28"/>
              </w:rPr>
            </w:pPr>
            <w:r>
              <w:rPr>
                <w:b/>
                <w:bCs/>
                <w:color w:val="auto"/>
                <w:sz w:val="28"/>
                <w:szCs w:val="28"/>
              </w:rPr>
              <w:t>2.9</w:t>
            </w:r>
            <w:r w:rsidR="000C3431" w:rsidRPr="000C3431">
              <w:rPr>
                <w:b/>
                <w:bCs/>
                <w:color w:val="auto"/>
                <w:sz w:val="28"/>
                <w:szCs w:val="28"/>
              </w:rPr>
              <w:t xml:space="preserve"> Liabilities and Assets of </w:t>
            </w:r>
            <w:r w:rsidR="000C3431" w:rsidRPr="000C3431">
              <w:rPr>
                <w:color w:val="auto"/>
                <w:szCs w:val="16"/>
              </w:rPr>
              <w:t xml:space="preserve"> </w:t>
            </w:r>
            <w:r w:rsidR="000C3431" w:rsidRPr="000C3431">
              <w:rPr>
                <w:b/>
                <w:bCs/>
                <w:color w:val="auto"/>
                <w:sz w:val="28"/>
                <w:szCs w:val="28"/>
              </w:rPr>
              <w:t>State  Bank  of   Pakistan</w:t>
            </w:r>
          </w:p>
        </w:tc>
      </w:tr>
      <w:tr w:rsidR="000C3431" w:rsidRPr="000C3431" w:rsidTr="00DD7280">
        <w:trPr>
          <w:trHeight w:val="375"/>
          <w:jc w:val="center"/>
        </w:trPr>
        <w:tc>
          <w:tcPr>
            <w:tcW w:w="10440" w:type="dxa"/>
            <w:gridSpan w:val="10"/>
            <w:tcBorders>
              <w:top w:val="nil"/>
              <w:left w:val="nil"/>
              <w:bottom w:val="nil"/>
              <w:right w:val="nil"/>
            </w:tcBorders>
            <w:shd w:val="clear" w:color="auto" w:fill="auto"/>
            <w:hideMark/>
          </w:tcPr>
          <w:p w:rsidR="000C3431" w:rsidRPr="000C3431" w:rsidRDefault="000C3431" w:rsidP="000C3431">
            <w:pPr>
              <w:rPr>
                <w:b/>
                <w:bCs/>
                <w:color w:val="auto"/>
                <w:sz w:val="28"/>
                <w:szCs w:val="28"/>
              </w:rPr>
            </w:pPr>
            <w:r w:rsidRPr="000C3431">
              <w:rPr>
                <w:b/>
                <w:bCs/>
                <w:color w:val="auto"/>
                <w:sz w:val="28"/>
                <w:szCs w:val="28"/>
              </w:rPr>
              <w:t>Issue Department</w:t>
            </w:r>
          </w:p>
        </w:tc>
      </w:tr>
      <w:tr w:rsidR="000C3431" w:rsidRPr="000C3431" w:rsidTr="00DD7280">
        <w:trPr>
          <w:trHeight w:val="315"/>
          <w:jc w:val="center"/>
        </w:trPr>
        <w:tc>
          <w:tcPr>
            <w:tcW w:w="10440" w:type="dxa"/>
            <w:gridSpan w:val="10"/>
            <w:tcBorders>
              <w:top w:val="nil"/>
              <w:left w:val="nil"/>
              <w:bottom w:val="single" w:sz="12" w:space="0" w:color="auto"/>
              <w:right w:val="nil"/>
            </w:tcBorders>
            <w:shd w:val="clear" w:color="auto" w:fill="auto"/>
            <w:vAlign w:val="bottom"/>
            <w:hideMark/>
          </w:tcPr>
          <w:p w:rsidR="000C3431" w:rsidRPr="000C3431" w:rsidRDefault="000C3431" w:rsidP="000C3431">
            <w:pPr>
              <w:jc w:val="right"/>
              <w:rPr>
                <w:color w:val="auto"/>
                <w:szCs w:val="16"/>
              </w:rPr>
            </w:pPr>
            <w:r w:rsidRPr="000C3431">
              <w:rPr>
                <w:color w:val="auto"/>
                <w:szCs w:val="16"/>
              </w:rPr>
              <w:t>(Million Rupees)</w:t>
            </w:r>
          </w:p>
        </w:tc>
      </w:tr>
      <w:tr w:rsidR="00ED1347" w:rsidRPr="000C3431" w:rsidTr="00E346E4">
        <w:trPr>
          <w:trHeight w:val="360"/>
          <w:jc w:val="center"/>
        </w:trPr>
        <w:tc>
          <w:tcPr>
            <w:tcW w:w="2430" w:type="dxa"/>
            <w:vMerge w:val="restart"/>
            <w:tcBorders>
              <w:top w:val="nil"/>
              <w:left w:val="nil"/>
              <w:bottom w:val="single" w:sz="12" w:space="0" w:color="000000"/>
              <w:right w:val="single" w:sz="4" w:space="0" w:color="auto"/>
            </w:tcBorders>
            <w:shd w:val="clear" w:color="auto" w:fill="auto"/>
            <w:vAlign w:val="bottom"/>
            <w:hideMark/>
          </w:tcPr>
          <w:p w:rsidR="00ED1347" w:rsidRPr="000C3431" w:rsidRDefault="00ED1347" w:rsidP="00AB7A08">
            <w:pPr>
              <w:rPr>
                <w:b/>
                <w:bCs/>
                <w:color w:val="auto"/>
                <w:sz w:val="14"/>
                <w:szCs w:val="14"/>
              </w:rPr>
            </w:pPr>
            <w:r w:rsidRPr="000C3431">
              <w:rPr>
                <w:b/>
                <w:bCs/>
                <w:color w:val="auto"/>
                <w:sz w:val="14"/>
                <w:szCs w:val="14"/>
              </w:rPr>
              <w:t>LAST WEEDENK</w:t>
            </w:r>
          </w:p>
        </w:tc>
        <w:tc>
          <w:tcPr>
            <w:tcW w:w="810" w:type="dxa"/>
            <w:vMerge w:val="restart"/>
            <w:tcBorders>
              <w:top w:val="single" w:sz="12" w:space="0" w:color="auto"/>
              <w:left w:val="single" w:sz="4" w:space="0" w:color="auto"/>
              <w:right w:val="single" w:sz="4" w:space="0" w:color="auto"/>
            </w:tcBorders>
            <w:shd w:val="clear" w:color="auto" w:fill="auto"/>
            <w:vAlign w:val="center"/>
            <w:hideMark/>
          </w:tcPr>
          <w:p w:rsidR="00ED1347" w:rsidRPr="00AB7A08" w:rsidRDefault="00ED1347" w:rsidP="00AB7A08">
            <w:pPr>
              <w:jc w:val="right"/>
              <w:rPr>
                <w:b/>
                <w:bCs/>
                <w:color w:val="auto"/>
                <w:szCs w:val="16"/>
              </w:rPr>
            </w:pPr>
            <w:r w:rsidRPr="00AB7A08">
              <w:rPr>
                <w:b/>
                <w:bCs/>
                <w:color w:val="auto"/>
                <w:szCs w:val="16"/>
              </w:rPr>
              <w:t>FY17</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AB7A08">
            <w:pPr>
              <w:jc w:val="right"/>
              <w:rPr>
                <w:b/>
                <w:bCs/>
                <w:color w:val="auto"/>
                <w:szCs w:val="16"/>
              </w:rPr>
            </w:pPr>
            <w:r w:rsidRPr="00AB7A08">
              <w:rPr>
                <w:b/>
                <w:bCs/>
                <w:color w:val="auto"/>
                <w:szCs w:val="16"/>
              </w:rPr>
              <w:t>FY18</w:t>
            </w:r>
          </w:p>
        </w:tc>
        <w:tc>
          <w:tcPr>
            <w:tcW w:w="900" w:type="dxa"/>
            <w:vMerge w:val="restart"/>
            <w:tcBorders>
              <w:top w:val="nil"/>
              <w:left w:val="single" w:sz="4" w:space="0" w:color="auto"/>
              <w:right w:val="single" w:sz="4" w:space="0" w:color="auto"/>
            </w:tcBorders>
            <w:shd w:val="clear" w:color="auto" w:fill="auto"/>
            <w:vAlign w:val="center"/>
          </w:tcPr>
          <w:p w:rsidR="00ED1347" w:rsidRPr="00AB7A08" w:rsidRDefault="00ED1347" w:rsidP="00246F19">
            <w:pPr>
              <w:jc w:val="right"/>
              <w:rPr>
                <w:b/>
                <w:bCs/>
                <w:color w:val="auto"/>
                <w:szCs w:val="16"/>
              </w:rPr>
            </w:pPr>
            <w:r w:rsidRPr="00AB7A08">
              <w:rPr>
                <w:b/>
                <w:bCs/>
                <w:color w:val="auto"/>
                <w:szCs w:val="16"/>
              </w:rPr>
              <w:t>FY19</w:t>
            </w:r>
          </w:p>
        </w:tc>
        <w:tc>
          <w:tcPr>
            <w:tcW w:w="1787" w:type="dxa"/>
            <w:gridSpan w:val="2"/>
            <w:tcBorders>
              <w:top w:val="nil"/>
              <w:left w:val="single" w:sz="4" w:space="0" w:color="auto"/>
              <w:bottom w:val="single" w:sz="4" w:space="0" w:color="auto"/>
              <w:right w:val="single" w:sz="4" w:space="0" w:color="auto"/>
            </w:tcBorders>
            <w:shd w:val="clear" w:color="auto" w:fill="auto"/>
            <w:vAlign w:val="center"/>
          </w:tcPr>
          <w:p w:rsidR="00ED1347" w:rsidRPr="006619BF" w:rsidRDefault="00ED1347" w:rsidP="00AB7A08">
            <w:pPr>
              <w:rPr>
                <w:b/>
                <w:bCs/>
                <w:color w:val="auto"/>
                <w:szCs w:val="16"/>
              </w:rPr>
            </w:pPr>
            <w:r>
              <w:rPr>
                <w:b/>
                <w:bCs/>
                <w:color w:val="auto"/>
                <w:szCs w:val="16"/>
              </w:rPr>
              <w:t>2019</w:t>
            </w:r>
          </w:p>
        </w:tc>
        <w:tc>
          <w:tcPr>
            <w:tcW w:w="3613" w:type="dxa"/>
            <w:gridSpan w:val="4"/>
            <w:tcBorders>
              <w:top w:val="single" w:sz="12" w:space="0" w:color="auto"/>
              <w:left w:val="single" w:sz="4" w:space="0" w:color="auto"/>
              <w:bottom w:val="single" w:sz="4" w:space="0" w:color="auto"/>
              <w:right w:val="nil"/>
            </w:tcBorders>
            <w:shd w:val="clear" w:color="auto" w:fill="auto"/>
            <w:vAlign w:val="center"/>
          </w:tcPr>
          <w:p w:rsidR="00ED1347" w:rsidRPr="006619BF" w:rsidRDefault="00ED1347" w:rsidP="00AB7A08">
            <w:pPr>
              <w:rPr>
                <w:b/>
                <w:bCs/>
                <w:color w:val="auto"/>
                <w:szCs w:val="16"/>
              </w:rPr>
            </w:pPr>
            <w:r>
              <w:rPr>
                <w:b/>
                <w:bCs/>
                <w:color w:val="auto"/>
                <w:szCs w:val="16"/>
              </w:rPr>
              <w:t>2020</w:t>
            </w:r>
          </w:p>
        </w:tc>
      </w:tr>
      <w:tr w:rsidR="00C81E06" w:rsidRPr="000C3431" w:rsidTr="00E346E4">
        <w:trPr>
          <w:trHeight w:val="360"/>
          <w:jc w:val="center"/>
        </w:trPr>
        <w:tc>
          <w:tcPr>
            <w:tcW w:w="2430" w:type="dxa"/>
            <w:vMerge/>
            <w:tcBorders>
              <w:top w:val="nil"/>
              <w:left w:val="nil"/>
              <w:bottom w:val="single" w:sz="12" w:space="0" w:color="000000"/>
              <w:right w:val="single" w:sz="4" w:space="0" w:color="auto"/>
            </w:tcBorders>
            <w:vAlign w:val="center"/>
            <w:hideMark/>
          </w:tcPr>
          <w:p w:rsidR="00C81E06" w:rsidRPr="000C3431" w:rsidRDefault="00C81E06" w:rsidP="00C81E06">
            <w:pPr>
              <w:jc w:val="lef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887"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900"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900"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Mar</w:t>
            </w:r>
          </w:p>
        </w:tc>
        <w:tc>
          <w:tcPr>
            <w:tcW w:w="900"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90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913"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0C3431" w:rsidTr="001E5D12">
        <w:trPr>
          <w:trHeight w:val="360"/>
          <w:jc w:val="center"/>
        </w:trPr>
        <w:tc>
          <w:tcPr>
            <w:tcW w:w="2430" w:type="dxa"/>
            <w:tcBorders>
              <w:top w:val="nil"/>
              <w:left w:val="nil"/>
              <w:bottom w:val="nil"/>
              <w:right w:val="nil"/>
            </w:tcBorders>
            <w:shd w:val="clear" w:color="auto" w:fill="auto"/>
            <w:vAlign w:val="center"/>
            <w:hideMark/>
          </w:tcPr>
          <w:p w:rsidR="00C81E06" w:rsidRPr="000C3431" w:rsidRDefault="00C81E06" w:rsidP="00C81E06">
            <w:pPr>
              <w:jc w:val="left"/>
              <w:rPr>
                <w:b/>
                <w:bCs/>
                <w:color w:val="auto"/>
                <w:sz w:val="14"/>
                <w:szCs w:val="14"/>
              </w:rPr>
            </w:pPr>
            <w:r w:rsidRPr="000C3431">
              <w:rPr>
                <w:b/>
                <w:bCs/>
                <w:color w:val="auto"/>
                <w:sz w:val="14"/>
                <w:szCs w:val="14"/>
              </w:rPr>
              <w:t xml:space="preserve">L I A B I L I T I E S     </w:t>
            </w:r>
          </w:p>
        </w:tc>
        <w:tc>
          <w:tcPr>
            <w:tcW w:w="810" w:type="dxa"/>
            <w:tcBorders>
              <w:top w:val="nil"/>
              <w:left w:val="nil"/>
              <w:bottom w:val="nil"/>
              <w:right w:val="nil"/>
            </w:tcBorders>
            <w:shd w:val="clear" w:color="auto" w:fill="auto"/>
            <w:tcMar>
              <w:left w:w="43" w:type="dxa"/>
              <w:right w:w="43" w:type="dxa"/>
            </w:tcMar>
            <w:vAlign w:val="center"/>
            <w:hideMark/>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887"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c>
          <w:tcPr>
            <w:tcW w:w="900" w:type="dxa"/>
            <w:tcBorders>
              <w:top w:val="nil"/>
              <w:left w:val="nil"/>
              <w:bottom w:val="nil"/>
              <w:right w:val="nil"/>
            </w:tcBorders>
            <w:shd w:val="clear" w:color="auto" w:fill="auto"/>
            <w:noWrap/>
            <w:tcMar>
              <w:left w:w="43" w:type="dxa"/>
              <w:right w:w="43" w:type="dxa"/>
            </w:tcMar>
            <w:vAlign w:val="center"/>
          </w:tcPr>
          <w:p w:rsidR="00C81E06" w:rsidRPr="000C3431" w:rsidRDefault="00C81E06" w:rsidP="00C81E06">
            <w:pPr>
              <w:jc w:val="right"/>
              <w:rPr>
                <w:color w:val="auto"/>
                <w:sz w:val="14"/>
                <w:szCs w:val="14"/>
              </w:rPr>
            </w:pPr>
          </w:p>
        </w:tc>
        <w:tc>
          <w:tcPr>
            <w:tcW w:w="913" w:type="dxa"/>
            <w:tcBorders>
              <w:top w:val="nil"/>
              <w:left w:val="nil"/>
              <w:bottom w:val="nil"/>
              <w:right w:val="nil"/>
            </w:tcBorders>
            <w:shd w:val="clear" w:color="auto" w:fill="auto"/>
            <w:tcMar>
              <w:left w:w="43" w:type="dxa"/>
              <w:right w:w="43" w:type="dxa"/>
            </w:tcMar>
            <w:vAlign w:val="center"/>
          </w:tcPr>
          <w:p w:rsidR="00C81E06" w:rsidRPr="000C3431" w:rsidRDefault="00C81E06" w:rsidP="00C81E06">
            <w:pPr>
              <w:jc w:val="right"/>
              <w:rPr>
                <w:color w:val="auto"/>
                <w:sz w:val="14"/>
                <w:szCs w:val="14"/>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Chars="156" w:left="250" w:firstLineChars="1" w:firstLine="1"/>
              <w:jc w:val="left"/>
              <w:rPr>
                <w:color w:val="auto"/>
                <w:sz w:val="14"/>
                <w:szCs w:val="14"/>
              </w:rPr>
            </w:pPr>
            <w:r w:rsidRPr="000C3431">
              <w:rPr>
                <w:color w:val="auto"/>
                <w:sz w:val="14"/>
                <w:szCs w:val="14"/>
              </w:rPr>
              <w:t>Notes held  in  the Banking Department</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111.4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196.7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198.8</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107.2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198.8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128.8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148.4</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146.1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186.2</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Notes in Circulation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4,167,135.8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4,689,317.5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5,318,986.8</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5,412,362.4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5,318,986.8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5,963,808.6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6,233,280.9</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6,744,868.1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6,492,086.2</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r w:rsidRPr="000C3431">
              <w:rPr>
                <w:b/>
                <w:bCs/>
                <w:color w:val="auto"/>
                <w:sz w:val="14"/>
                <w:szCs w:val="14"/>
              </w:rPr>
              <w:t>Total Liabilities /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4,167,247.2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4,689,514.2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5,319,185.5</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5,412,469.6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5,319,185.5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5,963,937.5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6,233,429.3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6,745,014.2</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6,492,272.4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jc w:val="left"/>
              <w:rPr>
                <w:b/>
                <w:bCs/>
                <w:color w:val="auto"/>
                <w:sz w:val="14"/>
                <w:szCs w:val="14"/>
              </w:rPr>
            </w:pPr>
            <w:r w:rsidRPr="000C3431">
              <w:rPr>
                <w:b/>
                <w:bCs/>
                <w:color w:val="auto"/>
                <w:sz w:val="14"/>
                <w:szCs w:val="14"/>
              </w:rPr>
              <w:t xml:space="preserve">A S </w:t>
            </w:r>
            <w:proofErr w:type="spellStart"/>
            <w:r w:rsidRPr="000C3431">
              <w:rPr>
                <w:b/>
                <w:bCs/>
                <w:color w:val="auto"/>
                <w:sz w:val="14"/>
                <w:szCs w:val="14"/>
              </w:rPr>
              <w:t>S</w:t>
            </w:r>
            <w:proofErr w:type="spellEnd"/>
            <w:r w:rsidRPr="000C3431">
              <w:rPr>
                <w:b/>
                <w:bCs/>
                <w:color w:val="auto"/>
                <w:sz w:val="14"/>
                <w:szCs w:val="14"/>
              </w:rPr>
              <w:t xml:space="preserve"> E T 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00" w:firstLine="141"/>
              <w:jc w:val="left"/>
              <w:rPr>
                <w:b/>
                <w:bCs/>
                <w:color w:val="auto"/>
                <w:sz w:val="14"/>
                <w:szCs w:val="14"/>
              </w:rPr>
            </w:pPr>
            <w:r w:rsidRPr="000C3431">
              <w:rPr>
                <w:b/>
                <w:bCs/>
                <w:color w:val="auto"/>
                <w:sz w:val="14"/>
                <w:szCs w:val="14"/>
              </w:rPr>
              <w:t>Gold  and  Foreign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1,817,225.8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347,132.5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950,759.4</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890,392.6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950,759.4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1,154,356.3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1,130,104.9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809,110.5</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749,362.6</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Gold Coins  and Bullion</w:t>
            </w:r>
            <w:r>
              <w:rPr>
                <w:color w:val="auto"/>
                <w:sz w:val="14"/>
                <w:szCs w:val="14"/>
              </w:rPr>
              <w:t xml:space="preserve"> </w:t>
            </w:r>
            <w:r w:rsidRPr="00A32294">
              <w:rPr>
                <w:color w:val="auto"/>
                <w:sz w:val="14"/>
                <w:szCs w:val="14"/>
                <w:vertAlign w:val="superscript"/>
              </w:rPr>
              <w:t>1</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270,361.2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313,461.1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468,625.0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398,129.5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468,625.0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515,952.4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557,366.5</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585,912.2</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585,959.3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4"/>
              </w:rPr>
              <w:t>Approved Foreign Exchange</w:t>
            </w:r>
            <w:r>
              <w:rPr>
                <w:color w:val="auto"/>
                <w:sz w:val="14"/>
                <w:szCs w:val="14"/>
              </w:rPr>
              <w:t xml:space="preserve"> </w:t>
            </w:r>
            <w:r w:rsidRPr="00A32294">
              <w:rPr>
                <w:color w:val="auto"/>
                <w:sz w:val="14"/>
                <w:szCs w:val="14"/>
                <w:vertAlign w:val="superscript"/>
              </w:rPr>
              <w:t>2</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1,546,167.0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32,973.8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481,371.3</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491,500.0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481,371.3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637,406.6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571,741.1</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222,201.0</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162,406.0</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4"/>
              </w:rPr>
              <w:t>Indian Notes</w:t>
            </w:r>
            <w:r w:rsidRPr="00A32294">
              <w:rPr>
                <w:color w:val="auto"/>
                <w:sz w:val="14"/>
                <w:szCs w:val="14"/>
                <w:vertAlign w:val="superscript"/>
              </w:rPr>
              <w:t xml:space="preserve"> 3</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697.6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763.0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763.0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997.3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997.3</w:t>
            </w:r>
          </w:p>
        </w:tc>
        <w:tc>
          <w:tcPr>
            <w:tcW w:w="900" w:type="dxa"/>
            <w:tcBorders>
              <w:top w:val="nil"/>
              <w:left w:val="nil"/>
              <w:bottom w:val="nil"/>
              <w:right w:val="nil"/>
            </w:tcBorders>
            <w:shd w:val="clear" w:color="auto" w:fill="auto"/>
            <w:noWrap/>
            <w:tcMar>
              <w:left w:w="43" w:type="dxa"/>
              <w:right w:w="43" w:type="dxa"/>
            </w:tcMar>
            <w:vAlign w:val="center"/>
          </w:tcPr>
          <w:p w:rsidR="00385BB6" w:rsidRDefault="00385BB6" w:rsidP="00C81E06">
            <w:pPr>
              <w:jc w:val="right"/>
              <w:rPr>
                <w:sz w:val="14"/>
                <w:szCs w:val="14"/>
              </w:rPr>
            </w:pPr>
            <w:r>
              <w:rPr>
                <w:sz w:val="14"/>
                <w:szCs w:val="14"/>
              </w:rPr>
              <w:t>997.3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997.3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85BB6" w:rsidRPr="00DD7280"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Pr="00DD7280"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00" w:firstLine="141"/>
              <w:jc w:val="left"/>
              <w:rPr>
                <w:b/>
                <w:bCs/>
                <w:color w:val="auto"/>
                <w:sz w:val="14"/>
                <w:szCs w:val="14"/>
              </w:rPr>
            </w:pPr>
            <w:r w:rsidRPr="000C3431">
              <w:rPr>
                <w:b/>
                <w:bCs/>
                <w:color w:val="auto"/>
                <w:sz w:val="14"/>
                <w:szCs w:val="14"/>
              </w:rPr>
              <w:t>Domestic  Assets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2,344,960.1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4,336,626.9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4,360,065.1</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4,514,853.3</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4,360,065.1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4,800,233.5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5,093,307.4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5,925,425.4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5,732,431.4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861.9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989.8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1,039.4</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870.8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1,039.4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473.5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469.2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454.1</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465.1</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80" w:firstLine="252"/>
              <w:jc w:val="left"/>
              <w:rPr>
                <w:color w:val="auto"/>
                <w:sz w:val="14"/>
                <w:szCs w:val="14"/>
              </w:rPr>
            </w:pPr>
            <w:r w:rsidRPr="000C3431">
              <w:rPr>
                <w:color w:val="auto"/>
                <w:sz w:val="14"/>
                <w:szCs w:val="16"/>
              </w:rPr>
              <w:t>Govt. of Pakistan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2,344,098.2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4,335,637.1</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4,359,025.7</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4,513,982.5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4,359,025.7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4,799,759.9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5,092,838.2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5,924,971.3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5,731,966.3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252"/>
              <w:jc w:val="left"/>
              <w:rPr>
                <w:color w:val="auto"/>
                <w:sz w:val="14"/>
                <w:szCs w:val="14"/>
              </w:rPr>
            </w:pPr>
            <w:r w:rsidRPr="000C3431">
              <w:rPr>
                <w:color w:val="auto"/>
                <w:sz w:val="14"/>
                <w:szCs w:val="16"/>
              </w:rPr>
              <w:t>Internal  Bills  of  Exchange  &amp;  other Commercial Papers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114" w:firstLine="160"/>
              <w:jc w:val="left"/>
              <w:rPr>
                <w:b/>
                <w:bCs/>
                <w:color w:val="auto"/>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22"/>
                <w:szCs w:val="22"/>
              </w:rPr>
            </w:pP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22"/>
                <w:szCs w:val="22"/>
              </w:rPr>
            </w:pP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left="162"/>
              <w:jc w:val="left"/>
              <w:rPr>
                <w:b/>
                <w:bCs/>
                <w:color w:val="auto"/>
                <w:sz w:val="14"/>
                <w:szCs w:val="14"/>
              </w:rPr>
            </w:pPr>
            <w:r w:rsidRPr="000C3431">
              <w:rPr>
                <w:b/>
                <w:bCs/>
                <w:color w:val="auto"/>
                <w:sz w:val="14"/>
                <w:szCs w:val="12"/>
              </w:rPr>
              <w:t>Held with  Reserve  Bank  of  India  pending  transfer  to  Pakistan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b/>
                <w:bCs/>
                <w:sz w:val="14"/>
                <w:szCs w:val="14"/>
              </w:rPr>
            </w:pPr>
            <w:r>
              <w:rPr>
                <w:b/>
                <w:bCs/>
                <w:sz w:val="14"/>
                <w:szCs w:val="14"/>
              </w:rPr>
              <w:t>5,061.4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5,754.8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8,361.0</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7,223.7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8,361.0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9,347.7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10,017.0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b/>
                <w:bCs/>
                <w:sz w:val="14"/>
                <w:szCs w:val="14"/>
              </w:rPr>
            </w:pPr>
            <w:r>
              <w:rPr>
                <w:b/>
                <w:bCs/>
                <w:sz w:val="14"/>
                <w:szCs w:val="14"/>
              </w:rPr>
              <w:t>10,478.4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b/>
                <w:bCs/>
                <w:sz w:val="14"/>
                <w:szCs w:val="14"/>
              </w:rPr>
            </w:pPr>
            <w:r>
              <w:rPr>
                <w:b/>
                <w:bCs/>
                <w:sz w:val="14"/>
                <w:szCs w:val="14"/>
              </w:rPr>
              <w:t>10,478.4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Gold Coin and Bullion</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4,374.5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5,068.0</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7,573.7</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6,436.4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7,573.7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8,338.6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9,007.9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9,469.3</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9,469.3</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Sterling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450.2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528.5</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528.5</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670.9</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670.9</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Govt. of India Securities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231.8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253.6</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253.6</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331.4</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331.4</w:t>
            </w:r>
          </w:p>
        </w:tc>
      </w:tr>
      <w:tr w:rsidR="00385BB6" w:rsidRPr="000C3431" w:rsidTr="00385BB6">
        <w:trPr>
          <w:trHeight w:val="360"/>
          <w:jc w:val="center"/>
        </w:trPr>
        <w:tc>
          <w:tcPr>
            <w:tcW w:w="2430" w:type="dxa"/>
            <w:tcBorders>
              <w:top w:val="nil"/>
              <w:left w:val="nil"/>
              <w:bottom w:val="nil"/>
              <w:right w:val="nil"/>
            </w:tcBorders>
            <w:shd w:val="clear" w:color="auto" w:fill="auto"/>
            <w:vAlign w:val="center"/>
            <w:hideMark/>
          </w:tcPr>
          <w:p w:rsidR="00385BB6" w:rsidRPr="000C3431" w:rsidRDefault="00385BB6" w:rsidP="00C81E06">
            <w:pPr>
              <w:ind w:firstLineChars="200" w:firstLine="280"/>
              <w:jc w:val="left"/>
              <w:rPr>
                <w:color w:val="auto"/>
                <w:sz w:val="14"/>
                <w:szCs w:val="14"/>
              </w:rPr>
            </w:pPr>
            <w:r w:rsidRPr="000C3431">
              <w:rPr>
                <w:color w:val="auto"/>
                <w:sz w:val="14"/>
                <w:szCs w:val="16"/>
              </w:rPr>
              <w:t>Rupee Coins</w:t>
            </w:r>
          </w:p>
        </w:tc>
        <w:tc>
          <w:tcPr>
            <w:tcW w:w="810" w:type="dxa"/>
            <w:tcBorders>
              <w:top w:val="nil"/>
              <w:left w:val="nil"/>
              <w:bottom w:val="nil"/>
              <w:right w:val="nil"/>
            </w:tcBorders>
            <w:shd w:val="clear" w:color="auto" w:fill="auto"/>
            <w:tcMar>
              <w:left w:w="43" w:type="dxa"/>
              <w:right w:w="43" w:type="dxa"/>
            </w:tcMar>
            <w:vAlign w:val="center"/>
            <w:hideMark/>
          </w:tcPr>
          <w:p w:rsidR="00385BB6" w:rsidRDefault="00385BB6" w:rsidP="00C81E0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4.8</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w:t>
            </w:r>
          </w:p>
        </w:tc>
        <w:tc>
          <w:tcPr>
            <w:tcW w:w="887"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5.2</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00" w:type="dxa"/>
            <w:tcBorders>
              <w:top w:val="nil"/>
              <w:left w:val="nil"/>
              <w:bottom w:val="nil"/>
              <w:right w:val="nil"/>
            </w:tcBorders>
            <w:shd w:val="clear" w:color="auto" w:fill="auto"/>
            <w:tcMar>
              <w:left w:w="43" w:type="dxa"/>
              <w:right w:w="43" w:type="dxa"/>
            </w:tcMar>
            <w:vAlign w:val="center"/>
          </w:tcPr>
          <w:p w:rsidR="00385BB6" w:rsidRDefault="00385BB6" w:rsidP="00C81E06">
            <w:pPr>
              <w:jc w:val="right"/>
              <w:rPr>
                <w:sz w:val="14"/>
                <w:szCs w:val="14"/>
              </w:rPr>
            </w:pPr>
            <w:r>
              <w:rPr>
                <w:sz w:val="14"/>
                <w:szCs w:val="14"/>
              </w:rPr>
              <w:t>6.7</w:t>
            </w:r>
          </w:p>
        </w:tc>
        <w:tc>
          <w:tcPr>
            <w:tcW w:w="913" w:type="dxa"/>
            <w:tcBorders>
              <w:top w:val="nil"/>
              <w:left w:val="nil"/>
              <w:bottom w:val="nil"/>
              <w:right w:val="nil"/>
            </w:tcBorders>
            <w:shd w:val="clear" w:color="auto" w:fill="auto"/>
            <w:tcMar>
              <w:left w:w="43" w:type="dxa"/>
              <w:right w:w="43" w:type="dxa"/>
            </w:tcMar>
            <w:vAlign w:val="center"/>
          </w:tcPr>
          <w:p w:rsidR="00385BB6" w:rsidRDefault="00385BB6" w:rsidP="00385BB6">
            <w:pPr>
              <w:jc w:val="right"/>
              <w:rPr>
                <w:sz w:val="14"/>
                <w:szCs w:val="14"/>
              </w:rPr>
            </w:pPr>
            <w:r>
              <w:rPr>
                <w:sz w:val="14"/>
                <w:szCs w:val="14"/>
              </w:rPr>
              <w:t>6.7</w:t>
            </w:r>
          </w:p>
        </w:tc>
      </w:tr>
      <w:tr w:rsidR="00C81E06" w:rsidRPr="000C3431" w:rsidTr="00E346E4">
        <w:trPr>
          <w:trHeight w:val="360"/>
          <w:jc w:val="center"/>
        </w:trPr>
        <w:tc>
          <w:tcPr>
            <w:tcW w:w="2430" w:type="dxa"/>
            <w:tcBorders>
              <w:top w:val="nil"/>
              <w:left w:val="nil"/>
              <w:bottom w:val="single" w:sz="12" w:space="0" w:color="auto"/>
              <w:right w:val="nil"/>
            </w:tcBorders>
            <w:shd w:val="clear" w:color="auto" w:fill="auto"/>
            <w:vAlign w:val="center"/>
            <w:hideMark/>
          </w:tcPr>
          <w:p w:rsidR="00C81E06" w:rsidRPr="000C3431" w:rsidRDefault="00C81E06" w:rsidP="00C81E06">
            <w:pPr>
              <w:ind w:firstLineChars="114" w:firstLine="160"/>
              <w:jc w:val="left"/>
              <w:rPr>
                <w:b/>
                <w:bCs/>
                <w:color w:val="auto"/>
                <w:sz w:val="14"/>
                <w:szCs w:val="14"/>
              </w:rPr>
            </w:pP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887"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00"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c>
          <w:tcPr>
            <w:tcW w:w="913" w:type="dxa"/>
            <w:tcBorders>
              <w:top w:val="nil"/>
              <w:left w:val="nil"/>
              <w:bottom w:val="single" w:sz="12" w:space="0" w:color="auto"/>
              <w:right w:val="nil"/>
            </w:tcBorders>
            <w:shd w:val="clear" w:color="auto" w:fill="auto"/>
            <w:tcMar>
              <w:left w:w="43" w:type="dxa"/>
              <w:right w:w="43" w:type="dxa"/>
            </w:tcMar>
            <w:vAlign w:val="center"/>
          </w:tcPr>
          <w:p w:rsidR="00C81E06" w:rsidRDefault="00C81E06" w:rsidP="00C81E06">
            <w:pPr>
              <w:jc w:val="right"/>
              <w:rPr>
                <w:b/>
                <w:bCs/>
                <w:sz w:val="14"/>
                <w:szCs w:val="14"/>
              </w:rPr>
            </w:pPr>
          </w:p>
        </w:tc>
      </w:tr>
      <w:tr w:rsidR="00C81E06" w:rsidRPr="000C3431" w:rsidTr="00366DE3">
        <w:trPr>
          <w:trHeight w:val="360"/>
          <w:jc w:val="center"/>
        </w:trPr>
        <w:tc>
          <w:tcPr>
            <w:tcW w:w="7727" w:type="dxa"/>
            <w:gridSpan w:val="7"/>
            <w:tcBorders>
              <w:top w:val="single" w:sz="12" w:space="0" w:color="auto"/>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1</w:t>
            </w:r>
            <w:r>
              <w:rPr>
                <w:color w:val="auto"/>
                <w:sz w:val="14"/>
                <w:szCs w:val="14"/>
              </w:rPr>
              <w:t>.</w:t>
            </w:r>
            <w:r w:rsidRPr="000C3431">
              <w:rPr>
                <w:color w:val="auto"/>
                <w:sz w:val="14"/>
                <w:szCs w:val="14"/>
              </w:rPr>
              <w:t xml:space="preserve"> </w:t>
            </w:r>
            <w:r>
              <w:rPr>
                <w:color w:val="auto"/>
                <w:sz w:val="14"/>
                <w:szCs w:val="14"/>
              </w:rPr>
              <w:t xml:space="preserve"> Gold</w:t>
            </w:r>
            <w:r w:rsidRPr="000C3431">
              <w:rPr>
                <w:color w:val="auto"/>
                <w:sz w:val="14"/>
                <w:szCs w:val="14"/>
              </w:rPr>
              <w:t xml:space="preserve"> is valued at end financial year (</w:t>
            </w:r>
            <w:proofErr w:type="gramStart"/>
            <w:r w:rsidRPr="000C3431">
              <w:rPr>
                <w:color w:val="auto"/>
                <w:sz w:val="14"/>
                <w:szCs w:val="14"/>
              </w:rPr>
              <w:t>June )</w:t>
            </w:r>
            <w:proofErr w:type="gramEnd"/>
            <w:r w:rsidRPr="000C3431">
              <w:rPr>
                <w:color w:val="auto"/>
                <w:sz w:val="14"/>
                <w:szCs w:val="14"/>
              </w:rPr>
              <w:t xml:space="preserve"> on the basis of closing London Market Rate.</w:t>
            </w:r>
          </w:p>
        </w:tc>
        <w:tc>
          <w:tcPr>
            <w:tcW w:w="2713" w:type="dxa"/>
            <w:gridSpan w:val="3"/>
            <w:tcBorders>
              <w:top w:val="single" w:sz="12" w:space="0" w:color="auto"/>
              <w:left w:val="nil"/>
              <w:bottom w:val="nil"/>
              <w:right w:val="nil"/>
            </w:tcBorders>
            <w:shd w:val="clear" w:color="auto" w:fill="auto"/>
            <w:vAlign w:val="center"/>
            <w:hideMark/>
          </w:tcPr>
          <w:p w:rsidR="00C81E06" w:rsidRPr="000C3431" w:rsidRDefault="00C81E06" w:rsidP="00C81E06">
            <w:pPr>
              <w:jc w:val="right"/>
              <w:rPr>
                <w:color w:val="auto"/>
                <w:sz w:val="14"/>
                <w:szCs w:val="14"/>
              </w:rPr>
            </w:pPr>
            <w:r w:rsidRPr="000C3431">
              <w:rPr>
                <w:color w:val="auto"/>
                <w:sz w:val="14"/>
                <w:szCs w:val="14"/>
              </w:rPr>
              <w:t>Source: Finance Department SBP</w:t>
            </w:r>
          </w:p>
        </w:tc>
      </w:tr>
      <w:tr w:rsidR="00C81E06"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 xml:space="preserve">2.  Approved Foreign Exchanges includes SDR  held  with  IMF  </w:t>
            </w:r>
            <w:proofErr w:type="spellStart"/>
            <w:r w:rsidRPr="000C3431">
              <w:rPr>
                <w:color w:val="auto"/>
                <w:sz w:val="14"/>
                <w:szCs w:val="14"/>
              </w:rPr>
              <w:t>w.e.f</w:t>
            </w:r>
            <w:proofErr w:type="spellEnd"/>
            <w:r w:rsidRPr="000C3431">
              <w:rPr>
                <w:color w:val="auto"/>
                <w:sz w:val="14"/>
                <w:szCs w:val="14"/>
              </w:rPr>
              <w:t xml:space="preserve">  June 2004</w:t>
            </w:r>
          </w:p>
        </w:tc>
      </w:tr>
      <w:tr w:rsidR="00C81E06" w:rsidRPr="000C3431" w:rsidTr="00DD7280">
        <w:trPr>
          <w:trHeight w:val="360"/>
          <w:jc w:val="center"/>
        </w:trPr>
        <w:tc>
          <w:tcPr>
            <w:tcW w:w="10440" w:type="dxa"/>
            <w:gridSpan w:val="10"/>
            <w:tcBorders>
              <w:top w:val="nil"/>
              <w:left w:val="nil"/>
              <w:bottom w:val="nil"/>
              <w:right w:val="nil"/>
            </w:tcBorders>
            <w:shd w:val="clear" w:color="auto" w:fill="auto"/>
            <w:vAlign w:val="center"/>
            <w:hideMark/>
          </w:tcPr>
          <w:p w:rsidR="00C81E06" w:rsidRPr="000C3431" w:rsidRDefault="00C81E06" w:rsidP="00C81E06">
            <w:pPr>
              <w:jc w:val="left"/>
              <w:rPr>
                <w:color w:val="auto"/>
                <w:sz w:val="14"/>
                <w:szCs w:val="14"/>
              </w:rPr>
            </w:pPr>
            <w:r w:rsidRPr="000C3431">
              <w:rPr>
                <w:color w:val="auto"/>
                <w:sz w:val="14"/>
                <w:szCs w:val="14"/>
              </w:rPr>
              <w:t>3.  Receivable from Reserve Bank of India.</w:t>
            </w:r>
          </w:p>
        </w:tc>
      </w:tr>
    </w:tbl>
    <w:p w:rsidR="008B2948" w:rsidRDefault="008B2948" w:rsidP="0069571C">
      <w:pPr>
        <w:jc w:val="left"/>
        <w:rPr>
          <w:color w:val="auto"/>
        </w:rPr>
      </w:pPr>
    </w:p>
    <w:p w:rsidR="008E3FA3" w:rsidRPr="00D5469A" w:rsidRDefault="008E3FA3" w:rsidP="0069571C">
      <w:pPr>
        <w:jc w:val="left"/>
        <w:rPr>
          <w:color w:val="auto"/>
        </w:rPr>
      </w:pPr>
    </w:p>
    <w:p w:rsidR="0038032A" w:rsidRDefault="0038032A"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BB4E76" w:rsidRDefault="00BB4E76" w:rsidP="0069571C">
      <w:pPr>
        <w:jc w:val="left"/>
        <w:rPr>
          <w:color w:val="auto"/>
        </w:rPr>
      </w:pPr>
    </w:p>
    <w:p w:rsidR="00E23D58" w:rsidRDefault="00E23D58" w:rsidP="0069571C">
      <w:pPr>
        <w:jc w:val="left"/>
        <w:rPr>
          <w:color w:val="auto"/>
        </w:rPr>
      </w:pPr>
    </w:p>
    <w:p w:rsidR="00E23D58" w:rsidRDefault="00E23D58" w:rsidP="0069571C">
      <w:pPr>
        <w:jc w:val="left"/>
        <w:rPr>
          <w:color w:val="auto"/>
        </w:rPr>
      </w:pPr>
    </w:p>
    <w:p w:rsidR="00434BFD" w:rsidRDefault="00434BFD" w:rsidP="0069571C">
      <w:pPr>
        <w:jc w:val="left"/>
        <w:rPr>
          <w:color w:val="auto"/>
        </w:rPr>
      </w:pPr>
    </w:p>
    <w:p w:rsidR="00A1737C" w:rsidRDefault="00A1737C" w:rsidP="0069571C">
      <w:pPr>
        <w:jc w:val="left"/>
        <w:rPr>
          <w:color w:val="auto"/>
        </w:rPr>
      </w:pPr>
    </w:p>
    <w:p w:rsidR="00A1737C" w:rsidRDefault="00A1737C" w:rsidP="0069571C">
      <w:pPr>
        <w:jc w:val="left"/>
        <w:rPr>
          <w:color w:val="auto"/>
        </w:rPr>
      </w:pPr>
    </w:p>
    <w:p w:rsidR="00E23D58" w:rsidRDefault="00E23D58" w:rsidP="0069571C">
      <w:pPr>
        <w:jc w:val="left"/>
        <w:rPr>
          <w:color w:val="auto"/>
        </w:rPr>
      </w:pPr>
    </w:p>
    <w:p w:rsidR="00CE7FA4" w:rsidRDefault="00CE7FA4" w:rsidP="0069571C">
      <w:pPr>
        <w:pStyle w:val="Footer"/>
        <w:tabs>
          <w:tab w:val="clear" w:pos="4320"/>
          <w:tab w:val="clear" w:pos="8640"/>
        </w:tabs>
        <w:ind w:left="1440"/>
        <w:rPr>
          <w:color w:val="auto"/>
        </w:rPr>
      </w:pPr>
    </w:p>
    <w:tbl>
      <w:tblPr>
        <w:tblW w:w="10502" w:type="dxa"/>
        <w:jc w:val="center"/>
        <w:tblLook w:val="04A0" w:firstRow="1" w:lastRow="0" w:firstColumn="1" w:lastColumn="0" w:noHBand="0" w:noVBand="1"/>
      </w:tblPr>
      <w:tblGrid>
        <w:gridCol w:w="3224"/>
        <w:gridCol w:w="759"/>
        <w:gridCol w:w="849"/>
        <w:gridCol w:w="810"/>
        <w:gridCol w:w="856"/>
        <w:gridCol w:w="810"/>
        <w:gridCol w:w="810"/>
        <w:gridCol w:w="810"/>
        <w:gridCol w:w="810"/>
        <w:gridCol w:w="764"/>
      </w:tblGrid>
      <w:tr w:rsidR="0000246F" w:rsidRPr="0000246F" w:rsidTr="00261F80">
        <w:trPr>
          <w:trHeight w:val="37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b/>
                <w:bCs/>
                <w:color w:val="auto"/>
                <w:sz w:val="28"/>
                <w:szCs w:val="28"/>
              </w:rPr>
            </w:pPr>
            <w:r w:rsidRPr="0000246F">
              <w:rPr>
                <w:b/>
                <w:bCs/>
                <w:color w:val="auto"/>
                <w:sz w:val="28"/>
              </w:rPr>
              <w:t xml:space="preserve">2.10 Liabilities and Assets of </w:t>
            </w:r>
            <w:r w:rsidRPr="0000246F">
              <w:rPr>
                <w:color w:val="auto"/>
                <w:szCs w:val="16"/>
              </w:rPr>
              <w:t xml:space="preserve"> </w:t>
            </w:r>
            <w:r w:rsidRPr="0000246F">
              <w:rPr>
                <w:b/>
                <w:bCs/>
                <w:color w:val="auto"/>
                <w:sz w:val="28"/>
                <w:szCs w:val="28"/>
              </w:rPr>
              <w:t xml:space="preserve"> State  Bank of  Pakistan</w:t>
            </w:r>
          </w:p>
        </w:tc>
      </w:tr>
      <w:tr w:rsidR="0000246F" w:rsidRPr="0000246F" w:rsidTr="00261F80">
        <w:trPr>
          <w:trHeight w:val="315"/>
          <w:jc w:val="center"/>
        </w:trPr>
        <w:tc>
          <w:tcPr>
            <w:tcW w:w="10502" w:type="dxa"/>
            <w:gridSpan w:val="10"/>
            <w:tcBorders>
              <w:top w:val="nil"/>
              <w:left w:val="nil"/>
              <w:bottom w:val="nil"/>
              <w:right w:val="nil"/>
            </w:tcBorders>
            <w:shd w:val="clear" w:color="auto" w:fill="auto"/>
            <w:noWrap/>
            <w:hideMark/>
          </w:tcPr>
          <w:p w:rsidR="0000246F" w:rsidRPr="0000246F" w:rsidRDefault="0000246F" w:rsidP="0000246F">
            <w:pPr>
              <w:rPr>
                <w:color w:val="auto"/>
                <w:sz w:val="24"/>
                <w:szCs w:val="24"/>
              </w:rPr>
            </w:pPr>
            <w:r w:rsidRPr="0000246F">
              <w:rPr>
                <w:color w:val="auto"/>
                <w:sz w:val="24"/>
                <w:szCs w:val="24"/>
              </w:rPr>
              <w:t xml:space="preserve">   </w:t>
            </w:r>
            <w:r w:rsidRPr="0000246F">
              <w:rPr>
                <w:b/>
                <w:bCs/>
                <w:color w:val="auto"/>
                <w:sz w:val="24"/>
                <w:szCs w:val="24"/>
              </w:rPr>
              <w:t>Banking Department</w:t>
            </w:r>
          </w:p>
        </w:tc>
      </w:tr>
      <w:tr w:rsidR="0000246F" w:rsidRPr="0000246F" w:rsidTr="00261F80">
        <w:trPr>
          <w:trHeight w:val="207"/>
          <w:jc w:val="center"/>
        </w:trPr>
        <w:tc>
          <w:tcPr>
            <w:tcW w:w="10502" w:type="dxa"/>
            <w:gridSpan w:val="10"/>
            <w:tcBorders>
              <w:top w:val="nil"/>
              <w:left w:val="nil"/>
              <w:bottom w:val="single" w:sz="12" w:space="0" w:color="auto"/>
              <w:right w:val="nil"/>
            </w:tcBorders>
            <w:shd w:val="clear" w:color="auto" w:fill="auto"/>
            <w:noWrap/>
            <w:vAlign w:val="bottom"/>
            <w:hideMark/>
          </w:tcPr>
          <w:p w:rsidR="0000246F" w:rsidRPr="0000246F" w:rsidRDefault="0000246F" w:rsidP="0000246F">
            <w:pPr>
              <w:jc w:val="right"/>
              <w:rPr>
                <w:color w:val="auto"/>
                <w:szCs w:val="16"/>
              </w:rPr>
            </w:pPr>
            <w:r w:rsidRPr="0000246F">
              <w:rPr>
                <w:color w:val="auto"/>
                <w:szCs w:val="16"/>
              </w:rPr>
              <w:t xml:space="preserve">       (Million Rupees)</w:t>
            </w:r>
          </w:p>
        </w:tc>
      </w:tr>
      <w:tr w:rsidR="008D758D" w:rsidRPr="0000246F" w:rsidTr="00E346E4">
        <w:trPr>
          <w:trHeight w:val="222"/>
          <w:jc w:val="center"/>
        </w:trPr>
        <w:tc>
          <w:tcPr>
            <w:tcW w:w="3224" w:type="dxa"/>
            <w:vMerge w:val="restart"/>
            <w:tcBorders>
              <w:top w:val="nil"/>
              <w:left w:val="nil"/>
              <w:bottom w:val="single" w:sz="12" w:space="0" w:color="000000"/>
              <w:right w:val="single" w:sz="4" w:space="0" w:color="auto"/>
            </w:tcBorders>
            <w:shd w:val="clear" w:color="auto" w:fill="auto"/>
            <w:noWrap/>
            <w:vAlign w:val="center"/>
            <w:hideMark/>
          </w:tcPr>
          <w:p w:rsidR="008D758D" w:rsidRPr="0000246F" w:rsidRDefault="008D758D" w:rsidP="00AB7A08">
            <w:pPr>
              <w:rPr>
                <w:b/>
                <w:bCs/>
                <w:color w:val="auto"/>
                <w:sz w:val="14"/>
                <w:szCs w:val="14"/>
              </w:rPr>
            </w:pPr>
            <w:r w:rsidRPr="0000246F">
              <w:rPr>
                <w:b/>
                <w:bCs/>
                <w:color w:val="auto"/>
                <w:sz w:val="14"/>
                <w:szCs w:val="14"/>
              </w:rPr>
              <w:t>LAST  WEEKEND</w:t>
            </w:r>
          </w:p>
        </w:tc>
        <w:tc>
          <w:tcPr>
            <w:tcW w:w="759" w:type="dxa"/>
            <w:vMerge w:val="restart"/>
            <w:tcBorders>
              <w:top w:val="nil"/>
              <w:left w:val="single" w:sz="4" w:space="0" w:color="auto"/>
              <w:right w:val="single" w:sz="4" w:space="0" w:color="auto"/>
            </w:tcBorders>
            <w:shd w:val="clear" w:color="auto" w:fill="auto"/>
            <w:noWrap/>
            <w:vAlign w:val="center"/>
            <w:hideMark/>
          </w:tcPr>
          <w:p w:rsidR="008D758D" w:rsidRPr="00AB7A08" w:rsidRDefault="008D758D" w:rsidP="00AB7A08">
            <w:pPr>
              <w:jc w:val="right"/>
              <w:rPr>
                <w:b/>
                <w:bCs/>
                <w:color w:val="auto"/>
                <w:szCs w:val="16"/>
              </w:rPr>
            </w:pPr>
            <w:r w:rsidRPr="00AB7A08">
              <w:rPr>
                <w:b/>
                <w:bCs/>
                <w:color w:val="auto"/>
                <w:szCs w:val="16"/>
              </w:rPr>
              <w:t>FY17</w:t>
            </w:r>
          </w:p>
        </w:tc>
        <w:tc>
          <w:tcPr>
            <w:tcW w:w="849" w:type="dxa"/>
            <w:vMerge w:val="restart"/>
            <w:tcBorders>
              <w:top w:val="single" w:sz="12" w:space="0" w:color="auto"/>
              <w:left w:val="single" w:sz="4" w:space="0" w:color="auto"/>
              <w:right w:val="single" w:sz="4" w:space="0" w:color="auto"/>
            </w:tcBorders>
            <w:shd w:val="clear" w:color="auto" w:fill="auto"/>
            <w:noWrap/>
            <w:vAlign w:val="center"/>
          </w:tcPr>
          <w:p w:rsidR="008D758D" w:rsidRPr="00AB7A08" w:rsidRDefault="008D758D" w:rsidP="00AB7A08">
            <w:pPr>
              <w:jc w:val="right"/>
              <w:rPr>
                <w:b/>
                <w:bCs/>
                <w:color w:val="auto"/>
                <w:szCs w:val="16"/>
              </w:rPr>
            </w:pPr>
            <w:r w:rsidRPr="00AB7A08">
              <w:rPr>
                <w:b/>
                <w:bCs/>
                <w:color w:val="auto"/>
                <w:szCs w:val="16"/>
              </w:rPr>
              <w:t>FY18</w:t>
            </w:r>
          </w:p>
        </w:tc>
        <w:tc>
          <w:tcPr>
            <w:tcW w:w="810" w:type="dxa"/>
            <w:vMerge w:val="restart"/>
            <w:tcBorders>
              <w:top w:val="single" w:sz="12" w:space="0" w:color="auto"/>
              <w:left w:val="single" w:sz="4" w:space="0" w:color="auto"/>
              <w:right w:val="single" w:sz="4" w:space="0" w:color="auto"/>
            </w:tcBorders>
            <w:shd w:val="clear" w:color="auto" w:fill="auto"/>
            <w:vAlign w:val="center"/>
          </w:tcPr>
          <w:p w:rsidR="008D758D" w:rsidRPr="00AB7A08" w:rsidRDefault="008D758D" w:rsidP="00246F19">
            <w:pPr>
              <w:jc w:val="right"/>
              <w:rPr>
                <w:b/>
                <w:bCs/>
                <w:color w:val="auto"/>
                <w:szCs w:val="16"/>
              </w:rPr>
            </w:pPr>
            <w:r w:rsidRPr="00AB7A08">
              <w:rPr>
                <w:b/>
                <w:bCs/>
                <w:color w:val="auto"/>
                <w:szCs w:val="16"/>
              </w:rPr>
              <w:t>FY19</w:t>
            </w:r>
          </w:p>
        </w:tc>
        <w:tc>
          <w:tcPr>
            <w:tcW w:w="1666" w:type="dxa"/>
            <w:gridSpan w:val="2"/>
            <w:tcBorders>
              <w:top w:val="single" w:sz="12" w:space="0" w:color="auto"/>
              <w:left w:val="single" w:sz="4" w:space="0" w:color="auto"/>
              <w:bottom w:val="single" w:sz="4" w:space="0" w:color="auto"/>
              <w:right w:val="single" w:sz="4" w:space="0" w:color="auto"/>
            </w:tcBorders>
            <w:shd w:val="clear" w:color="auto" w:fill="auto"/>
            <w:vAlign w:val="bottom"/>
          </w:tcPr>
          <w:p w:rsidR="008D758D" w:rsidRPr="0000246F" w:rsidRDefault="008D758D" w:rsidP="00AB7A08">
            <w:pPr>
              <w:rPr>
                <w:b/>
                <w:bCs/>
                <w:color w:val="auto"/>
                <w:szCs w:val="16"/>
              </w:rPr>
            </w:pPr>
            <w:r>
              <w:rPr>
                <w:b/>
                <w:bCs/>
                <w:color w:val="auto"/>
                <w:szCs w:val="16"/>
              </w:rPr>
              <w:t>2019</w:t>
            </w:r>
          </w:p>
        </w:tc>
        <w:tc>
          <w:tcPr>
            <w:tcW w:w="3194" w:type="dxa"/>
            <w:gridSpan w:val="4"/>
            <w:tcBorders>
              <w:top w:val="single" w:sz="12" w:space="0" w:color="auto"/>
              <w:left w:val="single" w:sz="4" w:space="0" w:color="auto"/>
              <w:bottom w:val="single" w:sz="4" w:space="0" w:color="auto"/>
              <w:right w:val="nil"/>
            </w:tcBorders>
            <w:shd w:val="clear" w:color="auto" w:fill="auto"/>
            <w:vAlign w:val="bottom"/>
          </w:tcPr>
          <w:p w:rsidR="008D758D" w:rsidRPr="0000246F" w:rsidRDefault="008D758D" w:rsidP="00AB7A08">
            <w:pPr>
              <w:rPr>
                <w:b/>
                <w:bCs/>
                <w:color w:val="auto"/>
                <w:szCs w:val="16"/>
              </w:rPr>
            </w:pPr>
            <w:r>
              <w:rPr>
                <w:b/>
                <w:bCs/>
                <w:color w:val="auto"/>
                <w:szCs w:val="16"/>
              </w:rPr>
              <w:t>2020</w:t>
            </w:r>
          </w:p>
        </w:tc>
      </w:tr>
      <w:tr w:rsidR="00C81E06" w:rsidRPr="0000246F" w:rsidTr="00E346E4">
        <w:trPr>
          <w:trHeight w:val="240"/>
          <w:jc w:val="center"/>
        </w:trPr>
        <w:tc>
          <w:tcPr>
            <w:tcW w:w="3224" w:type="dxa"/>
            <w:vMerge/>
            <w:tcBorders>
              <w:top w:val="nil"/>
              <w:left w:val="nil"/>
              <w:bottom w:val="single" w:sz="12" w:space="0" w:color="000000"/>
              <w:right w:val="single" w:sz="4" w:space="0" w:color="auto"/>
            </w:tcBorders>
            <w:vAlign w:val="center"/>
            <w:hideMark/>
          </w:tcPr>
          <w:p w:rsidR="00C81E06" w:rsidRPr="0000246F" w:rsidRDefault="00C81E06" w:rsidP="00C81E06">
            <w:pPr>
              <w:jc w:val="left"/>
              <w:rPr>
                <w:b/>
                <w:bCs/>
                <w:color w:val="auto"/>
                <w:sz w:val="14"/>
                <w:szCs w:val="14"/>
              </w:rPr>
            </w:pPr>
          </w:p>
        </w:tc>
        <w:tc>
          <w:tcPr>
            <w:tcW w:w="75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C81E06" w:rsidRPr="006619BF" w:rsidRDefault="00C81E06" w:rsidP="00C81E06">
            <w:pPr>
              <w:jc w:val="right"/>
              <w:rPr>
                <w:b/>
                <w:bCs/>
                <w:color w:val="auto"/>
                <w:sz w:val="14"/>
                <w:szCs w:val="14"/>
              </w:rPr>
            </w:pPr>
          </w:p>
        </w:tc>
        <w:tc>
          <w:tcPr>
            <w:tcW w:w="849"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p>
        </w:tc>
        <w:tc>
          <w:tcPr>
            <w:tcW w:w="81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bCs/>
                <w:color w:val="auto"/>
                <w:sz w:val="14"/>
                <w:szCs w:val="14"/>
              </w:rPr>
            </w:pP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810" w:type="dxa"/>
            <w:tcBorders>
              <w:top w:val="single" w:sz="4" w:space="0" w:color="auto"/>
              <w:left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810" w:type="dxa"/>
            <w:tcBorders>
              <w:top w:val="single" w:sz="4" w:space="0" w:color="auto"/>
              <w:bottom w:val="single" w:sz="12" w:space="0" w:color="auto"/>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64" w:type="dxa"/>
            <w:tcBorders>
              <w:top w:val="single" w:sz="4" w:space="0" w:color="auto"/>
              <w:bottom w:val="single" w:sz="12" w:space="0" w:color="auto"/>
              <w:right w:val="nil"/>
            </w:tcBorders>
            <w:shd w:val="clear" w:color="auto" w:fill="auto"/>
            <w:noWrap/>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 xml:space="preserve">Jun </w:t>
            </w:r>
            <w:r w:rsidRPr="001C0E67">
              <w:rPr>
                <w:b/>
                <w:color w:val="auto"/>
                <w:sz w:val="14"/>
                <w:szCs w:val="14"/>
                <w:vertAlign w:val="superscript"/>
              </w:rPr>
              <w:t>P</w:t>
            </w:r>
          </w:p>
        </w:tc>
      </w:tr>
      <w:tr w:rsidR="00C81E06" w:rsidRPr="0000246F" w:rsidTr="00AB7A08">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C81E06" w:rsidRPr="0000246F" w:rsidRDefault="00C81E06" w:rsidP="00C81E06">
            <w:pPr>
              <w:jc w:val="left"/>
              <w:rPr>
                <w:b/>
                <w:bCs/>
                <w:color w:val="auto"/>
                <w:sz w:val="14"/>
                <w:szCs w:val="14"/>
              </w:rPr>
            </w:pPr>
            <w:r w:rsidRPr="0000246F">
              <w:rPr>
                <w:b/>
                <w:bCs/>
                <w:color w:val="auto"/>
                <w:sz w:val="14"/>
                <w:szCs w:val="14"/>
              </w:rPr>
              <w:t>L  I  A  B  I  L  I  T  I  E  S</w:t>
            </w:r>
          </w:p>
        </w:tc>
        <w:tc>
          <w:tcPr>
            <w:tcW w:w="759"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C81E06" w:rsidRPr="0000246F" w:rsidRDefault="00C81E06" w:rsidP="00C81E06">
            <w:pPr>
              <w:jc w:val="right"/>
              <w:rPr>
                <w:rFonts w:ascii="Calibri" w:hAnsi="Calibri"/>
                <w:sz w:val="22"/>
                <w:szCs w:val="22"/>
              </w:rPr>
            </w:pP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Capital Paid-up</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Reserve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89,364.5</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103,135.7</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58,135.7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58,135.7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47,151.2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47,151.2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47,151.2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Rural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2,600.0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2,600.0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1,600.0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1,600.0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1,500.0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1,500.0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1,500.0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Loans Guarantee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900.0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900.0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900.0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Credit Fund</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49"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10" w:type="dxa"/>
            <w:tcBorders>
              <w:top w:val="nil"/>
              <w:left w:val="nil"/>
              <w:bottom w:val="nil"/>
              <w:right w:val="nil"/>
            </w:tcBorders>
            <w:shd w:val="clear" w:color="auto" w:fill="auto"/>
            <w:tcMar>
              <w:left w:w="43" w:type="dxa"/>
              <w:right w:w="43" w:type="dxa"/>
            </w:tcMar>
            <w:vAlign w:val="center"/>
          </w:tcPr>
          <w:p w:rsidR="00FA165D" w:rsidRPr="00EB3E11" w:rsidRDefault="00FA165D" w:rsidP="00C81E06">
            <w:pPr>
              <w:jc w:val="right"/>
              <w:rPr>
                <w:rFonts w:asciiTheme="majorBidi" w:hAnsiTheme="majorBidi" w:cstheme="majorBidi"/>
                <w:sz w:val="14"/>
                <w:szCs w:val="14"/>
              </w:rPr>
            </w:pPr>
            <w:r w:rsidRPr="00EB3E11">
              <w:rPr>
                <w:rFonts w:asciiTheme="majorBidi" w:hAnsiTheme="majorBidi" w:cstheme="majorBidi"/>
                <w:sz w:val="14"/>
                <w:szCs w:val="14"/>
              </w:rPr>
              <w:t>4,700.0</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4,700.0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4,700.0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4,700.0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color w:val="auto"/>
                <w:sz w:val="14"/>
              </w:rPr>
            </w:pPr>
            <w:r>
              <w:rPr>
                <w:b/>
                <w:bCs/>
                <w:color w:val="auto"/>
                <w:sz w:val="14"/>
                <w:szCs w:val="14"/>
              </w:rPr>
              <w:t xml:space="preserve">      </w:t>
            </w:r>
            <w:r w:rsidRPr="0000246F">
              <w:rPr>
                <w:b/>
                <w:bCs/>
                <w:color w:val="auto"/>
                <w:sz w:val="14"/>
                <w:szCs w:val="14"/>
              </w:rPr>
              <w:t xml:space="preserve">D  e  p  o  s  </w:t>
            </w:r>
            <w:proofErr w:type="spellStart"/>
            <w:r w:rsidRPr="0000246F">
              <w:rPr>
                <w:b/>
                <w:bCs/>
                <w:color w:val="auto"/>
                <w:sz w:val="14"/>
                <w:szCs w:val="14"/>
              </w:rPr>
              <w:t>i</w:t>
            </w:r>
            <w:proofErr w:type="spellEnd"/>
            <w:r w:rsidRPr="0000246F">
              <w:rPr>
                <w:b/>
                <w:bCs/>
                <w:color w:val="auto"/>
                <w:sz w:val="14"/>
                <w:szCs w:val="14"/>
              </w:rPr>
              <w:t xml:space="preserve">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1,931,266.0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2,907,186.3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4,307,760.6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4,149,832.8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4,307,760.6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4,677,453.2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5,033,998.7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4,682,699.0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4,465,780.7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Federal Govt.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76,078.5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803,377.4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347,654.3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806,599.3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347,654.3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1,061,155.9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1,375,440.9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1,175,057.3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1,080,848.7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 xml:space="preserve">Provincial </w:t>
            </w:r>
            <w:proofErr w:type="spellStart"/>
            <w:r w:rsidRPr="0000246F">
              <w:rPr>
                <w:color w:val="auto"/>
                <w:sz w:val="14"/>
              </w:rPr>
              <w:t>Govts</w:t>
            </w:r>
            <w:proofErr w:type="spellEnd"/>
            <w:r w:rsidRPr="0000246F">
              <w:rPr>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102,523.4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67,094.4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209,294.7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265,310.1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209,294.7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393,081.4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512,084.8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380,700.4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209,335.2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669,337.5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832,450.5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1,282,761.3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871,138.9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1,282,761.3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970,864.2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844,923.9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821,932.0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867,566.0</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1,083,326.5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1,204,264.0</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2,468,050.3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2,206,784.5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2,468,050.3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2,252,351.7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2,301,549.2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2,305,009.3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2,308,030.9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Allocation of Special Drawing rights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144,193.0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168,835.9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225,080.9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203,035.7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225,080.9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220,572.5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214,985.1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217,160.9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227,464.8</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Bills Payable</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630.5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710.3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1,169.8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1,077.1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1,169.8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1,309.7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1,222.2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1,109.0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1,263.1</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Re-valuation Account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358,755.3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387,297.5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523,255.7</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452,907.5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523,255.7</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625,602.9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642,955.4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671,501.1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671,501.1</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Other Liabilities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453,416.0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871,945.4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976,452.8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1,114,791.8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976,452.8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1,816,374.6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2,056,653.0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1,960,565.7</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2,097,544.4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b/>
                <w:bCs/>
                <w:color w:val="auto"/>
                <w:sz w:val="14"/>
                <w:szCs w:val="14"/>
              </w:rPr>
            </w:pPr>
            <w:r w:rsidRPr="0000246F">
              <w:rPr>
                <w:b/>
                <w:bCs/>
                <w:color w:val="auto"/>
                <w:sz w:val="14"/>
              </w:rPr>
              <w:t>Total Liabilities/Assets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2,989,025.2</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4,450,511.1</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6,103,255.3</w:t>
            </w:r>
          </w:p>
        </w:tc>
        <w:tc>
          <w:tcPr>
            <w:tcW w:w="856" w:type="dxa"/>
            <w:tcBorders>
              <w:top w:val="nil"/>
              <w:left w:val="nil"/>
              <w:bottom w:val="nil"/>
              <w:right w:val="nil"/>
            </w:tcBorders>
            <w:shd w:val="clear" w:color="auto" w:fill="auto"/>
            <w:tcMar>
              <w:left w:w="43" w:type="dxa"/>
              <w:right w:w="43" w:type="dxa"/>
            </w:tcMar>
            <w:vAlign w:val="center"/>
            <w:hideMark/>
          </w:tcPr>
          <w:p w:rsidR="00FA165D" w:rsidRDefault="00FA165D" w:rsidP="00C81E06">
            <w:pPr>
              <w:jc w:val="right"/>
              <w:rPr>
                <w:b/>
                <w:bCs/>
                <w:sz w:val="14"/>
                <w:szCs w:val="14"/>
              </w:rPr>
            </w:pPr>
            <w:r>
              <w:rPr>
                <w:b/>
                <w:bCs/>
                <w:sz w:val="14"/>
                <w:szCs w:val="14"/>
              </w:rPr>
              <w:t>5,991,180.5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FA165D">
            <w:pPr>
              <w:jc w:val="right"/>
              <w:rPr>
                <w:b/>
                <w:bCs/>
                <w:sz w:val="14"/>
                <w:szCs w:val="14"/>
              </w:rPr>
            </w:pPr>
            <w:r>
              <w:rPr>
                <w:b/>
                <w:bCs/>
                <w:sz w:val="14"/>
                <w:szCs w:val="14"/>
              </w:rPr>
              <w:t>6,103,255.3</w:t>
            </w:r>
          </w:p>
        </w:tc>
        <w:tc>
          <w:tcPr>
            <w:tcW w:w="810" w:type="dxa"/>
            <w:tcBorders>
              <w:top w:val="nil"/>
              <w:left w:val="nil"/>
              <w:bottom w:val="nil"/>
              <w:right w:val="nil"/>
            </w:tcBorders>
            <w:shd w:val="clear" w:color="auto" w:fill="auto"/>
            <w:tcMar>
              <w:left w:w="43" w:type="dxa"/>
              <w:right w:w="43" w:type="dxa"/>
            </w:tcMar>
            <w:vAlign w:val="center"/>
            <w:hideMark/>
          </w:tcPr>
          <w:p w:rsidR="00FA165D" w:rsidRDefault="00FA165D" w:rsidP="00C81E06">
            <w:pPr>
              <w:jc w:val="right"/>
              <w:rPr>
                <w:b/>
                <w:bCs/>
                <w:sz w:val="14"/>
                <w:szCs w:val="14"/>
              </w:rPr>
            </w:pPr>
            <w:r>
              <w:rPr>
                <w:b/>
                <w:bCs/>
                <w:sz w:val="14"/>
                <w:szCs w:val="14"/>
              </w:rPr>
              <w:t>7,399,864.2</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8,008,365.7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7,591,586.8</w:t>
            </w:r>
          </w:p>
        </w:tc>
        <w:tc>
          <w:tcPr>
            <w:tcW w:w="764" w:type="dxa"/>
            <w:tcBorders>
              <w:top w:val="nil"/>
              <w:left w:val="nil"/>
              <w:bottom w:val="nil"/>
              <w:right w:val="nil"/>
            </w:tcBorders>
            <w:shd w:val="clear" w:color="auto" w:fill="auto"/>
            <w:tcMar>
              <w:left w:w="43" w:type="dxa"/>
              <w:right w:w="43" w:type="dxa"/>
            </w:tcMar>
            <w:vAlign w:val="center"/>
          </w:tcPr>
          <w:p w:rsidR="00FA165D" w:rsidRDefault="00FA165D" w:rsidP="00FA165D">
            <w:pPr>
              <w:jc w:val="right"/>
              <w:rPr>
                <w:b/>
                <w:bCs/>
                <w:sz w:val="14"/>
                <w:szCs w:val="14"/>
              </w:rPr>
            </w:pPr>
            <w:r>
              <w:rPr>
                <w:b/>
                <w:bCs/>
                <w:sz w:val="14"/>
                <w:szCs w:val="14"/>
              </w:rPr>
              <w:t>7,522,105.3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jc w:val="left"/>
              <w:rPr>
                <w:b/>
                <w:bCs/>
                <w:color w:val="auto"/>
                <w:sz w:val="14"/>
                <w:szCs w:val="14"/>
              </w:rPr>
            </w:pPr>
            <w:r w:rsidRPr="0000246F">
              <w:rPr>
                <w:b/>
                <w:bCs/>
                <w:color w:val="auto"/>
                <w:sz w:val="14"/>
                <w:szCs w:val="14"/>
              </w:rPr>
              <w:t xml:space="preserve">A  S  </w:t>
            </w:r>
            <w:proofErr w:type="spellStart"/>
            <w:r w:rsidRPr="0000246F">
              <w:rPr>
                <w:b/>
                <w:bCs/>
                <w:color w:val="auto"/>
                <w:sz w:val="14"/>
                <w:szCs w:val="14"/>
              </w:rPr>
              <w:t>S</w:t>
            </w:r>
            <w:proofErr w:type="spellEnd"/>
            <w:r w:rsidRPr="0000246F">
              <w:rPr>
                <w:b/>
                <w:bCs/>
                <w:color w:val="auto"/>
                <w:sz w:val="14"/>
                <w:szCs w:val="14"/>
              </w:rPr>
              <w:t xml:space="preserve">  E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rFonts w:ascii="Calibri" w:hAnsi="Calibri"/>
                <w:sz w:val="22"/>
                <w:szCs w:val="22"/>
              </w:rPr>
            </w:pP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rFonts w:ascii="Calibri" w:hAnsi="Calibri"/>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2"/>
                <w:szCs w:val="22"/>
              </w:rPr>
            </w:pP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2"/>
                <w:szCs w:val="22"/>
              </w:rPr>
            </w:pP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2"/>
                <w:szCs w:val="22"/>
              </w:rPr>
            </w:pP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Notes and Coins</w:t>
            </w:r>
            <w:r w:rsidRPr="00B71E13">
              <w:rPr>
                <w:color w:val="auto"/>
                <w:sz w:val="14"/>
                <w:vertAlign w:val="superscript"/>
              </w:rPr>
              <w:t>1</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196.7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198.8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107.2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198.8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128.8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148.4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146.1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186.2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1"/>
              <w:jc w:val="left"/>
              <w:rPr>
                <w:b/>
                <w:bCs/>
                <w:color w:val="auto"/>
                <w:sz w:val="14"/>
                <w:szCs w:val="14"/>
              </w:rPr>
            </w:pPr>
            <w:r w:rsidRPr="0000246F">
              <w:rPr>
                <w:b/>
                <w:bCs/>
                <w:color w:val="auto"/>
                <w:sz w:val="14"/>
                <w:szCs w:val="14"/>
              </w:rPr>
              <w:t>Bills Purchased and  Discounted Internal</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37.0</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Exports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3.6</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33.4</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Balance held outside Pakistan</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271,214.7</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1,279,444.4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905,746.1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876,909.6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905,746.1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1,455,699.7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1,484,919.7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1,638,558.5</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1,897,692.5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SDR held with IMF</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12,606.0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33,654.4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21,308.4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19,221.4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21,308.4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1,027.5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65,138.9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16,980.5</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17,786.2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0"/>
              <w:jc w:val="left"/>
              <w:rPr>
                <w:color w:val="auto"/>
                <w:sz w:val="14"/>
                <w:szCs w:val="14"/>
              </w:rPr>
            </w:pPr>
            <w:r w:rsidRPr="0000246F">
              <w:rPr>
                <w:color w:val="auto"/>
                <w:sz w:val="14"/>
              </w:rPr>
              <w:t>Govt. Debtor Balances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7,279.2</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34,242.4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26,080.8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23,649.5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26,080.8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28,023.5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29,106.1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28,540.0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26,550.3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numPr>
                <w:ilvl w:val="0"/>
                <w:numId w:val="7"/>
              </w:numPr>
              <w:jc w:val="left"/>
              <w:rPr>
                <w:b/>
                <w:bCs/>
                <w:color w:val="auto"/>
                <w:sz w:val="14"/>
                <w:szCs w:val="14"/>
              </w:rPr>
            </w:pPr>
            <w:r w:rsidRPr="0000246F">
              <w:rPr>
                <w:b/>
                <w:bCs/>
                <w:color w:val="auto"/>
                <w:sz w:val="14"/>
                <w:szCs w:val="14"/>
              </w:rPr>
              <w:t>Loans  and  Advances  to  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335,148.9</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423,356.9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563,998.1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550,553.1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563,998.1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700,616.1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722,589.7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745,446.4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779,314.9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Agricultural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1,216.6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1,059.8</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1,282.8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1,122.3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1,282.8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1,749.3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1,813.1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1,880.1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1,969.4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79,195.9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113,523.9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150,079.1</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146,930.3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150,079.1</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182,018.9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184,856.1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188,602.8</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191,934.4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Export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238,383.0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292,469.4</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386,889.4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385,759.5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386,889.4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503,784.5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522,813.6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533,635.2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536,835.5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20"/>
              </w:rPr>
            </w:pPr>
            <w:r>
              <w:rPr>
                <w:sz w:val="20"/>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0"/>
              </w:rPr>
            </w:pPr>
            <w:r>
              <w:rPr>
                <w:sz w:val="20"/>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20"/>
              </w:rPr>
            </w:pPr>
            <w:r>
              <w:rPr>
                <w:sz w:val="20"/>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20"/>
              </w:rPr>
            </w:pPr>
            <w:r>
              <w:rPr>
                <w:sz w:val="20"/>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16,353.3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16,303.7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25,746.8</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16,740.9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25,746.8</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13,063.4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13,106.9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21,328.3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48,575.6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numPr>
                <w:ilvl w:val="0"/>
                <w:numId w:val="7"/>
              </w:numPr>
              <w:jc w:val="left"/>
              <w:rPr>
                <w:b/>
                <w:bCs/>
                <w:color w:val="auto"/>
                <w:sz w:val="14"/>
                <w:szCs w:val="14"/>
              </w:rPr>
            </w:pPr>
            <w:r w:rsidRPr="0000246F">
              <w:rPr>
                <w:b/>
                <w:bCs/>
                <w:color w:val="auto"/>
                <w:sz w:val="14"/>
                <w:szCs w:val="14"/>
              </w:rPr>
              <w:t>Loans  and  Ad</w:t>
            </w:r>
            <w:r>
              <w:rPr>
                <w:b/>
                <w:bCs/>
                <w:color w:val="auto"/>
                <w:sz w:val="14"/>
                <w:szCs w:val="14"/>
              </w:rPr>
              <w:t xml:space="preserve">vances  to  Non-Bank Financial </w:t>
            </w:r>
            <w:r w:rsidRPr="0000246F">
              <w:rPr>
                <w:b/>
                <w:bCs/>
                <w:color w:val="auto"/>
                <w:sz w:val="14"/>
                <w:szCs w:val="14"/>
              </w:rPr>
              <w:t>Comp</w:t>
            </w:r>
            <w:r>
              <w:rPr>
                <w:b/>
                <w:bCs/>
                <w:color w:val="auto"/>
                <w:sz w:val="14"/>
                <w:szCs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8,250.2</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9,940.1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11,742.5</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11,453.2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11,742.5</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12,929.5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13,041.6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13,888.9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14,191.6</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szCs w:val="14"/>
              </w:rPr>
              <w:t>Agriculture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420.9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363.7</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279.9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284.9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279.9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218.2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213.9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214.4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214.8</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Industrial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7,829.3</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9,576.5</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11,462.5</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11,168.3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11,462.5</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12,704.5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12,821.2</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13,449.4</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13,464.5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Housing Sector</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6.5</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225.1</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512.3</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1"/>
              <w:jc w:val="left"/>
              <w:rPr>
                <w:b/>
                <w:bCs/>
                <w:color w:val="auto"/>
                <w:sz w:val="14"/>
                <w:szCs w:val="14"/>
              </w:rPr>
            </w:pPr>
            <w:r w:rsidRPr="0000246F">
              <w:rPr>
                <w:b/>
                <w:bCs/>
                <w:color w:val="auto"/>
                <w:sz w:val="14"/>
              </w:rPr>
              <w:t>Other Loans and Advances (</w:t>
            </w:r>
            <w:proofErr w:type="spellStart"/>
            <w:r w:rsidRPr="0000246F">
              <w:rPr>
                <w:b/>
                <w:bCs/>
                <w:color w:val="auto"/>
                <w:sz w:val="14"/>
              </w:rPr>
              <w:t>a+b</w:t>
            </w:r>
            <w:proofErr w:type="spellEnd"/>
            <w:r w:rsidRPr="0000246F">
              <w:rPr>
                <w:b/>
                <w:bCs/>
                <w:color w:val="auto"/>
                <w:sz w:val="14"/>
              </w:rPr>
              <w:t>)</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343,399.1</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433,297.0</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b/>
                <w:bCs/>
                <w:sz w:val="14"/>
                <w:szCs w:val="14"/>
              </w:rPr>
            </w:pPr>
            <w:r>
              <w:rPr>
                <w:b/>
                <w:bCs/>
                <w:sz w:val="14"/>
                <w:szCs w:val="14"/>
              </w:rPr>
              <w:t>575,740.6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562,006.3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575,740.6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713,545.6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735,631.3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759,335.3</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793,506.5</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100" w:firstLine="141"/>
              <w:jc w:val="left"/>
              <w:rPr>
                <w:b/>
                <w:bCs/>
                <w:color w:val="auto"/>
                <w:sz w:val="14"/>
                <w:szCs w:val="14"/>
              </w:rPr>
            </w:pPr>
            <w:r w:rsidRPr="0000246F">
              <w:rPr>
                <w:b/>
                <w:bCs/>
                <w:color w:val="auto"/>
                <w:sz w:val="14"/>
                <w:szCs w:val="14"/>
              </w:rPr>
              <w:t>I n v e s t m e n t 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350,187.9</w:t>
            </w:r>
          </w:p>
        </w:tc>
        <w:tc>
          <w:tcPr>
            <w:tcW w:w="849"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447,386.6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3,075,510.9</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2,863,989.3</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3,075,510.9</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b/>
                <w:bCs/>
                <w:sz w:val="14"/>
                <w:szCs w:val="14"/>
              </w:rPr>
            </w:pPr>
            <w:r>
              <w:rPr>
                <w:b/>
                <w:bCs/>
                <w:sz w:val="14"/>
                <w:szCs w:val="14"/>
              </w:rPr>
              <w:t>3,113,112.8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2,856,602.0</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b/>
                <w:bCs/>
                <w:sz w:val="14"/>
                <w:szCs w:val="14"/>
              </w:rPr>
            </w:pPr>
            <w:r>
              <w:rPr>
                <w:b/>
                <w:bCs/>
                <w:sz w:val="14"/>
                <w:szCs w:val="14"/>
              </w:rPr>
              <w:t>2,124,324.8</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b/>
                <w:bCs/>
                <w:sz w:val="14"/>
                <w:szCs w:val="14"/>
              </w:rPr>
            </w:pPr>
            <w:r>
              <w:rPr>
                <w:b/>
                <w:bCs/>
                <w:sz w:val="14"/>
                <w:szCs w:val="14"/>
              </w:rPr>
              <w:t>2,395,484.2</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Scheduled Banks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104,606.5</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90,287.9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74,289.4</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74,289.4</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78,393.6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54,331.9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54,331.9</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54,331.9</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60"/>
              <w:jc w:val="left"/>
              <w:rPr>
                <w:color w:val="auto"/>
                <w:sz w:val="13"/>
                <w:szCs w:val="13"/>
              </w:rPr>
            </w:pPr>
            <w:r w:rsidRPr="0000246F">
              <w:rPr>
                <w:color w:val="auto"/>
                <w:sz w:val="13"/>
                <w:szCs w:val="13"/>
              </w:rPr>
              <w:t>Non-Bank Financial Companies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5,381.6</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5,381.6</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5,381.6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5,381.6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22,938.7</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22,938.7</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22,938.7</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Govt. Securities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177,459.0</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290,005.3</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2,937,442.3</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2,726,411.8</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2,937,442.3</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2,954,228.1</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2,721,485.6</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1,989,192.0</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2,260,346.4</w:t>
            </w:r>
          </w:p>
        </w:tc>
      </w:tr>
      <w:tr w:rsidR="00FA165D" w:rsidRPr="0000246F" w:rsidTr="00FA165D">
        <w:trPr>
          <w:trHeight w:val="259"/>
          <w:jc w:val="center"/>
        </w:trPr>
        <w:tc>
          <w:tcPr>
            <w:tcW w:w="3224" w:type="dxa"/>
            <w:tcBorders>
              <w:top w:val="nil"/>
              <w:left w:val="nil"/>
              <w:bottom w:val="nil"/>
              <w:right w:val="nil"/>
            </w:tcBorders>
            <w:shd w:val="clear" w:color="auto" w:fill="auto"/>
            <w:noWrap/>
            <w:tcMar>
              <w:left w:w="29" w:type="dxa"/>
              <w:right w:w="29" w:type="dxa"/>
            </w:tcMar>
            <w:vAlign w:val="center"/>
            <w:hideMark/>
          </w:tcPr>
          <w:p w:rsidR="00FA165D" w:rsidRPr="0000246F" w:rsidRDefault="00FA165D" w:rsidP="00C81E06">
            <w:pPr>
              <w:ind w:firstLineChars="200" w:firstLine="280"/>
              <w:jc w:val="left"/>
              <w:rPr>
                <w:color w:val="auto"/>
                <w:sz w:val="14"/>
                <w:szCs w:val="14"/>
              </w:rPr>
            </w:pPr>
            <w:r w:rsidRPr="0000246F">
              <w:rPr>
                <w:color w:val="auto"/>
                <w:sz w:val="14"/>
              </w:rPr>
              <w:t>Others</w:t>
            </w:r>
          </w:p>
        </w:tc>
        <w:tc>
          <w:tcPr>
            <w:tcW w:w="759"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62,740.8</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61,711.9</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58,397.6</w:t>
            </w:r>
          </w:p>
        </w:tc>
        <w:tc>
          <w:tcPr>
            <w:tcW w:w="856"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57,906.4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58,397.6</w:t>
            </w:r>
          </w:p>
        </w:tc>
        <w:tc>
          <w:tcPr>
            <w:tcW w:w="810" w:type="dxa"/>
            <w:tcBorders>
              <w:top w:val="nil"/>
              <w:left w:val="nil"/>
              <w:bottom w:val="nil"/>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57,552.4</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57,845.9</w:t>
            </w:r>
          </w:p>
        </w:tc>
        <w:tc>
          <w:tcPr>
            <w:tcW w:w="810" w:type="dxa"/>
            <w:tcBorders>
              <w:top w:val="nil"/>
              <w:left w:val="nil"/>
              <w:bottom w:val="nil"/>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57,862.2</w:t>
            </w:r>
          </w:p>
        </w:tc>
        <w:tc>
          <w:tcPr>
            <w:tcW w:w="764" w:type="dxa"/>
            <w:tcBorders>
              <w:top w:val="nil"/>
              <w:left w:val="nil"/>
              <w:bottom w:val="nil"/>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57,867.2</w:t>
            </w:r>
          </w:p>
        </w:tc>
      </w:tr>
      <w:tr w:rsidR="00FA165D" w:rsidRPr="0000246F" w:rsidTr="00FA165D">
        <w:trPr>
          <w:trHeight w:val="259"/>
          <w:jc w:val="center"/>
        </w:trPr>
        <w:tc>
          <w:tcPr>
            <w:tcW w:w="3224" w:type="dxa"/>
            <w:tcBorders>
              <w:top w:val="nil"/>
              <w:left w:val="nil"/>
              <w:bottom w:val="single" w:sz="12" w:space="0" w:color="auto"/>
              <w:right w:val="nil"/>
            </w:tcBorders>
            <w:shd w:val="clear" w:color="auto" w:fill="auto"/>
            <w:noWrap/>
            <w:tcMar>
              <w:left w:w="29" w:type="dxa"/>
              <w:right w:w="29" w:type="dxa"/>
            </w:tcMar>
            <w:vAlign w:val="center"/>
            <w:hideMark/>
          </w:tcPr>
          <w:p w:rsidR="00FA165D" w:rsidRPr="0000246F" w:rsidRDefault="00FA165D" w:rsidP="00C81E06">
            <w:pPr>
              <w:jc w:val="left"/>
              <w:rPr>
                <w:color w:val="auto"/>
                <w:sz w:val="14"/>
                <w:szCs w:val="14"/>
              </w:rPr>
            </w:pPr>
            <w:r w:rsidRPr="0000246F">
              <w:rPr>
                <w:color w:val="auto"/>
                <w:sz w:val="14"/>
              </w:rPr>
              <w:t>Other Assets</w:t>
            </w:r>
          </w:p>
        </w:tc>
        <w:tc>
          <w:tcPr>
            <w:tcW w:w="759"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2,004,189.9</w:t>
            </w:r>
          </w:p>
        </w:tc>
        <w:tc>
          <w:tcPr>
            <w:tcW w:w="849"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2,222,286.1</w:t>
            </w:r>
          </w:p>
        </w:tc>
        <w:tc>
          <w:tcPr>
            <w:tcW w:w="810" w:type="dxa"/>
            <w:tcBorders>
              <w:top w:val="nil"/>
              <w:left w:val="nil"/>
              <w:bottom w:val="nil"/>
              <w:right w:val="nil"/>
            </w:tcBorders>
            <w:shd w:val="clear" w:color="auto" w:fill="auto"/>
            <w:tcMar>
              <w:left w:w="43" w:type="dxa"/>
              <w:right w:w="43" w:type="dxa"/>
            </w:tcMar>
            <w:vAlign w:val="center"/>
          </w:tcPr>
          <w:p w:rsidR="00FA165D" w:rsidRDefault="00FA165D" w:rsidP="00C81E06">
            <w:pPr>
              <w:jc w:val="right"/>
              <w:rPr>
                <w:sz w:val="14"/>
                <w:szCs w:val="14"/>
              </w:rPr>
            </w:pPr>
            <w:r>
              <w:rPr>
                <w:sz w:val="14"/>
                <w:szCs w:val="14"/>
              </w:rPr>
              <w:t>1,498,666.3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1,645,293.8</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1,498,666.3</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FA165D" w:rsidRDefault="00FA165D" w:rsidP="00C81E06">
            <w:pPr>
              <w:jc w:val="right"/>
              <w:rPr>
                <w:sz w:val="14"/>
                <w:szCs w:val="14"/>
              </w:rPr>
            </w:pPr>
            <w:r>
              <w:rPr>
                <w:sz w:val="14"/>
                <w:szCs w:val="14"/>
              </w:rPr>
              <w:t>2,088,322.6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2,836,815.6</w:t>
            </w:r>
          </w:p>
        </w:tc>
        <w:tc>
          <w:tcPr>
            <w:tcW w:w="810"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C81E06">
            <w:pPr>
              <w:jc w:val="right"/>
              <w:rPr>
                <w:sz w:val="14"/>
                <w:szCs w:val="14"/>
              </w:rPr>
            </w:pPr>
            <w:r>
              <w:rPr>
                <w:sz w:val="14"/>
                <w:szCs w:val="14"/>
              </w:rPr>
              <w:t>3,023,698.0</w:t>
            </w:r>
          </w:p>
        </w:tc>
        <w:tc>
          <w:tcPr>
            <w:tcW w:w="764" w:type="dxa"/>
            <w:tcBorders>
              <w:top w:val="nil"/>
              <w:left w:val="nil"/>
              <w:bottom w:val="single" w:sz="12" w:space="0" w:color="auto"/>
              <w:right w:val="nil"/>
            </w:tcBorders>
            <w:shd w:val="clear" w:color="auto" w:fill="auto"/>
            <w:noWrap/>
            <w:tcMar>
              <w:left w:w="43" w:type="dxa"/>
              <w:right w:w="43" w:type="dxa"/>
            </w:tcMar>
            <w:vAlign w:val="center"/>
          </w:tcPr>
          <w:p w:rsidR="00FA165D" w:rsidRDefault="00FA165D" w:rsidP="00FA165D">
            <w:pPr>
              <w:jc w:val="right"/>
              <w:rPr>
                <w:sz w:val="14"/>
                <w:szCs w:val="14"/>
              </w:rPr>
            </w:pPr>
            <w:r>
              <w:rPr>
                <w:sz w:val="14"/>
                <w:szCs w:val="14"/>
              </w:rPr>
              <w:t>2,390,895.9</w:t>
            </w:r>
          </w:p>
        </w:tc>
      </w:tr>
      <w:tr w:rsidR="00C81E06" w:rsidRPr="0000246F" w:rsidTr="00261F80">
        <w:trPr>
          <w:trHeight w:val="204"/>
          <w:jc w:val="center"/>
        </w:trPr>
        <w:tc>
          <w:tcPr>
            <w:tcW w:w="10502" w:type="dxa"/>
            <w:gridSpan w:val="10"/>
            <w:tcBorders>
              <w:top w:val="single" w:sz="12" w:space="0" w:color="auto"/>
              <w:left w:val="nil"/>
              <w:bottom w:val="nil"/>
              <w:right w:val="nil"/>
            </w:tcBorders>
            <w:shd w:val="clear" w:color="auto" w:fill="auto"/>
            <w:noWrap/>
            <w:tcMar>
              <w:left w:w="115" w:type="dxa"/>
              <w:right w:w="288" w:type="dxa"/>
            </w:tcMar>
            <w:vAlign w:val="center"/>
            <w:hideMark/>
          </w:tcPr>
          <w:p w:rsidR="00C81E06" w:rsidRDefault="00C81E06" w:rsidP="00C81E06">
            <w:pPr>
              <w:jc w:val="left"/>
              <w:rPr>
                <w:color w:val="auto"/>
                <w:sz w:val="14"/>
                <w:szCs w:val="14"/>
              </w:rPr>
            </w:pPr>
            <w:r w:rsidRPr="0000246F">
              <w:rPr>
                <w:color w:val="auto"/>
                <w:sz w:val="14"/>
              </w:rPr>
              <w:t xml:space="preserve">1  Includes all coins of various denominations                                                                                                                                 </w:t>
            </w:r>
            <w:r>
              <w:rPr>
                <w:color w:val="auto"/>
                <w:sz w:val="14"/>
              </w:rPr>
              <w:t xml:space="preserve">                              </w:t>
            </w:r>
            <w:r w:rsidRPr="0000246F">
              <w:rPr>
                <w:color w:val="auto"/>
                <w:sz w:val="14"/>
                <w:szCs w:val="14"/>
              </w:rPr>
              <w:t>Source: Finance  Department SBP</w:t>
            </w:r>
          </w:p>
          <w:p w:rsidR="00C81E06" w:rsidRPr="0000246F" w:rsidRDefault="00C81E06" w:rsidP="00C81E06">
            <w:pPr>
              <w:jc w:val="left"/>
              <w:rPr>
                <w:color w:val="auto"/>
                <w:sz w:val="14"/>
                <w:szCs w:val="14"/>
              </w:rPr>
            </w:pPr>
          </w:p>
        </w:tc>
      </w:tr>
    </w:tbl>
    <w:p w:rsidR="0000246F" w:rsidRDefault="0000246F"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BB4E76" w:rsidRDefault="00BB4E76" w:rsidP="0069571C">
      <w:pPr>
        <w:pStyle w:val="Footer"/>
        <w:tabs>
          <w:tab w:val="clear" w:pos="4320"/>
          <w:tab w:val="clear" w:pos="8640"/>
        </w:tabs>
        <w:ind w:left="1440"/>
        <w:rPr>
          <w:color w:val="auto"/>
        </w:rPr>
      </w:pPr>
    </w:p>
    <w:p w:rsidR="005D6058" w:rsidRDefault="005D6058" w:rsidP="0069571C">
      <w:pPr>
        <w:pStyle w:val="Footer"/>
        <w:tabs>
          <w:tab w:val="clear" w:pos="4320"/>
          <w:tab w:val="clear" w:pos="8640"/>
        </w:tabs>
        <w:jc w:val="both"/>
        <w:rPr>
          <w:color w:val="auto"/>
        </w:rPr>
      </w:pPr>
    </w:p>
    <w:p w:rsidR="00A1737C" w:rsidRDefault="00A1737C" w:rsidP="0069571C">
      <w:pPr>
        <w:pStyle w:val="Footer"/>
        <w:tabs>
          <w:tab w:val="clear" w:pos="4320"/>
          <w:tab w:val="clear" w:pos="8640"/>
        </w:tabs>
        <w:jc w:val="both"/>
        <w:rPr>
          <w:color w:val="auto"/>
        </w:rPr>
      </w:pPr>
    </w:p>
    <w:tbl>
      <w:tblPr>
        <w:tblW w:w="10466" w:type="dxa"/>
        <w:jc w:val="center"/>
        <w:tblLook w:val="04A0" w:firstRow="1" w:lastRow="0" w:firstColumn="1" w:lastColumn="0" w:noHBand="0" w:noVBand="1"/>
      </w:tblPr>
      <w:tblGrid>
        <w:gridCol w:w="3420"/>
        <w:gridCol w:w="900"/>
        <w:gridCol w:w="815"/>
        <w:gridCol w:w="778"/>
        <w:gridCol w:w="745"/>
        <w:gridCol w:w="716"/>
        <w:gridCol w:w="6"/>
        <w:gridCol w:w="718"/>
        <w:gridCol w:w="813"/>
        <w:gridCol w:w="809"/>
        <w:gridCol w:w="746"/>
      </w:tblGrid>
      <w:tr w:rsidR="00B34F49" w:rsidRPr="00B34F49" w:rsidTr="001A3CE8">
        <w:trPr>
          <w:trHeight w:val="375"/>
          <w:jc w:val="center"/>
        </w:trPr>
        <w:tc>
          <w:tcPr>
            <w:tcW w:w="10466" w:type="dxa"/>
            <w:gridSpan w:val="11"/>
            <w:tcBorders>
              <w:top w:val="nil"/>
              <w:left w:val="nil"/>
              <w:bottom w:val="nil"/>
              <w:right w:val="nil"/>
            </w:tcBorders>
            <w:shd w:val="clear" w:color="auto" w:fill="auto"/>
            <w:noWrap/>
            <w:vAlign w:val="bottom"/>
            <w:hideMark/>
          </w:tcPr>
          <w:p w:rsidR="00B34F49" w:rsidRPr="00B34F49" w:rsidRDefault="00B34F49" w:rsidP="00B34F49">
            <w:pPr>
              <w:rPr>
                <w:b/>
                <w:bCs/>
                <w:sz w:val="28"/>
                <w:szCs w:val="28"/>
              </w:rPr>
            </w:pPr>
            <w:r w:rsidRPr="00B34F49">
              <w:rPr>
                <w:b/>
                <w:bCs/>
                <w:sz w:val="28"/>
                <w:szCs w:val="28"/>
              </w:rPr>
              <w:t>2.11  Scheduled Banks’ Consolidated Position</w:t>
            </w:r>
          </w:p>
        </w:tc>
      </w:tr>
      <w:tr w:rsidR="00B34F49" w:rsidRPr="00B34F49" w:rsidTr="001A3CE8">
        <w:trPr>
          <w:trHeight w:val="315"/>
          <w:jc w:val="center"/>
        </w:trPr>
        <w:tc>
          <w:tcPr>
            <w:tcW w:w="10466" w:type="dxa"/>
            <w:gridSpan w:val="11"/>
            <w:tcBorders>
              <w:top w:val="nil"/>
              <w:left w:val="nil"/>
              <w:bottom w:val="nil"/>
              <w:right w:val="nil"/>
            </w:tcBorders>
            <w:shd w:val="clear" w:color="auto" w:fill="auto"/>
            <w:hideMark/>
          </w:tcPr>
          <w:p w:rsidR="00B34F49" w:rsidRPr="00B34F49" w:rsidRDefault="00B34F49" w:rsidP="00B34F49">
            <w:pPr>
              <w:rPr>
                <w:b/>
                <w:bCs/>
                <w:color w:val="auto"/>
                <w:sz w:val="24"/>
                <w:szCs w:val="24"/>
              </w:rPr>
            </w:pPr>
            <w:r w:rsidRPr="00B34F49">
              <w:rPr>
                <w:b/>
                <w:bCs/>
                <w:color w:val="auto"/>
                <w:sz w:val="24"/>
                <w:szCs w:val="24"/>
              </w:rPr>
              <w:t>Based on Weekly Position of Liabilities &amp;</w:t>
            </w:r>
            <w:r w:rsidRPr="00B34F49">
              <w:rPr>
                <w:color w:val="auto"/>
                <w:sz w:val="24"/>
                <w:szCs w:val="24"/>
              </w:rPr>
              <w:t xml:space="preserve"> </w:t>
            </w:r>
            <w:r w:rsidRPr="00B34F49">
              <w:rPr>
                <w:b/>
                <w:bCs/>
                <w:color w:val="auto"/>
                <w:sz w:val="24"/>
                <w:szCs w:val="24"/>
              </w:rPr>
              <w:t>Assets (All Banks)</w:t>
            </w:r>
          </w:p>
        </w:tc>
      </w:tr>
      <w:tr w:rsidR="00B34F49" w:rsidRPr="00B34F49" w:rsidTr="001A3CE8">
        <w:trPr>
          <w:trHeight w:val="315"/>
          <w:jc w:val="center"/>
        </w:trPr>
        <w:tc>
          <w:tcPr>
            <w:tcW w:w="10466" w:type="dxa"/>
            <w:gridSpan w:val="11"/>
            <w:tcBorders>
              <w:top w:val="nil"/>
              <w:left w:val="nil"/>
              <w:bottom w:val="single" w:sz="12" w:space="0" w:color="auto"/>
              <w:right w:val="nil"/>
            </w:tcBorders>
            <w:shd w:val="clear" w:color="auto" w:fill="auto"/>
            <w:vAlign w:val="bottom"/>
            <w:hideMark/>
          </w:tcPr>
          <w:p w:rsidR="00B34F49" w:rsidRPr="00B34F49" w:rsidRDefault="00B34F49" w:rsidP="00B34F49">
            <w:pPr>
              <w:jc w:val="right"/>
              <w:rPr>
                <w:color w:val="auto"/>
                <w:sz w:val="14"/>
                <w:szCs w:val="14"/>
              </w:rPr>
            </w:pPr>
            <w:r w:rsidRPr="00B34F49">
              <w:rPr>
                <w:color w:val="auto"/>
                <w:sz w:val="14"/>
              </w:rPr>
              <w:t>(Million Rupees)</w:t>
            </w:r>
          </w:p>
        </w:tc>
      </w:tr>
      <w:tr w:rsidR="00963113" w:rsidRPr="00B34F49" w:rsidTr="00E346E4">
        <w:trPr>
          <w:trHeight w:hRule="exact" w:val="255"/>
          <w:jc w:val="center"/>
        </w:trPr>
        <w:tc>
          <w:tcPr>
            <w:tcW w:w="3420" w:type="dxa"/>
            <w:tcBorders>
              <w:top w:val="nil"/>
              <w:left w:val="nil"/>
              <w:bottom w:val="nil"/>
              <w:right w:val="single" w:sz="4" w:space="0" w:color="auto"/>
            </w:tcBorders>
            <w:shd w:val="clear" w:color="auto" w:fill="auto"/>
            <w:noWrap/>
            <w:vAlign w:val="bottom"/>
            <w:hideMark/>
          </w:tcPr>
          <w:p w:rsidR="00963113" w:rsidRPr="005249C8" w:rsidRDefault="00963113" w:rsidP="00AB7A08">
            <w:pPr>
              <w:jc w:val="left"/>
              <w:rPr>
                <w:b/>
                <w:bCs/>
                <w:color w:val="auto"/>
                <w:szCs w:val="16"/>
              </w:rPr>
            </w:pPr>
            <w:r w:rsidRPr="005249C8">
              <w:rPr>
                <w:b/>
                <w:bCs/>
                <w:color w:val="auto"/>
                <w:szCs w:val="16"/>
              </w:rPr>
              <w:t>FINANCIAL POSITION</w:t>
            </w:r>
          </w:p>
        </w:tc>
        <w:tc>
          <w:tcPr>
            <w:tcW w:w="900" w:type="dxa"/>
            <w:vMerge w:val="restart"/>
            <w:tcBorders>
              <w:top w:val="nil"/>
              <w:left w:val="single" w:sz="4" w:space="0" w:color="auto"/>
              <w:right w:val="single" w:sz="4" w:space="0" w:color="auto"/>
            </w:tcBorders>
            <w:shd w:val="clear" w:color="auto" w:fill="auto"/>
            <w:vAlign w:val="center"/>
            <w:hideMark/>
          </w:tcPr>
          <w:p w:rsidR="00963113" w:rsidRPr="00AB7A08" w:rsidRDefault="00963113" w:rsidP="00AB7A08">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AB7A08">
            <w:pPr>
              <w:jc w:val="right"/>
              <w:rPr>
                <w:b/>
                <w:bCs/>
                <w:color w:val="auto"/>
                <w:szCs w:val="16"/>
              </w:rPr>
            </w:pPr>
            <w:r w:rsidRPr="00AB7A08">
              <w:rPr>
                <w:b/>
                <w:bCs/>
                <w:color w:val="auto"/>
                <w:szCs w:val="16"/>
              </w:rPr>
              <w:t>FY18</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963113" w:rsidRPr="00AB7A08" w:rsidRDefault="00963113" w:rsidP="000A4093">
            <w:pPr>
              <w:jc w:val="right"/>
              <w:rPr>
                <w:b/>
                <w:bCs/>
                <w:color w:val="auto"/>
                <w:szCs w:val="16"/>
              </w:rPr>
            </w:pPr>
            <w:r w:rsidRPr="00AB7A08">
              <w:rPr>
                <w:b/>
                <w:bCs/>
                <w:color w:val="auto"/>
                <w:szCs w:val="16"/>
              </w:rPr>
              <w:t>FY19</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963113" w:rsidRPr="006619BF" w:rsidRDefault="00963113" w:rsidP="00AB7A08">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963113" w:rsidRPr="006619BF" w:rsidRDefault="00963113" w:rsidP="00AB7A08">
            <w:pPr>
              <w:rPr>
                <w:b/>
                <w:bCs/>
                <w:color w:val="auto"/>
                <w:szCs w:val="16"/>
              </w:rPr>
            </w:pPr>
            <w:r>
              <w:rPr>
                <w:b/>
                <w:bCs/>
                <w:color w:val="auto"/>
                <w:szCs w:val="16"/>
              </w:rPr>
              <w:t>2020</w:t>
            </w:r>
          </w:p>
        </w:tc>
      </w:tr>
      <w:tr w:rsidR="00C81E06" w:rsidRPr="00F06977" w:rsidTr="00E346E4">
        <w:trPr>
          <w:trHeight w:val="160"/>
          <w:jc w:val="center"/>
        </w:trPr>
        <w:tc>
          <w:tcPr>
            <w:tcW w:w="3420" w:type="dxa"/>
            <w:tcBorders>
              <w:top w:val="nil"/>
              <w:left w:val="nil"/>
              <w:bottom w:val="single" w:sz="12" w:space="0" w:color="auto"/>
              <w:right w:val="single" w:sz="4" w:space="0" w:color="auto"/>
            </w:tcBorders>
            <w:shd w:val="clear" w:color="auto" w:fill="auto"/>
            <w:noWrap/>
            <w:vAlign w:val="bottom"/>
            <w:hideMark/>
          </w:tcPr>
          <w:p w:rsidR="00C81E06" w:rsidRPr="00273A44" w:rsidRDefault="00C81E06" w:rsidP="00C81E06">
            <w:pPr>
              <w:jc w:val="left"/>
              <w:rPr>
                <w:b/>
                <w:bCs/>
                <w:color w:val="auto"/>
                <w:szCs w:val="16"/>
              </w:rPr>
            </w:pPr>
            <w:r w:rsidRPr="00273A44">
              <w:rPr>
                <w:b/>
                <w:bCs/>
                <w:color w:val="auto"/>
                <w:szCs w:val="16"/>
              </w:rPr>
              <w:t> </w:t>
            </w:r>
          </w:p>
        </w:tc>
        <w:tc>
          <w:tcPr>
            <w:tcW w:w="900" w:type="dxa"/>
            <w:vMerge/>
            <w:tcBorders>
              <w:left w:val="single" w:sz="4" w:space="0" w:color="auto"/>
              <w:bottom w:val="single" w:sz="12" w:space="0" w:color="auto"/>
              <w:right w:val="single" w:sz="4" w:space="0" w:color="auto"/>
            </w:tcBorders>
            <w:shd w:val="clear" w:color="auto" w:fill="auto"/>
            <w:tcMar>
              <w:left w:w="43" w:type="dxa"/>
              <w:right w:w="43" w:type="dxa"/>
            </w:tcMar>
            <w:vAlign w:val="center"/>
            <w:hideMark/>
          </w:tcPr>
          <w:p w:rsidR="00C81E06" w:rsidRPr="006619BF" w:rsidRDefault="00C81E06" w:rsidP="00C81E06">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May</w:t>
            </w:r>
          </w:p>
        </w:tc>
        <w:tc>
          <w:tcPr>
            <w:tcW w:w="716" w:type="dxa"/>
            <w:tcBorders>
              <w:top w:val="single" w:sz="4" w:space="0" w:color="auto"/>
              <w:bottom w:val="single" w:sz="12" w:space="0" w:color="auto"/>
              <w:right w:val="single" w:sz="4"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c>
          <w:tcPr>
            <w:tcW w:w="724" w:type="dxa"/>
            <w:gridSpan w:val="2"/>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C81E06" w:rsidRPr="006619BF" w:rsidRDefault="00C81E06" w:rsidP="00C81E06">
            <w:pPr>
              <w:jc w:val="right"/>
              <w:rPr>
                <w:b/>
                <w:color w:val="auto"/>
                <w:sz w:val="14"/>
                <w:szCs w:val="14"/>
              </w:rPr>
            </w:pPr>
            <w:r>
              <w:rPr>
                <w:b/>
                <w:color w:val="auto"/>
                <w:sz w:val="14"/>
                <w:szCs w:val="14"/>
              </w:rPr>
              <w:t>Mar</w:t>
            </w:r>
          </w:p>
        </w:tc>
        <w:tc>
          <w:tcPr>
            <w:tcW w:w="813"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Apr</w:t>
            </w:r>
          </w:p>
        </w:tc>
        <w:tc>
          <w:tcPr>
            <w:tcW w:w="809" w:type="dxa"/>
            <w:tcBorders>
              <w:top w:val="single" w:sz="4" w:space="0" w:color="auto"/>
              <w:bottom w:val="single" w:sz="12" w:space="0" w:color="auto"/>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May</w:t>
            </w:r>
          </w:p>
        </w:tc>
        <w:tc>
          <w:tcPr>
            <w:tcW w:w="746" w:type="dxa"/>
            <w:tcBorders>
              <w:top w:val="single" w:sz="4" w:space="0" w:color="auto"/>
              <w:bottom w:val="single" w:sz="12" w:space="0" w:color="auto"/>
              <w:right w:val="nil"/>
            </w:tcBorders>
            <w:shd w:val="clear" w:color="auto" w:fill="auto"/>
            <w:tcMar>
              <w:left w:w="43" w:type="dxa"/>
              <w:right w:w="43" w:type="dxa"/>
            </w:tcMar>
            <w:vAlign w:val="center"/>
          </w:tcPr>
          <w:p w:rsidR="00C81E06" w:rsidRPr="006619BF" w:rsidRDefault="00C81E06" w:rsidP="00C81E06">
            <w:pPr>
              <w:jc w:val="right"/>
              <w:rPr>
                <w:b/>
                <w:color w:val="auto"/>
                <w:sz w:val="14"/>
                <w:szCs w:val="14"/>
              </w:rPr>
            </w:pPr>
            <w:r>
              <w:rPr>
                <w:b/>
                <w:color w:val="auto"/>
                <w:sz w:val="14"/>
                <w:szCs w:val="14"/>
              </w:rPr>
              <w:t>Jun</w:t>
            </w:r>
          </w:p>
        </w:tc>
      </w:tr>
      <w:tr w:rsidR="00C81E06" w:rsidRPr="00B34F49" w:rsidTr="001A3CE8">
        <w:trPr>
          <w:trHeight w:hRule="exact" w:val="202"/>
          <w:jc w:val="center"/>
        </w:trPr>
        <w:tc>
          <w:tcPr>
            <w:tcW w:w="3420" w:type="dxa"/>
            <w:tcBorders>
              <w:top w:val="nil"/>
              <w:left w:val="nil"/>
              <w:bottom w:val="nil"/>
              <w:right w:val="nil"/>
            </w:tcBorders>
            <w:shd w:val="clear" w:color="auto" w:fill="auto"/>
            <w:noWrap/>
            <w:vAlign w:val="center"/>
            <w:hideMark/>
          </w:tcPr>
          <w:p w:rsidR="00C81E06" w:rsidRPr="00B34F49" w:rsidRDefault="00C81E06" w:rsidP="00C81E06">
            <w:pPr>
              <w:jc w:val="left"/>
              <w:rPr>
                <w:b/>
                <w:bCs/>
                <w:color w:val="auto"/>
                <w:sz w:val="14"/>
                <w:szCs w:val="14"/>
              </w:rPr>
            </w:pPr>
            <w:r w:rsidRPr="00B34F49">
              <w:rPr>
                <w:b/>
                <w:bCs/>
                <w:color w:val="auto"/>
                <w:sz w:val="14"/>
                <w:szCs w:val="16"/>
              </w:rPr>
              <w:t>ASSETS</w:t>
            </w:r>
          </w:p>
        </w:tc>
        <w:tc>
          <w:tcPr>
            <w:tcW w:w="900" w:type="dxa"/>
            <w:tcBorders>
              <w:top w:val="nil"/>
              <w:left w:val="nil"/>
              <w:bottom w:val="nil"/>
              <w:right w:val="nil"/>
            </w:tcBorders>
            <w:shd w:val="clear" w:color="auto" w:fill="auto"/>
            <w:tcMar>
              <w:left w:w="43" w:type="dxa"/>
              <w:right w:w="43" w:type="dxa"/>
            </w:tcMar>
            <w:vAlign w:val="center"/>
            <w:hideMark/>
          </w:tcPr>
          <w:p w:rsidR="00C81E06" w:rsidRPr="00B34F49" w:rsidRDefault="00C81E06" w:rsidP="00C81E0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C81E06" w:rsidRPr="00B34F49" w:rsidRDefault="00C81E06" w:rsidP="00C81E06">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C81E06" w:rsidRPr="002C2345" w:rsidRDefault="00C81E06" w:rsidP="00C81E06">
            <w:pPr>
              <w:jc w:val="right"/>
              <w:rPr>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C81E06" w:rsidRPr="002C2345" w:rsidRDefault="00C81E06" w:rsidP="00C81E06">
            <w:pPr>
              <w:jc w:val="right"/>
              <w:rPr>
                <w:sz w:val="14"/>
                <w:szCs w:val="14"/>
              </w:rPr>
            </w:pPr>
          </w:p>
        </w:tc>
        <w:tc>
          <w:tcPr>
            <w:tcW w:w="716" w:type="dxa"/>
            <w:tcBorders>
              <w:top w:val="nil"/>
              <w:left w:val="nil"/>
              <w:bottom w:val="nil"/>
              <w:right w:val="nil"/>
            </w:tcBorders>
            <w:shd w:val="clear" w:color="auto" w:fill="auto"/>
            <w:tcMar>
              <w:left w:w="43" w:type="dxa"/>
              <w:right w:w="43" w:type="dxa"/>
            </w:tcMar>
            <w:vAlign w:val="center"/>
          </w:tcPr>
          <w:p w:rsidR="00C81E06" w:rsidRPr="002C2345" w:rsidRDefault="00C81E06" w:rsidP="00C81E06">
            <w:pPr>
              <w:jc w:val="right"/>
              <w:rPr>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C81E06" w:rsidRPr="002C2345" w:rsidRDefault="00C81E06" w:rsidP="00C81E06">
            <w:pPr>
              <w:jc w:val="right"/>
              <w:rPr>
                <w:sz w:val="14"/>
                <w:szCs w:val="14"/>
              </w:rPr>
            </w:pPr>
          </w:p>
        </w:tc>
        <w:tc>
          <w:tcPr>
            <w:tcW w:w="813" w:type="dxa"/>
            <w:tcBorders>
              <w:top w:val="nil"/>
              <w:left w:val="nil"/>
              <w:bottom w:val="nil"/>
              <w:right w:val="nil"/>
            </w:tcBorders>
            <w:shd w:val="clear" w:color="auto" w:fill="auto"/>
            <w:tcMar>
              <w:left w:w="43" w:type="dxa"/>
              <w:right w:w="43" w:type="dxa"/>
            </w:tcMar>
            <w:vAlign w:val="center"/>
          </w:tcPr>
          <w:p w:rsidR="00C81E06" w:rsidRPr="002C2345" w:rsidRDefault="00C81E06" w:rsidP="00C81E06">
            <w:pPr>
              <w:jc w:val="right"/>
              <w:rPr>
                <w:sz w:val="14"/>
                <w:szCs w:val="14"/>
              </w:rPr>
            </w:pPr>
          </w:p>
        </w:tc>
        <w:tc>
          <w:tcPr>
            <w:tcW w:w="809" w:type="dxa"/>
            <w:tcBorders>
              <w:top w:val="nil"/>
              <w:left w:val="nil"/>
              <w:bottom w:val="nil"/>
              <w:right w:val="nil"/>
            </w:tcBorders>
            <w:shd w:val="clear" w:color="auto" w:fill="auto"/>
            <w:tcMar>
              <w:left w:w="43" w:type="dxa"/>
              <w:right w:w="43" w:type="dxa"/>
            </w:tcMar>
            <w:vAlign w:val="center"/>
          </w:tcPr>
          <w:p w:rsidR="00C81E06" w:rsidRPr="002C2345" w:rsidRDefault="00C81E06" w:rsidP="00C81E06">
            <w:pPr>
              <w:jc w:val="right"/>
              <w:rPr>
                <w:sz w:val="14"/>
                <w:szCs w:val="14"/>
              </w:rPr>
            </w:pPr>
          </w:p>
        </w:tc>
        <w:tc>
          <w:tcPr>
            <w:tcW w:w="746" w:type="dxa"/>
            <w:tcBorders>
              <w:top w:val="nil"/>
              <w:left w:val="nil"/>
              <w:bottom w:val="nil"/>
              <w:right w:val="nil"/>
            </w:tcBorders>
            <w:shd w:val="clear" w:color="auto" w:fill="auto"/>
            <w:tcMar>
              <w:left w:w="43" w:type="dxa"/>
              <w:right w:w="43" w:type="dxa"/>
            </w:tcMar>
            <w:vAlign w:val="center"/>
          </w:tcPr>
          <w:p w:rsidR="00C81E06" w:rsidRPr="002C2345" w:rsidRDefault="00C81E06" w:rsidP="00C81E06">
            <w:pPr>
              <w:jc w:val="right"/>
              <w:rPr>
                <w:sz w:val="14"/>
                <w:szCs w:val="14"/>
              </w:rPr>
            </w:pP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Cash &amp; Balances with Treasury Banks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1,122,866</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1,349,450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1,966,692</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1,436,568</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1,966,692</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1,393,722</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1,244,493</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1,390,850</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1,408,559</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Balances with other Banks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185,623</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186,038</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195,992</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179,579</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195,992</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220,241</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189,960</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195,683</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212,150</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Lending to Financial Institutions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503,760</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612,681</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717,249</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826,868</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717,249</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870,922</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1,284,549</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716,715</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843,513</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Investments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8,166,143</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8,178,723</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7,624,217</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7,299,989</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7,624,217</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9,296,980</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9,793,575</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10,382,024</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10,681,288</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Advances – Net of Provision</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5,719,604</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6,897,850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7,608,678</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7,534,182</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7,608,678</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7,734,856</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7,670,370</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7,805,895</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7,655,531</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Gross Advances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6,176,306</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7,361,622</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8,096,771</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8,021,991</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8,096,771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8,259,017</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8,216,614</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8,356,599</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8,202,328</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Less: Provision for Non- Performing Advances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456,701</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463,772</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488,093</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487,809</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488,093</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524,161</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546,244</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550,704</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546,797</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Operating Fixed Assets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345,652</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417,591</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468,981</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466,281</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468,981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556,339</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570,668</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566,868</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567,753</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Deferred Tax Assets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47,428</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52,835</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59,834</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58,641</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59,834</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53,132</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59,090</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60,784</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56,161</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Other Assets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711,952</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715,125</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943,951</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815,735</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943,951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898,422</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838,848</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920,352</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950,083</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1"/>
              <w:jc w:val="left"/>
              <w:rPr>
                <w:b/>
                <w:bCs/>
                <w:color w:val="auto"/>
                <w:sz w:val="14"/>
                <w:szCs w:val="14"/>
              </w:rPr>
            </w:pPr>
            <w:r w:rsidRPr="00B34F49">
              <w:rPr>
                <w:b/>
                <w:bCs/>
                <w:color w:val="auto"/>
                <w:sz w:val="14"/>
                <w:szCs w:val="16"/>
              </w:rPr>
              <w:t>TOTAL ASSETS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16,803,027</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18,410,293</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19,585,594</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18,617,843</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b/>
                <w:bCs/>
                <w:sz w:val="14"/>
                <w:szCs w:val="14"/>
              </w:rPr>
            </w:pPr>
            <w:r>
              <w:rPr>
                <w:b/>
                <w:bCs/>
                <w:sz w:val="14"/>
                <w:szCs w:val="14"/>
              </w:rPr>
              <w:t>19,585,594</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21,024,615</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21,651,552</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22,039,172</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b/>
                <w:bCs/>
                <w:sz w:val="14"/>
                <w:szCs w:val="14"/>
              </w:rPr>
            </w:pPr>
            <w:r>
              <w:rPr>
                <w:b/>
                <w:bCs/>
                <w:sz w:val="14"/>
                <w:szCs w:val="14"/>
              </w:rPr>
              <w:t>22,375,037</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rFonts w:ascii="Calibri" w:hAnsi="Calibri"/>
                <w:sz w:val="22"/>
                <w:szCs w:val="22"/>
              </w:rPr>
            </w:pP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b/>
                <w:bCs/>
                <w:color w:val="auto"/>
                <w:sz w:val="14"/>
                <w:szCs w:val="14"/>
              </w:rPr>
            </w:pPr>
            <w:r w:rsidRPr="00B34F49">
              <w:rPr>
                <w:b/>
                <w:bCs/>
                <w:color w:val="auto"/>
                <w:sz w:val="14"/>
                <w:szCs w:val="16"/>
              </w:rPr>
              <w:t>LIABILITIES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rFonts w:ascii="Calibri" w:hAnsi="Calibri"/>
                <w:sz w:val="22"/>
                <w:szCs w:val="22"/>
              </w:rPr>
            </w:pP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Bills Payable</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201,124</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230,357</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299,737</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273,332</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299,737</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213,863</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600,184</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223,911</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245,363</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Borrowings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2,654,899</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3,014,680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2,412,023</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2,565,151</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2,412,023</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2,826,543</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3,544,327</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3,351,457</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2,865,768</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Deposits and other Accounts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11,980,697</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13,062,787</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14,458,307</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13,459,780</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14,458,307</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15,126,310</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14,475,797</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15,480,920</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16,229,036</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Sub-ordinated Loans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46,910</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79,460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108,670</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112,563</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108,670</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126,593</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132,450</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127,764</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126,296</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Liabilities Against Assets Subject to Finance Lease</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35</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2,187</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2,181</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2,192</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2,134</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Deferred Tax Liabilities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35,556</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22,070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22,591</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22,225</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22,591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40,342</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48,096</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47,077</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47,329</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0"/>
              <w:jc w:val="left"/>
              <w:rPr>
                <w:color w:val="auto"/>
                <w:sz w:val="14"/>
                <w:szCs w:val="14"/>
              </w:rPr>
            </w:pPr>
            <w:r w:rsidRPr="00B34F49">
              <w:rPr>
                <w:color w:val="auto"/>
                <w:sz w:val="14"/>
                <w:szCs w:val="16"/>
              </w:rPr>
              <w:t>Other Liabilities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446,232</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577,934</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803,227</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734,138</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803,227</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917,020</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922,405</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935,542</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964,493</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ind w:firstLineChars="100" w:firstLine="141"/>
              <w:jc w:val="left"/>
              <w:rPr>
                <w:b/>
                <w:bCs/>
                <w:color w:val="auto"/>
                <w:sz w:val="14"/>
                <w:szCs w:val="14"/>
              </w:rPr>
            </w:pPr>
            <w:r w:rsidRPr="00B34F49">
              <w:rPr>
                <w:b/>
                <w:bCs/>
                <w:color w:val="auto"/>
                <w:sz w:val="14"/>
                <w:szCs w:val="16"/>
              </w:rPr>
              <w:t>TOTAL LIABILITIES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15,365,453</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16,987,306</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18,104,555</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17,167,190</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b/>
                <w:bCs/>
                <w:sz w:val="14"/>
                <w:szCs w:val="14"/>
              </w:rPr>
            </w:pPr>
            <w:r>
              <w:rPr>
                <w:b/>
                <w:bCs/>
                <w:sz w:val="14"/>
                <w:szCs w:val="14"/>
              </w:rPr>
              <w:t>18,104,555</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19,252,858</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19,725,440</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20,168,862</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b/>
                <w:bCs/>
                <w:sz w:val="14"/>
                <w:szCs w:val="14"/>
              </w:rPr>
            </w:pPr>
            <w:r>
              <w:rPr>
                <w:b/>
                <w:bCs/>
                <w:sz w:val="14"/>
                <w:szCs w:val="14"/>
              </w:rPr>
              <w:t>20,480,420</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rFonts w:ascii="Calibri" w:hAnsi="Calibri"/>
                <w:sz w:val="22"/>
                <w:szCs w:val="22"/>
              </w:rPr>
            </w:pP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b/>
                <w:bCs/>
                <w:color w:val="auto"/>
                <w:sz w:val="14"/>
                <w:szCs w:val="14"/>
              </w:rPr>
            </w:pPr>
            <w:r w:rsidRPr="00B34F49">
              <w:rPr>
                <w:b/>
                <w:bCs/>
                <w:color w:val="auto"/>
                <w:sz w:val="14"/>
                <w:szCs w:val="16"/>
              </w:rPr>
              <w:t>NET ASSETS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1,437,574</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1,422,987</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1,481,039</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1,450,653</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b/>
                <w:bCs/>
                <w:sz w:val="14"/>
                <w:szCs w:val="14"/>
              </w:rPr>
            </w:pPr>
            <w:r>
              <w:rPr>
                <w:b/>
                <w:bCs/>
                <w:sz w:val="14"/>
                <w:szCs w:val="14"/>
              </w:rPr>
              <w:t>1,481,039</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1,771,756</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1,926,111</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1,870,310</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b/>
                <w:bCs/>
                <w:sz w:val="14"/>
                <w:szCs w:val="14"/>
              </w:rPr>
            </w:pPr>
            <w:r>
              <w:rPr>
                <w:b/>
                <w:bCs/>
                <w:sz w:val="14"/>
                <w:szCs w:val="14"/>
              </w:rPr>
              <w:t>1,894,617</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rFonts w:ascii="Calibri" w:hAnsi="Calibri"/>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b/>
                <w:bCs/>
                <w:sz w:val="14"/>
                <w:szCs w:val="14"/>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rFonts w:ascii="Calibri" w:hAnsi="Calibri"/>
                <w:sz w:val="22"/>
                <w:szCs w:val="22"/>
              </w:rPr>
            </w:pP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b/>
                <w:bCs/>
                <w:color w:val="auto"/>
                <w:sz w:val="14"/>
                <w:szCs w:val="14"/>
              </w:rPr>
            </w:pPr>
            <w:r w:rsidRPr="00B34F49">
              <w:rPr>
                <w:b/>
                <w:bCs/>
                <w:color w:val="auto"/>
                <w:sz w:val="14"/>
                <w:szCs w:val="16"/>
              </w:rPr>
              <w:t>REPRESENTED BY:</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20"/>
              </w:rPr>
            </w:pP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rFonts w:ascii="Calibri" w:hAnsi="Calibri"/>
                <w:sz w:val="22"/>
                <w:szCs w:val="22"/>
              </w:rPr>
            </w:pP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20"/>
              </w:rPr>
            </w:pP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20"/>
              </w:rPr>
            </w:pP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rFonts w:ascii="Calibri" w:hAnsi="Calibri"/>
                <w:sz w:val="22"/>
                <w:szCs w:val="22"/>
              </w:rPr>
            </w:pP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rFonts w:ascii="Calibri" w:hAnsi="Calibri"/>
                <w:sz w:val="22"/>
                <w:szCs w:val="22"/>
              </w:rPr>
            </w:pP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color w:val="auto"/>
                <w:sz w:val="14"/>
                <w:szCs w:val="14"/>
              </w:rPr>
            </w:pPr>
            <w:r w:rsidRPr="00B34F49">
              <w:rPr>
                <w:color w:val="auto"/>
                <w:sz w:val="14"/>
                <w:szCs w:val="16"/>
              </w:rPr>
              <w:t>Paid up Capital / Head Office Capital Account</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651,359</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525,796</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546,922</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543,344</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546,922</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555,747</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555,047</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555,567</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556,465</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color w:val="auto"/>
                <w:sz w:val="14"/>
                <w:szCs w:val="14"/>
              </w:rPr>
            </w:pPr>
            <w:r w:rsidRPr="00B34F49">
              <w:rPr>
                <w:color w:val="auto"/>
                <w:sz w:val="14"/>
                <w:szCs w:val="16"/>
              </w:rPr>
              <w:t>Reserves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199,217</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285,610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340,060</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333,356</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340,060</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341,131</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349,646</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351,805</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357,675</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color w:val="auto"/>
                <w:sz w:val="14"/>
                <w:szCs w:val="14"/>
              </w:rPr>
            </w:pPr>
            <w:r w:rsidRPr="00B34F49">
              <w:rPr>
                <w:color w:val="auto"/>
                <w:sz w:val="14"/>
                <w:szCs w:val="16"/>
              </w:rPr>
              <w:t>Un-appropriated / Un-remitted Profit</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392,033</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440,846</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480,816</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460,323</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480,816</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586,171</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575,543</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581,232</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618,864</w:t>
            </w:r>
          </w:p>
        </w:tc>
      </w:tr>
      <w:tr w:rsidR="003F226F" w:rsidRPr="00B34F49" w:rsidTr="003F226F">
        <w:trPr>
          <w:trHeight w:hRule="exact" w:val="202"/>
          <w:jc w:val="center"/>
        </w:trPr>
        <w:tc>
          <w:tcPr>
            <w:tcW w:w="3420" w:type="dxa"/>
            <w:tcBorders>
              <w:top w:val="nil"/>
              <w:left w:val="nil"/>
              <w:bottom w:val="nil"/>
              <w:right w:val="nil"/>
            </w:tcBorders>
            <w:shd w:val="clear" w:color="auto" w:fill="auto"/>
            <w:noWrap/>
            <w:vAlign w:val="center"/>
            <w:hideMark/>
          </w:tcPr>
          <w:p w:rsidR="003F226F" w:rsidRPr="00B34F49" w:rsidRDefault="003F226F" w:rsidP="00C81E06">
            <w:pPr>
              <w:jc w:val="left"/>
              <w:rPr>
                <w:color w:val="auto"/>
                <w:sz w:val="14"/>
                <w:szCs w:val="14"/>
              </w:rPr>
            </w:pPr>
            <w:r w:rsidRPr="00B34F49">
              <w:rPr>
                <w:color w:val="auto"/>
                <w:sz w:val="14"/>
                <w:szCs w:val="16"/>
              </w:rPr>
              <w:t>Surplus/ (Deficit) on Revaluation of Assets</w:t>
            </w:r>
          </w:p>
        </w:tc>
        <w:tc>
          <w:tcPr>
            <w:tcW w:w="900"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194,964</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170,736</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113,241</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113,630</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1F2B1A">
            <w:pPr>
              <w:jc w:val="right"/>
              <w:rPr>
                <w:sz w:val="14"/>
                <w:szCs w:val="14"/>
              </w:rPr>
            </w:pPr>
            <w:r>
              <w:rPr>
                <w:sz w:val="14"/>
                <w:szCs w:val="14"/>
              </w:rPr>
              <w:t>113,241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288,708</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445,875</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381,706</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361,613</w:t>
            </w:r>
          </w:p>
        </w:tc>
      </w:tr>
      <w:tr w:rsidR="003F226F" w:rsidRPr="00B34F49" w:rsidTr="003F226F">
        <w:trPr>
          <w:trHeight w:hRule="exact" w:val="202"/>
          <w:jc w:val="center"/>
        </w:trPr>
        <w:tc>
          <w:tcPr>
            <w:tcW w:w="3420" w:type="dxa"/>
            <w:tcBorders>
              <w:top w:val="nil"/>
              <w:left w:val="nil"/>
              <w:bottom w:val="single" w:sz="12" w:space="0" w:color="auto"/>
              <w:right w:val="nil"/>
            </w:tcBorders>
            <w:shd w:val="clear" w:color="auto" w:fill="auto"/>
            <w:noWrap/>
            <w:vAlign w:val="center"/>
            <w:hideMark/>
          </w:tcPr>
          <w:p w:rsidR="003F226F" w:rsidRPr="00B34F49" w:rsidRDefault="003F226F" w:rsidP="00C81E06">
            <w:pPr>
              <w:jc w:val="left"/>
              <w:rPr>
                <w:b/>
                <w:bCs/>
                <w:color w:val="auto"/>
                <w:sz w:val="14"/>
                <w:szCs w:val="14"/>
              </w:rPr>
            </w:pPr>
            <w:r w:rsidRPr="00B34F49">
              <w:rPr>
                <w:b/>
                <w:bCs/>
                <w:color w:val="auto"/>
                <w:sz w:val="14"/>
                <w:szCs w:val="16"/>
              </w:rPr>
              <w:t>TOTAL</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1,437,574</w:t>
            </w:r>
          </w:p>
        </w:tc>
        <w:tc>
          <w:tcPr>
            <w:tcW w:w="815"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1,422,987</w:t>
            </w:r>
          </w:p>
        </w:tc>
        <w:tc>
          <w:tcPr>
            <w:tcW w:w="778"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1,481,039</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1,450,653</w:t>
            </w:r>
          </w:p>
        </w:tc>
        <w:tc>
          <w:tcPr>
            <w:tcW w:w="716"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1F2B1A">
            <w:pPr>
              <w:jc w:val="right"/>
              <w:rPr>
                <w:b/>
                <w:bCs/>
                <w:sz w:val="14"/>
                <w:szCs w:val="14"/>
              </w:rPr>
            </w:pPr>
            <w:r>
              <w:rPr>
                <w:b/>
                <w:bCs/>
                <w:sz w:val="14"/>
                <w:szCs w:val="14"/>
              </w:rPr>
              <w:t>1,481,039</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1,771,756</w:t>
            </w:r>
          </w:p>
        </w:tc>
        <w:tc>
          <w:tcPr>
            <w:tcW w:w="813"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1,926,112</w:t>
            </w:r>
          </w:p>
        </w:tc>
        <w:tc>
          <w:tcPr>
            <w:tcW w:w="809"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1,870,310</w:t>
            </w:r>
          </w:p>
        </w:tc>
        <w:tc>
          <w:tcPr>
            <w:tcW w:w="746"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3F226F">
            <w:pPr>
              <w:jc w:val="right"/>
              <w:rPr>
                <w:b/>
                <w:bCs/>
                <w:sz w:val="14"/>
                <w:szCs w:val="14"/>
              </w:rPr>
            </w:pPr>
            <w:r>
              <w:rPr>
                <w:b/>
                <w:bCs/>
                <w:sz w:val="14"/>
                <w:szCs w:val="14"/>
              </w:rPr>
              <w:t>1,894,617</w:t>
            </w:r>
          </w:p>
        </w:tc>
      </w:tr>
      <w:tr w:rsidR="003F226F" w:rsidRPr="00B34F49" w:rsidTr="001A3CE8">
        <w:trPr>
          <w:trHeight w:hRule="exact" w:val="408"/>
          <w:jc w:val="center"/>
        </w:trPr>
        <w:tc>
          <w:tcPr>
            <w:tcW w:w="10466" w:type="dxa"/>
            <w:gridSpan w:val="11"/>
            <w:tcBorders>
              <w:top w:val="nil"/>
              <w:left w:val="nil"/>
              <w:bottom w:val="nil"/>
              <w:right w:val="nil"/>
            </w:tcBorders>
            <w:shd w:val="clear" w:color="auto" w:fill="auto"/>
            <w:noWrap/>
            <w:vAlign w:val="center"/>
            <w:hideMark/>
          </w:tcPr>
          <w:p w:rsidR="003F226F" w:rsidRDefault="003F226F" w:rsidP="00C81E06">
            <w:pPr>
              <w:jc w:val="right"/>
              <w:rPr>
                <w:color w:val="auto"/>
                <w:sz w:val="14"/>
                <w:szCs w:val="16"/>
              </w:rPr>
            </w:pPr>
            <w:r w:rsidRPr="00B34F49">
              <w:rPr>
                <w:color w:val="auto"/>
                <w:sz w:val="14"/>
                <w:szCs w:val="16"/>
              </w:rPr>
              <w:t>Source: Off-Site Supervision &amp; Enforcement  Department SBP</w:t>
            </w:r>
          </w:p>
          <w:p w:rsidR="003F226F" w:rsidRPr="00B34F49" w:rsidRDefault="003F226F" w:rsidP="00C81E06">
            <w:pPr>
              <w:jc w:val="left"/>
              <w:rPr>
                <w:b/>
                <w:bCs/>
                <w:sz w:val="14"/>
                <w:szCs w:val="14"/>
              </w:rPr>
            </w:pPr>
            <w:r>
              <w:rPr>
                <w:color w:val="auto"/>
                <w:sz w:val="14"/>
                <w:szCs w:val="14"/>
              </w:rPr>
              <w:t>Note: Figures pertain to last week end of every month</w:t>
            </w:r>
          </w:p>
        </w:tc>
      </w:tr>
      <w:tr w:rsidR="003F226F" w:rsidRPr="00B34F49" w:rsidTr="001A3CE8">
        <w:trPr>
          <w:trHeight w:hRule="exact" w:val="390"/>
          <w:jc w:val="center"/>
        </w:trPr>
        <w:tc>
          <w:tcPr>
            <w:tcW w:w="10466" w:type="dxa"/>
            <w:gridSpan w:val="11"/>
            <w:tcBorders>
              <w:top w:val="nil"/>
              <w:left w:val="nil"/>
              <w:bottom w:val="single" w:sz="12" w:space="0" w:color="auto"/>
              <w:right w:val="nil"/>
            </w:tcBorders>
            <w:shd w:val="clear" w:color="auto" w:fill="auto"/>
            <w:noWrap/>
            <w:tcMar>
              <w:left w:w="43" w:type="dxa"/>
              <w:right w:w="43" w:type="dxa"/>
            </w:tcMar>
            <w:vAlign w:val="bottom"/>
            <w:hideMark/>
          </w:tcPr>
          <w:p w:rsidR="003F226F" w:rsidRPr="00B34F49" w:rsidRDefault="003F226F" w:rsidP="00C81E06">
            <w:pPr>
              <w:rPr>
                <w:b/>
                <w:bCs/>
                <w:sz w:val="28"/>
                <w:szCs w:val="28"/>
              </w:rPr>
            </w:pPr>
            <w:r w:rsidRPr="00B34F49">
              <w:rPr>
                <w:b/>
                <w:bCs/>
                <w:sz w:val="28"/>
                <w:szCs w:val="28"/>
              </w:rPr>
              <w:t>2.12  Schedule</w:t>
            </w:r>
            <w:r>
              <w:rPr>
                <w:b/>
                <w:bCs/>
                <w:sz w:val="28"/>
                <w:szCs w:val="28"/>
              </w:rPr>
              <w:t xml:space="preserve">d </w:t>
            </w:r>
            <w:r w:rsidRPr="00B34F49">
              <w:rPr>
                <w:b/>
                <w:bCs/>
                <w:sz w:val="28"/>
                <w:szCs w:val="28"/>
              </w:rPr>
              <w:t xml:space="preserve">Banks' Liquidity Position </w:t>
            </w:r>
            <w:r w:rsidRPr="00B34F49">
              <w:rPr>
                <w:b/>
                <w:bCs/>
                <w:color w:val="auto"/>
                <w:sz w:val="24"/>
                <w:szCs w:val="24"/>
              </w:rPr>
              <w:t>(All Banks)</w:t>
            </w:r>
          </w:p>
        </w:tc>
      </w:tr>
      <w:tr w:rsidR="003F226F" w:rsidRPr="00B34F49" w:rsidTr="00D42CCD">
        <w:trPr>
          <w:trHeight w:hRule="exact" w:val="318"/>
          <w:jc w:val="center"/>
        </w:trPr>
        <w:tc>
          <w:tcPr>
            <w:tcW w:w="3420" w:type="dxa"/>
            <w:tcBorders>
              <w:top w:val="nil"/>
              <w:left w:val="nil"/>
              <w:bottom w:val="nil"/>
              <w:right w:val="single" w:sz="4" w:space="0" w:color="auto"/>
            </w:tcBorders>
            <w:shd w:val="clear" w:color="auto" w:fill="auto"/>
            <w:noWrap/>
            <w:vAlign w:val="bottom"/>
            <w:hideMark/>
          </w:tcPr>
          <w:p w:rsidR="003F226F" w:rsidRPr="00B34F49" w:rsidRDefault="003F226F" w:rsidP="00C81E06">
            <w:pPr>
              <w:jc w:val="left"/>
              <w:rPr>
                <w:rFonts w:ascii="Calibri" w:hAnsi="Calibri"/>
                <w:sz w:val="22"/>
                <w:szCs w:val="22"/>
              </w:rPr>
            </w:pPr>
            <w:r w:rsidRPr="00B34F49">
              <w:rPr>
                <w:rFonts w:ascii="Calibri" w:hAnsi="Calibri"/>
                <w:sz w:val="22"/>
                <w:szCs w:val="22"/>
              </w:rPr>
              <w:t> </w:t>
            </w:r>
          </w:p>
        </w:tc>
        <w:tc>
          <w:tcPr>
            <w:tcW w:w="900" w:type="dxa"/>
            <w:vMerge w:val="restart"/>
            <w:tcBorders>
              <w:top w:val="nil"/>
              <w:left w:val="single" w:sz="4" w:space="0" w:color="auto"/>
              <w:right w:val="single" w:sz="4" w:space="0" w:color="auto"/>
            </w:tcBorders>
            <w:shd w:val="clear" w:color="auto" w:fill="auto"/>
            <w:noWrap/>
            <w:tcMar>
              <w:left w:w="43" w:type="dxa"/>
              <w:right w:w="43" w:type="dxa"/>
            </w:tcMar>
            <w:vAlign w:val="center"/>
          </w:tcPr>
          <w:p w:rsidR="003F226F" w:rsidRPr="00AB7A08" w:rsidRDefault="003F226F" w:rsidP="00C81E06">
            <w:pPr>
              <w:jc w:val="right"/>
              <w:rPr>
                <w:b/>
                <w:bCs/>
                <w:color w:val="auto"/>
                <w:szCs w:val="16"/>
              </w:rPr>
            </w:pPr>
            <w:r w:rsidRPr="00AB7A08">
              <w:rPr>
                <w:b/>
                <w:bCs/>
                <w:color w:val="auto"/>
                <w:szCs w:val="16"/>
              </w:rPr>
              <w:t>FY17</w:t>
            </w:r>
          </w:p>
        </w:tc>
        <w:tc>
          <w:tcPr>
            <w:tcW w:w="815" w:type="dxa"/>
            <w:vMerge w:val="restart"/>
            <w:tcBorders>
              <w:top w:val="single" w:sz="12" w:space="0" w:color="auto"/>
              <w:left w:val="single" w:sz="4" w:space="0" w:color="auto"/>
              <w:right w:val="single" w:sz="4" w:space="0" w:color="auto"/>
            </w:tcBorders>
            <w:shd w:val="clear" w:color="auto" w:fill="auto"/>
            <w:noWrap/>
            <w:tcMar>
              <w:left w:w="43" w:type="dxa"/>
              <w:right w:w="43" w:type="dxa"/>
            </w:tcMar>
            <w:vAlign w:val="center"/>
          </w:tcPr>
          <w:p w:rsidR="003F226F" w:rsidRPr="00AB7A08" w:rsidRDefault="003F226F" w:rsidP="00C81E06">
            <w:pPr>
              <w:jc w:val="right"/>
              <w:rPr>
                <w:b/>
                <w:bCs/>
                <w:color w:val="auto"/>
                <w:szCs w:val="16"/>
              </w:rPr>
            </w:pPr>
            <w:r w:rsidRPr="00AB7A08">
              <w:rPr>
                <w:b/>
                <w:bCs/>
                <w:color w:val="auto"/>
                <w:szCs w:val="16"/>
              </w:rPr>
              <w:t>FY18</w:t>
            </w:r>
          </w:p>
        </w:tc>
        <w:tc>
          <w:tcPr>
            <w:tcW w:w="778" w:type="dxa"/>
            <w:vMerge w:val="restart"/>
            <w:tcBorders>
              <w:top w:val="single" w:sz="12" w:space="0" w:color="auto"/>
              <w:left w:val="single" w:sz="4" w:space="0" w:color="auto"/>
              <w:right w:val="single" w:sz="4" w:space="0" w:color="auto"/>
            </w:tcBorders>
            <w:shd w:val="clear" w:color="auto" w:fill="auto"/>
            <w:vAlign w:val="center"/>
          </w:tcPr>
          <w:p w:rsidR="003F226F" w:rsidRPr="00AB7A08" w:rsidRDefault="003F226F" w:rsidP="00C81E06">
            <w:pPr>
              <w:jc w:val="right"/>
              <w:rPr>
                <w:b/>
                <w:bCs/>
                <w:color w:val="auto"/>
                <w:szCs w:val="16"/>
              </w:rPr>
            </w:pPr>
            <w:r>
              <w:rPr>
                <w:b/>
                <w:bCs/>
                <w:color w:val="auto"/>
                <w:szCs w:val="16"/>
              </w:rPr>
              <w:t>FY19</w:t>
            </w:r>
          </w:p>
        </w:tc>
        <w:tc>
          <w:tcPr>
            <w:tcW w:w="1467" w:type="dxa"/>
            <w:gridSpan w:val="3"/>
            <w:tcBorders>
              <w:top w:val="single" w:sz="12" w:space="0" w:color="auto"/>
              <w:left w:val="single" w:sz="4" w:space="0" w:color="auto"/>
              <w:bottom w:val="single" w:sz="4" w:space="0" w:color="auto"/>
              <w:right w:val="single" w:sz="4" w:space="0" w:color="auto"/>
            </w:tcBorders>
            <w:shd w:val="clear" w:color="auto" w:fill="auto"/>
            <w:vAlign w:val="center"/>
          </w:tcPr>
          <w:p w:rsidR="003F226F" w:rsidRPr="006619BF" w:rsidRDefault="003F226F" w:rsidP="00C81E06">
            <w:pPr>
              <w:rPr>
                <w:b/>
                <w:bCs/>
                <w:color w:val="auto"/>
                <w:szCs w:val="16"/>
              </w:rPr>
            </w:pPr>
            <w:r>
              <w:rPr>
                <w:b/>
                <w:bCs/>
                <w:color w:val="auto"/>
                <w:szCs w:val="16"/>
              </w:rPr>
              <w:t>2019</w:t>
            </w:r>
          </w:p>
        </w:tc>
        <w:tc>
          <w:tcPr>
            <w:tcW w:w="3086" w:type="dxa"/>
            <w:gridSpan w:val="4"/>
            <w:tcBorders>
              <w:top w:val="single" w:sz="12" w:space="0" w:color="auto"/>
              <w:left w:val="single" w:sz="4" w:space="0" w:color="auto"/>
              <w:bottom w:val="single" w:sz="4" w:space="0" w:color="auto"/>
              <w:right w:val="nil"/>
            </w:tcBorders>
            <w:shd w:val="clear" w:color="auto" w:fill="auto"/>
            <w:vAlign w:val="center"/>
          </w:tcPr>
          <w:p w:rsidR="003F226F" w:rsidRPr="006619BF" w:rsidRDefault="003F226F" w:rsidP="00C81E06">
            <w:pPr>
              <w:rPr>
                <w:b/>
                <w:bCs/>
                <w:color w:val="auto"/>
                <w:szCs w:val="16"/>
              </w:rPr>
            </w:pPr>
            <w:r>
              <w:rPr>
                <w:b/>
                <w:bCs/>
                <w:color w:val="auto"/>
                <w:szCs w:val="16"/>
              </w:rPr>
              <w:t>2020</w:t>
            </w:r>
          </w:p>
        </w:tc>
      </w:tr>
      <w:tr w:rsidR="003F226F" w:rsidRPr="00B34F49" w:rsidTr="00D42CCD">
        <w:trPr>
          <w:trHeight w:hRule="exact" w:val="253"/>
          <w:jc w:val="center"/>
        </w:trPr>
        <w:tc>
          <w:tcPr>
            <w:tcW w:w="3420" w:type="dxa"/>
            <w:tcBorders>
              <w:top w:val="nil"/>
              <w:left w:val="nil"/>
              <w:bottom w:val="single" w:sz="12" w:space="0" w:color="auto"/>
              <w:right w:val="single" w:sz="4" w:space="0" w:color="auto"/>
            </w:tcBorders>
            <w:shd w:val="clear" w:color="auto" w:fill="auto"/>
            <w:noWrap/>
            <w:vAlign w:val="bottom"/>
            <w:hideMark/>
          </w:tcPr>
          <w:p w:rsidR="003F226F" w:rsidRPr="00B34F49" w:rsidRDefault="003F226F" w:rsidP="00C81E06">
            <w:pPr>
              <w:jc w:val="left"/>
              <w:rPr>
                <w:rFonts w:ascii="Calibri" w:hAnsi="Calibri"/>
                <w:sz w:val="22"/>
                <w:szCs w:val="22"/>
              </w:rPr>
            </w:pPr>
            <w:r w:rsidRPr="00B34F49">
              <w:rPr>
                <w:rFonts w:ascii="Calibri" w:hAnsi="Calibri"/>
                <w:sz w:val="22"/>
                <w:szCs w:val="22"/>
              </w:rPr>
              <w:t> </w:t>
            </w:r>
          </w:p>
        </w:tc>
        <w:tc>
          <w:tcPr>
            <w:tcW w:w="900"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F226F" w:rsidRPr="006619BF" w:rsidRDefault="003F226F" w:rsidP="00C81E06">
            <w:pPr>
              <w:jc w:val="right"/>
              <w:rPr>
                <w:b/>
                <w:bCs/>
                <w:color w:val="auto"/>
                <w:sz w:val="14"/>
                <w:szCs w:val="14"/>
              </w:rPr>
            </w:pPr>
          </w:p>
        </w:tc>
        <w:tc>
          <w:tcPr>
            <w:tcW w:w="815"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F226F" w:rsidRPr="006619BF" w:rsidRDefault="003F226F" w:rsidP="00C81E06">
            <w:pPr>
              <w:jc w:val="right"/>
              <w:rPr>
                <w:b/>
                <w:bCs/>
                <w:color w:val="auto"/>
                <w:sz w:val="14"/>
                <w:szCs w:val="14"/>
              </w:rPr>
            </w:pPr>
          </w:p>
        </w:tc>
        <w:tc>
          <w:tcPr>
            <w:tcW w:w="778" w:type="dxa"/>
            <w:vMerge/>
            <w:tcBorders>
              <w:left w:val="single" w:sz="4" w:space="0" w:color="auto"/>
              <w:bottom w:val="single" w:sz="12" w:space="0" w:color="auto"/>
              <w:right w:val="single" w:sz="4" w:space="0" w:color="auto"/>
            </w:tcBorders>
            <w:shd w:val="clear" w:color="auto" w:fill="auto"/>
            <w:noWrap/>
            <w:tcMar>
              <w:left w:w="43" w:type="dxa"/>
              <w:right w:w="43" w:type="dxa"/>
            </w:tcMar>
            <w:vAlign w:val="center"/>
          </w:tcPr>
          <w:p w:rsidR="003F226F" w:rsidRPr="006619BF" w:rsidRDefault="003F226F" w:rsidP="00C81E06">
            <w:pPr>
              <w:jc w:val="right"/>
              <w:rPr>
                <w:b/>
                <w:bCs/>
                <w:color w:val="auto"/>
                <w:sz w:val="14"/>
                <w:szCs w:val="14"/>
              </w:rPr>
            </w:pPr>
          </w:p>
        </w:tc>
        <w:tc>
          <w:tcPr>
            <w:tcW w:w="745"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F226F" w:rsidRPr="006619BF" w:rsidRDefault="003F226F" w:rsidP="00C81E06">
            <w:pPr>
              <w:jc w:val="right"/>
              <w:rPr>
                <w:b/>
                <w:color w:val="auto"/>
                <w:sz w:val="14"/>
                <w:szCs w:val="14"/>
              </w:rPr>
            </w:pPr>
            <w:r>
              <w:rPr>
                <w:b/>
                <w:color w:val="auto"/>
                <w:sz w:val="14"/>
                <w:szCs w:val="14"/>
              </w:rPr>
              <w:t>Apr</w:t>
            </w:r>
          </w:p>
        </w:tc>
        <w:tc>
          <w:tcPr>
            <w:tcW w:w="716" w:type="dxa"/>
            <w:tcBorders>
              <w:top w:val="single" w:sz="4" w:space="0" w:color="auto"/>
              <w:bottom w:val="single" w:sz="12" w:space="0" w:color="auto"/>
              <w:right w:val="single" w:sz="4" w:space="0" w:color="auto"/>
            </w:tcBorders>
            <w:shd w:val="clear" w:color="auto" w:fill="auto"/>
            <w:noWrap/>
            <w:tcMar>
              <w:left w:w="43" w:type="dxa"/>
              <w:right w:w="43" w:type="dxa"/>
            </w:tcMar>
            <w:vAlign w:val="center"/>
          </w:tcPr>
          <w:p w:rsidR="003F226F" w:rsidRPr="006619BF" w:rsidRDefault="003F226F" w:rsidP="00C81E06">
            <w:pPr>
              <w:jc w:val="right"/>
              <w:rPr>
                <w:b/>
                <w:color w:val="auto"/>
                <w:sz w:val="14"/>
                <w:szCs w:val="14"/>
              </w:rPr>
            </w:pPr>
            <w:r>
              <w:rPr>
                <w:b/>
                <w:color w:val="auto"/>
                <w:sz w:val="14"/>
                <w:szCs w:val="14"/>
              </w:rPr>
              <w:t>May</w:t>
            </w:r>
          </w:p>
        </w:tc>
        <w:tc>
          <w:tcPr>
            <w:tcW w:w="724" w:type="dxa"/>
            <w:gridSpan w:val="2"/>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F226F" w:rsidRPr="006619BF" w:rsidRDefault="003F226F" w:rsidP="00C81E06">
            <w:pPr>
              <w:jc w:val="right"/>
              <w:rPr>
                <w:b/>
                <w:color w:val="auto"/>
                <w:sz w:val="14"/>
                <w:szCs w:val="14"/>
              </w:rPr>
            </w:pPr>
            <w:r>
              <w:rPr>
                <w:b/>
                <w:color w:val="auto"/>
                <w:sz w:val="14"/>
                <w:szCs w:val="14"/>
              </w:rPr>
              <w:t>Feb</w:t>
            </w:r>
          </w:p>
        </w:tc>
        <w:tc>
          <w:tcPr>
            <w:tcW w:w="813" w:type="dxa"/>
            <w:tcBorders>
              <w:top w:val="single" w:sz="4" w:space="0" w:color="auto"/>
              <w:bottom w:val="single" w:sz="12" w:space="0" w:color="auto"/>
            </w:tcBorders>
            <w:shd w:val="clear" w:color="auto" w:fill="auto"/>
            <w:noWrap/>
            <w:tcMar>
              <w:left w:w="43" w:type="dxa"/>
              <w:right w:w="43" w:type="dxa"/>
            </w:tcMar>
            <w:vAlign w:val="center"/>
          </w:tcPr>
          <w:p w:rsidR="003F226F" w:rsidRPr="006619BF" w:rsidRDefault="003F226F" w:rsidP="00C81E06">
            <w:pPr>
              <w:jc w:val="right"/>
              <w:rPr>
                <w:b/>
                <w:color w:val="auto"/>
                <w:sz w:val="14"/>
                <w:szCs w:val="14"/>
              </w:rPr>
            </w:pPr>
            <w:r>
              <w:rPr>
                <w:b/>
                <w:color w:val="auto"/>
                <w:sz w:val="14"/>
                <w:szCs w:val="14"/>
              </w:rPr>
              <w:t>Mar</w:t>
            </w:r>
          </w:p>
        </w:tc>
        <w:tc>
          <w:tcPr>
            <w:tcW w:w="809" w:type="dxa"/>
            <w:tcBorders>
              <w:top w:val="single" w:sz="4" w:space="0" w:color="auto"/>
              <w:bottom w:val="single" w:sz="12" w:space="0" w:color="auto"/>
            </w:tcBorders>
            <w:shd w:val="clear" w:color="auto" w:fill="auto"/>
            <w:noWrap/>
            <w:tcMar>
              <w:left w:w="43" w:type="dxa"/>
              <w:right w:w="43" w:type="dxa"/>
            </w:tcMar>
            <w:vAlign w:val="center"/>
          </w:tcPr>
          <w:p w:rsidR="003F226F" w:rsidRPr="006619BF" w:rsidRDefault="003F226F" w:rsidP="00C81E06">
            <w:pPr>
              <w:jc w:val="right"/>
              <w:rPr>
                <w:b/>
                <w:color w:val="auto"/>
                <w:sz w:val="14"/>
                <w:szCs w:val="14"/>
              </w:rPr>
            </w:pPr>
            <w:r>
              <w:rPr>
                <w:b/>
                <w:color w:val="auto"/>
                <w:sz w:val="14"/>
                <w:szCs w:val="14"/>
              </w:rPr>
              <w:t>Apr</w:t>
            </w:r>
          </w:p>
        </w:tc>
        <w:tc>
          <w:tcPr>
            <w:tcW w:w="746" w:type="dxa"/>
            <w:tcBorders>
              <w:top w:val="single" w:sz="4" w:space="0" w:color="auto"/>
              <w:bottom w:val="single" w:sz="12" w:space="0" w:color="auto"/>
              <w:right w:val="nil"/>
            </w:tcBorders>
            <w:shd w:val="clear" w:color="auto" w:fill="auto"/>
            <w:noWrap/>
            <w:tcMar>
              <w:left w:w="43" w:type="dxa"/>
              <w:right w:w="43" w:type="dxa"/>
            </w:tcMar>
            <w:vAlign w:val="center"/>
          </w:tcPr>
          <w:p w:rsidR="003F226F" w:rsidRPr="006619BF" w:rsidRDefault="003F226F" w:rsidP="00C81E06">
            <w:pPr>
              <w:jc w:val="right"/>
              <w:rPr>
                <w:b/>
                <w:color w:val="auto"/>
                <w:sz w:val="14"/>
                <w:szCs w:val="14"/>
              </w:rPr>
            </w:pPr>
            <w:r>
              <w:rPr>
                <w:b/>
                <w:color w:val="auto"/>
                <w:sz w:val="14"/>
                <w:szCs w:val="14"/>
              </w:rPr>
              <w:t>May</w:t>
            </w:r>
          </w:p>
        </w:tc>
      </w:tr>
      <w:tr w:rsidR="003F226F" w:rsidRPr="00B34F49" w:rsidTr="003F226F">
        <w:trPr>
          <w:trHeight w:hRule="exact" w:val="327"/>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jc w:val="left"/>
              <w:rPr>
                <w:sz w:val="14"/>
                <w:szCs w:val="14"/>
              </w:rPr>
            </w:pPr>
            <w:r w:rsidRPr="00B34F49">
              <w:rPr>
                <w:sz w:val="14"/>
                <w:szCs w:val="16"/>
              </w:rPr>
              <w:t>Demand Liabilities</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10,519,911</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11,397,954</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12,928,902</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11,453,350</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11,987,140</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12,324,836</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12,657,760</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12,750,673</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13,378,344</w:t>
            </w:r>
          </w:p>
        </w:tc>
      </w:tr>
      <w:tr w:rsidR="003F226F" w:rsidRPr="00B34F49" w:rsidTr="003F226F">
        <w:trPr>
          <w:trHeight w:hRule="exact" w:val="324"/>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jc w:val="left"/>
              <w:rPr>
                <w:sz w:val="14"/>
                <w:szCs w:val="14"/>
              </w:rPr>
            </w:pPr>
            <w:r w:rsidRPr="00B34F49">
              <w:rPr>
                <w:sz w:val="14"/>
                <w:szCs w:val="16"/>
              </w:rPr>
              <w:t>Time Liabilities</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1,254,315</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1,498,250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1,429,689</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1,447,093</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1,417,031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1,816,824</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1,829,334</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1,831,004</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1,827,414</w:t>
            </w:r>
          </w:p>
        </w:tc>
      </w:tr>
      <w:tr w:rsidR="003F226F" w:rsidRPr="00B34F49" w:rsidTr="003F226F">
        <w:trPr>
          <w:trHeight w:hRule="exact" w:val="360"/>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jc w:val="left"/>
              <w:rPr>
                <w:b/>
                <w:bCs/>
                <w:sz w:val="14"/>
                <w:szCs w:val="14"/>
              </w:rPr>
            </w:pPr>
            <w:r w:rsidRPr="00B34F49">
              <w:rPr>
                <w:b/>
                <w:bCs/>
                <w:sz w:val="14"/>
                <w:szCs w:val="16"/>
              </w:rPr>
              <w:t>TOTAL (Demand &amp; Time Liabilities)</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11,774,226</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12,896,204</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14,358,591</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12,900,443</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b/>
                <w:bCs/>
                <w:sz w:val="14"/>
                <w:szCs w:val="14"/>
              </w:rPr>
            </w:pPr>
            <w:r>
              <w:rPr>
                <w:b/>
                <w:bCs/>
                <w:sz w:val="14"/>
                <w:szCs w:val="14"/>
              </w:rPr>
              <w:t>13,404,171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14,141,660</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14,487,094</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14,581,677</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b/>
                <w:bCs/>
                <w:sz w:val="14"/>
                <w:szCs w:val="14"/>
              </w:rPr>
            </w:pPr>
            <w:r>
              <w:rPr>
                <w:b/>
                <w:bCs/>
                <w:sz w:val="14"/>
                <w:szCs w:val="14"/>
              </w:rPr>
              <w:t>15,205,758</w:t>
            </w:r>
          </w:p>
        </w:tc>
      </w:tr>
      <w:tr w:rsidR="003F226F" w:rsidRPr="00B34F49" w:rsidTr="003F226F">
        <w:trPr>
          <w:trHeight w:hRule="exact" w:val="360"/>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jc w:val="left"/>
              <w:rPr>
                <w:b/>
                <w:bCs/>
                <w:sz w:val="14"/>
                <w:szCs w:val="14"/>
              </w:rPr>
            </w:pPr>
            <w:r w:rsidRPr="00B34F49">
              <w:rPr>
                <w:b/>
                <w:bCs/>
                <w:sz w:val="14"/>
                <w:szCs w:val="14"/>
              </w:rPr>
              <w:t>LIQUID   ASSETS   MAINTAINED IN  PAKISTAN</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5,359,170</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6,166,451</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7,213,730</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5,553,924</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b/>
                <w:bCs/>
                <w:sz w:val="14"/>
                <w:szCs w:val="14"/>
              </w:rPr>
            </w:pPr>
            <w:r>
              <w:rPr>
                <w:b/>
                <w:bCs/>
                <w:sz w:val="14"/>
                <w:szCs w:val="14"/>
              </w:rPr>
              <w:t>6,206,381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b/>
                <w:bCs/>
                <w:sz w:val="14"/>
                <w:szCs w:val="14"/>
              </w:rPr>
            </w:pPr>
            <w:r>
              <w:rPr>
                <w:b/>
                <w:bCs/>
                <w:sz w:val="14"/>
                <w:szCs w:val="14"/>
              </w:rPr>
              <w:t>6,580,569</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7,129,003</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b/>
                <w:bCs/>
                <w:sz w:val="14"/>
                <w:szCs w:val="14"/>
              </w:rPr>
            </w:pPr>
            <w:r>
              <w:rPr>
                <w:b/>
                <w:bCs/>
                <w:sz w:val="14"/>
                <w:szCs w:val="14"/>
              </w:rPr>
              <w:t>7,679,431</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b/>
                <w:bCs/>
                <w:sz w:val="14"/>
                <w:szCs w:val="14"/>
              </w:rPr>
            </w:pPr>
            <w:r>
              <w:rPr>
                <w:b/>
                <w:bCs/>
                <w:sz w:val="14"/>
                <w:szCs w:val="14"/>
              </w:rPr>
              <w:t>8,030,344</w:t>
            </w:r>
          </w:p>
        </w:tc>
      </w:tr>
      <w:tr w:rsidR="003F226F" w:rsidRPr="00B34F49" w:rsidTr="003F226F">
        <w:trPr>
          <w:trHeight w:hRule="exact" w:val="270"/>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ind w:firstLineChars="100" w:firstLine="140"/>
              <w:jc w:val="left"/>
              <w:rPr>
                <w:sz w:val="14"/>
                <w:szCs w:val="14"/>
              </w:rPr>
            </w:pPr>
            <w:r w:rsidRPr="00B34F49">
              <w:rPr>
                <w:sz w:val="14"/>
                <w:szCs w:val="14"/>
              </w:rPr>
              <w:t>Cash</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294,115</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300,473</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414,380</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289,063</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434,474</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277,478</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327,707</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373,632</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439,719</w:t>
            </w:r>
          </w:p>
        </w:tc>
      </w:tr>
      <w:tr w:rsidR="003F226F" w:rsidRPr="00B34F49" w:rsidTr="003F226F">
        <w:trPr>
          <w:trHeight w:hRule="exact" w:val="270"/>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ind w:firstLineChars="100" w:firstLine="140"/>
              <w:jc w:val="left"/>
              <w:rPr>
                <w:sz w:val="14"/>
                <w:szCs w:val="14"/>
              </w:rPr>
            </w:pPr>
            <w:r w:rsidRPr="00B34F49">
              <w:rPr>
                <w:sz w:val="14"/>
                <w:szCs w:val="14"/>
              </w:rPr>
              <w:t>Balance with SBP</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502,760</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595,456</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986,670</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476,899</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596,294</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581,207</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612,602</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675,971</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573,972</w:t>
            </w:r>
          </w:p>
        </w:tc>
      </w:tr>
      <w:tr w:rsidR="003F226F" w:rsidRPr="00B34F49" w:rsidTr="003F226F">
        <w:trPr>
          <w:trHeight w:hRule="exact" w:val="315"/>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ind w:firstLineChars="100" w:firstLine="140"/>
              <w:jc w:val="left"/>
              <w:rPr>
                <w:sz w:val="14"/>
                <w:szCs w:val="14"/>
              </w:rPr>
            </w:pPr>
            <w:r w:rsidRPr="00B34F49">
              <w:rPr>
                <w:sz w:val="14"/>
                <w:szCs w:val="14"/>
              </w:rPr>
              <w:t>Balance with agents of SBP</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178,083</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252,778</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278,359</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52,341</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143,081</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62,162</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52,743</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53,984</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152,056</w:t>
            </w:r>
          </w:p>
        </w:tc>
      </w:tr>
      <w:tr w:rsidR="003F226F" w:rsidRPr="00B34F49" w:rsidTr="003F226F">
        <w:trPr>
          <w:trHeight w:hRule="exact" w:val="279"/>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ind w:firstLineChars="100" w:firstLine="140"/>
              <w:jc w:val="left"/>
              <w:rPr>
                <w:sz w:val="14"/>
                <w:szCs w:val="14"/>
              </w:rPr>
            </w:pPr>
            <w:r w:rsidRPr="00B34F49">
              <w:rPr>
                <w:sz w:val="14"/>
                <w:szCs w:val="14"/>
              </w:rPr>
              <w:t>Un-encumbered approved Securities</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4,365,694</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4,986,751</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5,486,577</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4,691,607</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4,987,198</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5,616,504</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6,091,836</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6,530,594</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6,819,294</w:t>
            </w:r>
          </w:p>
        </w:tc>
      </w:tr>
      <w:tr w:rsidR="003F226F" w:rsidRPr="00B34F49" w:rsidTr="003F226F">
        <w:trPr>
          <w:trHeight w:hRule="exact" w:val="324"/>
          <w:jc w:val="center"/>
        </w:trPr>
        <w:tc>
          <w:tcPr>
            <w:tcW w:w="3420" w:type="dxa"/>
            <w:tcBorders>
              <w:top w:val="nil"/>
              <w:left w:val="nil"/>
              <w:bottom w:val="nil"/>
              <w:right w:val="nil"/>
            </w:tcBorders>
            <w:shd w:val="clear" w:color="auto" w:fill="auto"/>
            <w:vAlign w:val="center"/>
            <w:hideMark/>
          </w:tcPr>
          <w:p w:rsidR="003F226F" w:rsidRPr="007E3CF2" w:rsidRDefault="003F226F" w:rsidP="00C81E06">
            <w:pPr>
              <w:ind w:left="162"/>
              <w:jc w:val="left"/>
              <w:rPr>
                <w:sz w:val="14"/>
                <w:szCs w:val="14"/>
              </w:rPr>
            </w:pPr>
            <w:r w:rsidRPr="007E3CF2">
              <w:rPr>
                <w:sz w:val="14"/>
                <w:szCs w:val="14"/>
              </w:rPr>
              <w:t>Foreign Banks Deposits with SBP under section13(3) of Banking Companies Ordinance</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18,288</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30,963</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47,744</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44,014</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45,334</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43,218</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44,115</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45,248</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45,303</w:t>
            </w:r>
          </w:p>
        </w:tc>
      </w:tr>
      <w:tr w:rsidR="003F226F" w:rsidRPr="00B34F49" w:rsidTr="003F226F">
        <w:trPr>
          <w:trHeight w:hRule="exact" w:val="243"/>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ind w:firstLineChars="100" w:firstLine="140"/>
              <w:jc w:val="left"/>
              <w:rPr>
                <w:sz w:val="14"/>
                <w:szCs w:val="14"/>
              </w:rPr>
            </w:pPr>
            <w:r w:rsidRPr="00B34F49">
              <w:rPr>
                <w:sz w:val="14"/>
                <w:szCs w:val="14"/>
              </w:rPr>
              <w:t>Share Capital of MFB</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230</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w:t>
            </w:r>
          </w:p>
        </w:tc>
      </w:tr>
      <w:tr w:rsidR="003F226F" w:rsidRPr="00B34F49" w:rsidTr="003F226F">
        <w:trPr>
          <w:trHeight w:hRule="exact" w:val="315"/>
          <w:jc w:val="center"/>
        </w:trPr>
        <w:tc>
          <w:tcPr>
            <w:tcW w:w="3420" w:type="dxa"/>
            <w:tcBorders>
              <w:top w:val="nil"/>
              <w:left w:val="nil"/>
              <w:bottom w:val="nil"/>
              <w:right w:val="nil"/>
            </w:tcBorders>
            <w:shd w:val="clear" w:color="auto" w:fill="auto"/>
            <w:vAlign w:val="center"/>
            <w:hideMark/>
          </w:tcPr>
          <w:p w:rsidR="003F226F" w:rsidRPr="00B34F49" w:rsidRDefault="003F226F" w:rsidP="00C81E06">
            <w:pPr>
              <w:jc w:val="left"/>
              <w:rPr>
                <w:color w:val="auto"/>
                <w:sz w:val="14"/>
                <w:szCs w:val="14"/>
              </w:rPr>
            </w:pPr>
            <w:r w:rsidRPr="00B34F49">
              <w:rPr>
                <w:color w:val="auto"/>
                <w:sz w:val="14"/>
                <w:szCs w:val="14"/>
              </w:rPr>
              <w:t>Minimum of Assets required to be held under Section 29 of the Banking Companies Ordinance</w:t>
            </w:r>
          </w:p>
        </w:tc>
        <w:tc>
          <w:tcPr>
            <w:tcW w:w="900"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2,449,848</w:t>
            </w:r>
          </w:p>
        </w:tc>
        <w:tc>
          <w:tcPr>
            <w:tcW w:w="815"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2,646,420</w:t>
            </w:r>
          </w:p>
        </w:tc>
        <w:tc>
          <w:tcPr>
            <w:tcW w:w="778"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2,996,069</w:t>
            </w:r>
          </w:p>
        </w:tc>
        <w:tc>
          <w:tcPr>
            <w:tcW w:w="745" w:type="dxa"/>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2,653,659</w:t>
            </w:r>
          </w:p>
        </w:tc>
        <w:tc>
          <w:tcPr>
            <w:tcW w:w="71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2,777,977</w:t>
            </w:r>
          </w:p>
        </w:tc>
        <w:tc>
          <w:tcPr>
            <w:tcW w:w="724" w:type="dxa"/>
            <w:gridSpan w:val="2"/>
            <w:tcBorders>
              <w:top w:val="nil"/>
              <w:left w:val="nil"/>
              <w:bottom w:val="nil"/>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2,847,595</w:t>
            </w:r>
          </w:p>
        </w:tc>
        <w:tc>
          <w:tcPr>
            <w:tcW w:w="813"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2,923,639</w:t>
            </w:r>
          </w:p>
        </w:tc>
        <w:tc>
          <w:tcPr>
            <w:tcW w:w="809" w:type="dxa"/>
            <w:tcBorders>
              <w:top w:val="nil"/>
              <w:left w:val="nil"/>
              <w:bottom w:val="nil"/>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2,946,467</w:t>
            </w:r>
          </w:p>
        </w:tc>
        <w:tc>
          <w:tcPr>
            <w:tcW w:w="746" w:type="dxa"/>
            <w:tcBorders>
              <w:top w:val="nil"/>
              <w:left w:val="nil"/>
              <w:bottom w:val="nil"/>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3,094,154</w:t>
            </w:r>
          </w:p>
        </w:tc>
      </w:tr>
      <w:tr w:rsidR="003F226F" w:rsidRPr="00B34F49" w:rsidTr="003F226F">
        <w:trPr>
          <w:trHeight w:hRule="exact" w:val="405"/>
          <w:jc w:val="center"/>
        </w:trPr>
        <w:tc>
          <w:tcPr>
            <w:tcW w:w="3420" w:type="dxa"/>
            <w:tcBorders>
              <w:top w:val="nil"/>
              <w:left w:val="nil"/>
              <w:bottom w:val="single" w:sz="12" w:space="0" w:color="auto"/>
              <w:right w:val="nil"/>
            </w:tcBorders>
            <w:shd w:val="clear" w:color="auto" w:fill="auto"/>
            <w:vAlign w:val="center"/>
            <w:hideMark/>
          </w:tcPr>
          <w:p w:rsidR="003F226F" w:rsidRPr="00B34F49" w:rsidRDefault="003F226F" w:rsidP="00C81E06">
            <w:pPr>
              <w:jc w:val="left"/>
              <w:rPr>
                <w:color w:val="auto"/>
                <w:sz w:val="14"/>
                <w:szCs w:val="14"/>
              </w:rPr>
            </w:pPr>
            <w:r w:rsidRPr="00B34F49">
              <w:rPr>
                <w:color w:val="auto"/>
                <w:sz w:val="14"/>
                <w:szCs w:val="14"/>
              </w:rPr>
              <w:t>Excess of Assets being held over the minimum required under Section 29 of the Banking Companies Ordinance</w:t>
            </w:r>
          </w:p>
        </w:tc>
        <w:tc>
          <w:tcPr>
            <w:tcW w:w="900"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2,909,323</w:t>
            </w:r>
          </w:p>
        </w:tc>
        <w:tc>
          <w:tcPr>
            <w:tcW w:w="815"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3,520,031</w:t>
            </w:r>
          </w:p>
        </w:tc>
        <w:tc>
          <w:tcPr>
            <w:tcW w:w="778"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4,217,661</w:t>
            </w:r>
          </w:p>
        </w:tc>
        <w:tc>
          <w:tcPr>
            <w:tcW w:w="745" w:type="dxa"/>
            <w:tcBorders>
              <w:top w:val="nil"/>
              <w:left w:val="nil"/>
              <w:bottom w:val="single" w:sz="12" w:space="0" w:color="auto"/>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2,900,266</w:t>
            </w:r>
          </w:p>
        </w:tc>
        <w:tc>
          <w:tcPr>
            <w:tcW w:w="716"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3,428,404</w:t>
            </w:r>
          </w:p>
        </w:tc>
        <w:tc>
          <w:tcPr>
            <w:tcW w:w="724" w:type="dxa"/>
            <w:gridSpan w:val="2"/>
            <w:tcBorders>
              <w:top w:val="nil"/>
              <w:left w:val="nil"/>
              <w:bottom w:val="single" w:sz="12" w:space="0" w:color="auto"/>
              <w:right w:val="nil"/>
            </w:tcBorders>
            <w:shd w:val="clear" w:color="auto" w:fill="auto"/>
            <w:tcMar>
              <w:left w:w="43" w:type="dxa"/>
              <w:right w:w="43" w:type="dxa"/>
            </w:tcMar>
            <w:vAlign w:val="center"/>
            <w:hideMark/>
          </w:tcPr>
          <w:p w:rsidR="003F226F" w:rsidRDefault="003F226F" w:rsidP="00C81E06">
            <w:pPr>
              <w:jc w:val="right"/>
              <w:rPr>
                <w:sz w:val="14"/>
                <w:szCs w:val="14"/>
              </w:rPr>
            </w:pPr>
            <w:r>
              <w:rPr>
                <w:sz w:val="14"/>
                <w:szCs w:val="14"/>
              </w:rPr>
              <w:t>3,732,974</w:t>
            </w:r>
          </w:p>
        </w:tc>
        <w:tc>
          <w:tcPr>
            <w:tcW w:w="813"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4,205,364</w:t>
            </w:r>
          </w:p>
        </w:tc>
        <w:tc>
          <w:tcPr>
            <w:tcW w:w="809"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C81E06">
            <w:pPr>
              <w:jc w:val="right"/>
              <w:rPr>
                <w:sz w:val="14"/>
                <w:szCs w:val="14"/>
              </w:rPr>
            </w:pPr>
            <w:r>
              <w:rPr>
                <w:sz w:val="14"/>
                <w:szCs w:val="14"/>
              </w:rPr>
              <w:t>4,732,963</w:t>
            </w:r>
          </w:p>
        </w:tc>
        <w:tc>
          <w:tcPr>
            <w:tcW w:w="746" w:type="dxa"/>
            <w:tcBorders>
              <w:top w:val="nil"/>
              <w:left w:val="nil"/>
              <w:bottom w:val="single" w:sz="12" w:space="0" w:color="auto"/>
              <w:right w:val="nil"/>
            </w:tcBorders>
            <w:shd w:val="clear" w:color="auto" w:fill="auto"/>
            <w:tcMar>
              <w:left w:w="43" w:type="dxa"/>
              <w:right w:w="43" w:type="dxa"/>
            </w:tcMar>
            <w:vAlign w:val="center"/>
          </w:tcPr>
          <w:p w:rsidR="003F226F" w:rsidRDefault="003F226F" w:rsidP="003F226F">
            <w:pPr>
              <w:jc w:val="right"/>
              <w:rPr>
                <w:sz w:val="14"/>
                <w:szCs w:val="14"/>
              </w:rPr>
            </w:pPr>
            <w:r>
              <w:rPr>
                <w:sz w:val="14"/>
                <w:szCs w:val="14"/>
              </w:rPr>
              <w:t>4,936,190</w:t>
            </w:r>
          </w:p>
        </w:tc>
      </w:tr>
      <w:tr w:rsidR="003F226F" w:rsidRPr="00B34F49" w:rsidTr="001A3CE8">
        <w:trPr>
          <w:trHeight w:val="177"/>
          <w:jc w:val="center"/>
        </w:trPr>
        <w:tc>
          <w:tcPr>
            <w:tcW w:w="3420" w:type="dxa"/>
            <w:tcBorders>
              <w:top w:val="nil"/>
              <w:left w:val="nil"/>
              <w:bottom w:val="nil"/>
              <w:right w:val="nil"/>
            </w:tcBorders>
            <w:shd w:val="clear" w:color="auto" w:fill="auto"/>
            <w:noWrap/>
            <w:vAlign w:val="bottom"/>
            <w:hideMark/>
          </w:tcPr>
          <w:p w:rsidR="003F226F" w:rsidRPr="00B34F49" w:rsidRDefault="003F226F" w:rsidP="00C81E06">
            <w:pPr>
              <w:jc w:val="left"/>
              <w:rPr>
                <w:sz w:val="14"/>
                <w:szCs w:val="14"/>
              </w:rPr>
            </w:pPr>
          </w:p>
        </w:tc>
        <w:tc>
          <w:tcPr>
            <w:tcW w:w="7046" w:type="dxa"/>
            <w:gridSpan w:val="10"/>
            <w:tcBorders>
              <w:top w:val="single" w:sz="12" w:space="0" w:color="auto"/>
              <w:left w:val="nil"/>
              <w:bottom w:val="nil"/>
              <w:right w:val="nil"/>
            </w:tcBorders>
            <w:shd w:val="clear" w:color="auto" w:fill="auto"/>
            <w:noWrap/>
            <w:vAlign w:val="bottom"/>
            <w:hideMark/>
          </w:tcPr>
          <w:p w:rsidR="003F226F" w:rsidRPr="00B34F49" w:rsidRDefault="003F226F" w:rsidP="00C81E06">
            <w:pPr>
              <w:jc w:val="right"/>
              <w:rPr>
                <w:color w:val="auto"/>
                <w:sz w:val="14"/>
                <w:szCs w:val="14"/>
              </w:rPr>
            </w:pPr>
            <w:r w:rsidRPr="00B34F49">
              <w:rPr>
                <w:color w:val="auto"/>
                <w:sz w:val="14"/>
                <w:szCs w:val="16"/>
              </w:rPr>
              <w:t xml:space="preserve">Source: Off-Site Supervision &amp; Enforcement  Department SBP </w:t>
            </w:r>
          </w:p>
        </w:tc>
      </w:tr>
      <w:tr w:rsidR="003F226F" w:rsidRPr="00B34F49" w:rsidTr="001A3CE8">
        <w:trPr>
          <w:trHeight w:val="180"/>
          <w:jc w:val="center"/>
        </w:trPr>
        <w:tc>
          <w:tcPr>
            <w:tcW w:w="10466" w:type="dxa"/>
            <w:gridSpan w:val="11"/>
            <w:tcBorders>
              <w:top w:val="nil"/>
              <w:left w:val="nil"/>
              <w:bottom w:val="nil"/>
              <w:right w:val="nil"/>
            </w:tcBorders>
            <w:shd w:val="clear" w:color="auto" w:fill="auto"/>
            <w:noWrap/>
            <w:vAlign w:val="center"/>
            <w:hideMark/>
          </w:tcPr>
          <w:p w:rsidR="003F226F" w:rsidRPr="00B34F49" w:rsidRDefault="003F226F" w:rsidP="00C81E06">
            <w:pPr>
              <w:jc w:val="left"/>
              <w:rPr>
                <w:color w:val="auto"/>
                <w:sz w:val="12"/>
                <w:szCs w:val="12"/>
              </w:rPr>
            </w:pPr>
            <w:r w:rsidRPr="00B34F49">
              <w:rPr>
                <w:color w:val="auto"/>
                <w:sz w:val="12"/>
                <w:szCs w:val="16"/>
              </w:rPr>
              <w:t>MFB :  Micro Finance Bank</w:t>
            </w:r>
          </w:p>
        </w:tc>
      </w:tr>
    </w:tbl>
    <w:p w:rsidR="00601FB0" w:rsidRDefault="00601FB0"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CE7FA4" w:rsidRDefault="00CE7FA4"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p w:rsidR="00B93E8C" w:rsidRDefault="00B93E8C" w:rsidP="0069571C">
      <w:pPr>
        <w:pStyle w:val="Footer"/>
        <w:tabs>
          <w:tab w:val="clear" w:pos="4320"/>
          <w:tab w:val="clear" w:pos="8640"/>
        </w:tabs>
        <w:jc w:val="both"/>
        <w:rPr>
          <w:color w:val="auto"/>
        </w:rPr>
      </w:pPr>
    </w:p>
    <w:p w:rsidR="005D6058" w:rsidRDefault="005D6058" w:rsidP="0069571C">
      <w:pPr>
        <w:pStyle w:val="Footer"/>
        <w:tabs>
          <w:tab w:val="clear" w:pos="4320"/>
          <w:tab w:val="clear" w:pos="8640"/>
        </w:tabs>
        <w:jc w:val="both"/>
        <w:rPr>
          <w:color w:val="auto"/>
        </w:rPr>
      </w:pPr>
    </w:p>
    <w:tbl>
      <w:tblPr>
        <w:tblpPr w:leftFromText="180" w:rightFromText="180" w:vertAnchor="text" w:horzAnchor="margin" w:tblpXSpec="center" w:tblpY="282"/>
        <w:tblOverlap w:val="never"/>
        <w:tblW w:w="5085" w:type="pct"/>
        <w:tblLayout w:type="fixed"/>
        <w:tblLook w:val="0000" w:firstRow="0" w:lastRow="0" w:firstColumn="0" w:lastColumn="0" w:noHBand="0" w:noVBand="0"/>
      </w:tblPr>
      <w:tblGrid>
        <w:gridCol w:w="3634"/>
        <w:gridCol w:w="748"/>
        <w:gridCol w:w="752"/>
        <w:gridCol w:w="748"/>
        <w:gridCol w:w="847"/>
        <w:gridCol w:w="873"/>
        <w:gridCol w:w="843"/>
        <w:gridCol w:w="843"/>
        <w:gridCol w:w="843"/>
      </w:tblGrid>
      <w:tr w:rsidR="007E2F90" w:rsidRPr="00D5469A" w:rsidTr="00052ECD">
        <w:trPr>
          <w:trHeight w:hRule="exact" w:val="288"/>
        </w:trPr>
        <w:tc>
          <w:tcPr>
            <w:tcW w:w="5000" w:type="pct"/>
            <w:gridSpan w:val="9"/>
            <w:tcBorders>
              <w:top w:val="nil"/>
              <w:left w:val="nil"/>
              <w:bottom w:val="nil"/>
              <w:right w:val="nil"/>
            </w:tcBorders>
            <w:shd w:val="clear" w:color="auto" w:fill="auto"/>
          </w:tcPr>
          <w:p w:rsidR="007E2F90" w:rsidRPr="00D5469A" w:rsidRDefault="007F7163" w:rsidP="001723FB">
            <w:pPr>
              <w:rPr>
                <w:b/>
                <w:color w:val="auto"/>
                <w:sz w:val="28"/>
                <w:szCs w:val="28"/>
              </w:rPr>
            </w:pPr>
            <w:r>
              <w:rPr>
                <w:b/>
                <w:bCs/>
                <w:color w:val="auto"/>
                <w:sz w:val="28"/>
                <w:szCs w:val="28"/>
              </w:rPr>
              <w:t>2.13</w:t>
            </w:r>
            <w:r w:rsidR="007E2F90" w:rsidRPr="00D5469A">
              <w:rPr>
                <w:b/>
                <w:bCs/>
                <w:color w:val="auto"/>
                <w:sz w:val="28"/>
                <w:szCs w:val="28"/>
              </w:rPr>
              <w:t xml:space="preserve">  Financial Position</w:t>
            </w:r>
            <w:r w:rsidR="007E2F90">
              <w:rPr>
                <w:b/>
                <w:bCs/>
                <w:color w:val="auto"/>
                <w:sz w:val="28"/>
                <w:szCs w:val="28"/>
              </w:rPr>
              <w:t xml:space="preserve"> of</w:t>
            </w:r>
            <w:r w:rsidR="007E2F90" w:rsidRPr="00D5469A">
              <w:rPr>
                <w:b/>
                <w:bCs/>
                <w:color w:val="auto"/>
                <w:sz w:val="28"/>
                <w:szCs w:val="28"/>
              </w:rPr>
              <w:t xml:space="preserve"> DFIs, MFBs</w:t>
            </w:r>
            <w:r w:rsidR="001723FB">
              <w:rPr>
                <w:b/>
                <w:bCs/>
                <w:color w:val="auto"/>
                <w:sz w:val="28"/>
                <w:szCs w:val="28"/>
              </w:rPr>
              <w:t xml:space="preserve"> </w:t>
            </w:r>
            <w:r w:rsidR="001723FB" w:rsidRPr="00D5469A">
              <w:rPr>
                <w:b/>
                <w:bCs/>
                <w:color w:val="auto"/>
                <w:sz w:val="28"/>
                <w:szCs w:val="28"/>
              </w:rPr>
              <w:t>&amp; NBFCs</w:t>
            </w:r>
          </w:p>
        </w:tc>
      </w:tr>
      <w:tr w:rsidR="007E2F90" w:rsidRPr="00D5469A" w:rsidTr="00052ECD">
        <w:trPr>
          <w:trHeight w:hRule="exact" w:val="216"/>
        </w:trPr>
        <w:tc>
          <w:tcPr>
            <w:tcW w:w="5000" w:type="pct"/>
            <w:gridSpan w:val="9"/>
            <w:tcBorders>
              <w:top w:val="nil"/>
              <w:left w:val="nil"/>
              <w:bottom w:val="single" w:sz="12" w:space="0" w:color="auto"/>
              <w:right w:val="nil"/>
            </w:tcBorders>
            <w:shd w:val="clear" w:color="auto" w:fill="auto"/>
            <w:tcMar>
              <w:left w:w="115" w:type="dxa"/>
              <w:right w:w="0" w:type="dxa"/>
            </w:tcMar>
            <w:vAlign w:val="bottom"/>
          </w:tcPr>
          <w:p w:rsidR="007E2F90" w:rsidRPr="00D5469A" w:rsidRDefault="007E2F90" w:rsidP="00DB799D">
            <w:pPr>
              <w:jc w:val="right"/>
              <w:rPr>
                <w:bCs/>
                <w:color w:val="auto"/>
                <w:szCs w:val="16"/>
              </w:rPr>
            </w:pPr>
            <w:r w:rsidRPr="00D5469A">
              <w:rPr>
                <w:bCs/>
                <w:color w:val="auto"/>
                <w:szCs w:val="16"/>
              </w:rPr>
              <w:t>(Million Rupees)</w:t>
            </w:r>
          </w:p>
        </w:tc>
      </w:tr>
      <w:tr w:rsidR="007E2F90" w:rsidRPr="00D5469A" w:rsidTr="00A57C35">
        <w:trPr>
          <w:cantSplit/>
          <w:trHeight w:hRule="exact" w:val="332"/>
        </w:trPr>
        <w:tc>
          <w:tcPr>
            <w:tcW w:w="1794" w:type="pct"/>
            <w:vMerge w:val="restart"/>
            <w:tcBorders>
              <w:top w:val="single" w:sz="12" w:space="0" w:color="auto"/>
              <w:bottom w:val="single" w:sz="12" w:space="0" w:color="auto"/>
              <w:right w:val="single" w:sz="4" w:space="0" w:color="auto"/>
            </w:tcBorders>
            <w:shd w:val="clear" w:color="auto" w:fill="auto"/>
            <w:noWrap/>
            <w:vAlign w:val="center"/>
          </w:tcPr>
          <w:p w:rsidR="007E2F90" w:rsidRPr="00D5469A" w:rsidRDefault="007E2F90" w:rsidP="007E2F90">
            <w:pPr>
              <w:rPr>
                <w:b/>
                <w:color w:val="auto"/>
                <w:szCs w:val="16"/>
              </w:rPr>
            </w:pPr>
            <w:r w:rsidRPr="00D5469A">
              <w:rPr>
                <w:b/>
                <w:bCs/>
                <w:color w:val="auto"/>
                <w:szCs w:val="16"/>
              </w:rPr>
              <w:t>ASSETS/ LIABILITIES</w:t>
            </w:r>
          </w:p>
        </w:tc>
        <w:tc>
          <w:tcPr>
            <w:tcW w:w="1527" w:type="pct"/>
            <w:gridSpan w:val="4"/>
            <w:tcBorders>
              <w:bottom w:val="single" w:sz="4" w:space="0" w:color="auto"/>
              <w:right w:val="single" w:sz="4" w:space="0" w:color="auto"/>
            </w:tcBorders>
            <w:shd w:val="clear" w:color="auto" w:fill="auto"/>
            <w:vAlign w:val="center"/>
          </w:tcPr>
          <w:p w:rsidR="007E2F90" w:rsidRPr="00D5469A" w:rsidRDefault="00052B28" w:rsidP="007A7EBA">
            <w:pPr>
              <w:rPr>
                <w:b/>
                <w:color w:val="auto"/>
                <w:szCs w:val="16"/>
              </w:rPr>
            </w:pPr>
            <w:r>
              <w:rPr>
                <w:b/>
                <w:color w:val="auto"/>
                <w:szCs w:val="16"/>
              </w:rPr>
              <w:t>Sep</w:t>
            </w:r>
            <w:r w:rsidR="00B151AD">
              <w:rPr>
                <w:b/>
                <w:color w:val="auto"/>
                <w:szCs w:val="16"/>
              </w:rPr>
              <w:t>-</w:t>
            </w:r>
            <w:r w:rsidR="007E2F90" w:rsidRPr="00D5469A">
              <w:rPr>
                <w:b/>
                <w:color w:val="auto"/>
                <w:szCs w:val="16"/>
              </w:rPr>
              <w:t>1</w:t>
            </w:r>
            <w:r w:rsidR="007A7EBA">
              <w:rPr>
                <w:b/>
                <w:color w:val="auto"/>
                <w:szCs w:val="16"/>
              </w:rPr>
              <w:t>8</w:t>
            </w:r>
          </w:p>
        </w:tc>
        <w:tc>
          <w:tcPr>
            <w:tcW w:w="1679" w:type="pct"/>
            <w:gridSpan w:val="4"/>
            <w:tcBorders>
              <w:left w:val="single" w:sz="4" w:space="0" w:color="auto"/>
              <w:bottom w:val="single" w:sz="4" w:space="0" w:color="auto"/>
            </w:tcBorders>
            <w:shd w:val="clear" w:color="auto" w:fill="auto"/>
            <w:vAlign w:val="center"/>
          </w:tcPr>
          <w:p w:rsidR="007E2F90" w:rsidRPr="00D5469A" w:rsidRDefault="00B365C7" w:rsidP="000010D1">
            <w:pPr>
              <w:rPr>
                <w:b/>
                <w:color w:val="auto"/>
                <w:szCs w:val="16"/>
              </w:rPr>
            </w:pPr>
            <w:r>
              <w:rPr>
                <w:b/>
                <w:color w:val="auto"/>
                <w:szCs w:val="16"/>
              </w:rPr>
              <w:t>Sep</w:t>
            </w:r>
            <w:r w:rsidR="000010D1">
              <w:rPr>
                <w:b/>
                <w:color w:val="auto"/>
                <w:szCs w:val="16"/>
              </w:rPr>
              <w:t>-</w:t>
            </w:r>
            <w:r w:rsidR="007E2F90">
              <w:rPr>
                <w:b/>
                <w:color w:val="auto"/>
                <w:szCs w:val="16"/>
              </w:rPr>
              <w:t>1</w:t>
            </w:r>
            <w:r w:rsidR="000010D1">
              <w:rPr>
                <w:b/>
                <w:color w:val="auto"/>
                <w:szCs w:val="16"/>
              </w:rPr>
              <w:t>9</w:t>
            </w:r>
          </w:p>
        </w:tc>
      </w:tr>
      <w:tr w:rsidR="006423A2" w:rsidRPr="00D5469A" w:rsidTr="00A57C35">
        <w:trPr>
          <w:cantSplit/>
          <w:trHeight w:hRule="exact" w:val="216"/>
        </w:trPr>
        <w:tc>
          <w:tcPr>
            <w:tcW w:w="1794" w:type="pct"/>
            <w:vMerge/>
            <w:tcBorders>
              <w:top w:val="single" w:sz="12" w:space="0" w:color="auto"/>
              <w:bottom w:val="single" w:sz="12" w:space="0" w:color="auto"/>
              <w:right w:val="single" w:sz="4" w:space="0" w:color="auto"/>
            </w:tcBorders>
            <w:shd w:val="clear" w:color="auto" w:fill="auto"/>
            <w:vAlign w:val="center"/>
          </w:tcPr>
          <w:p w:rsidR="006423A2" w:rsidRPr="00D5469A" w:rsidRDefault="006423A2" w:rsidP="007E2F90">
            <w:pPr>
              <w:rPr>
                <w:color w:val="auto"/>
                <w:szCs w:val="16"/>
              </w:rPr>
            </w:pPr>
          </w:p>
        </w:tc>
        <w:tc>
          <w:tcPr>
            <w:tcW w:w="369" w:type="pct"/>
            <w:tcBorders>
              <w:top w:val="single" w:sz="4" w:space="0" w:color="auto"/>
              <w:left w:val="single" w:sz="4" w:space="0" w:color="auto"/>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DFIs*</w:t>
            </w:r>
          </w:p>
        </w:tc>
        <w:tc>
          <w:tcPr>
            <w:tcW w:w="371" w:type="pct"/>
            <w:tcBorders>
              <w:top w:val="single" w:sz="4" w:space="0" w:color="auto"/>
              <w:left w:val="nil"/>
              <w:bottom w:val="single" w:sz="12" w:space="0" w:color="auto"/>
              <w:right w:val="nil"/>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NBFCs</w:t>
            </w:r>
          </w:p>
        </w:tc>
        <w:tc>
          <w:tcPr>
            <w:tcW w:w="369"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526F81">
            <w:pPr>
              <w:jc w:val="right"/>
              <w:rPr>
                <w:b/>
                <w:bCs/>
                <w:szCs w:val="16"/>
              </w:rPr>
            </w:pPr>
            <w:r>
              <w:rPr>
                <w:b/>
                <w:bCs/>
                <w:szCs w:val="16"/>
              </w:rPr>
              <w:t>MF</w:t>
            </w:r>
            <w:r w:rsidR="00526F81">
              <w:rPr>
                <w:b/>
                <w:bCs/>
                <w:szCs w:val="16"/>
              </w:rPr>
              <w:t>I</w:t>
            </w:r>
            <w:r>
              <w:rPr>
                <w:b/>
                <w:bCs/>
                <w:szCs w:val="16"/>
              </w:rPr>
              <w:t>s</w:t>
            </w:r>
          </w:p>
        </w:tc>
        <w:tc>
          <w:tcPr>
            <w:tcW w:w="418" w:type="pct"/>
            <w:tcBorders>
              <w:top w:val="single" w:sz="4" w:space="0" w:color="auto"/>
              <w:left w:val="nil"/>
              <w:bottom w:val="single" w:sz="12" w:space="0" w:color="auto"/>
              <w:right w:val="single" w:sz="4" w:space="0" w:color="auto"/>
            </w:tcBorders>
            <w:shd w:val="clear" w:color="auto" w:fill="auto"/>
            <w:noWrap/>
            <w:tcMar>
              <w:left w:w="43" w:type="dxa"/>
              <w:right w:w="43" w:type="dxa"/>
            </w:tcMar>
            <w:vAlign w:val="center"/>
          </w:tcPr>
          <w:p w:rsidR="006423A2" w:rsidRDefault="006423A2" w:rsidP="006423A2">
            <w:pPr>
              <w:jc w:val="right"/>
              <w:rPr>
                <w:b/>
                <w:bCs/>
                <w:szCs w:val="16"/>
              </w:rPr>
            </w:pPr>
            <w:r>
              <w:rPr>
                <w:b/>
                <w:bCs/>
                <w:szCs w:val="16"/>
              </w:rPr>
              <w:t>Total</w:t>
            </w:r>
          </w:p>
        </w:tc>
        <w:tc>
          <w:tcPr>
            <w:tcW w:w="431" w:type="pct"/>
            <w:tcBorders>
              <w:top w:val="single" w:sz="4" w:space="0" w:color="auto"/>
              <w:left w:val="single" w:sz="4" w:space="0" w:color="auto"/>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DFIs*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6423A2" w:rsidP="006423A2">
            <w:pPr>
              <w:jc w:val="right"/>
              <w:rPr>
                <w:b/>
                <w:bCs/>
                <w:szCs w:val="16"/>
              </w:rPr>
            </w:pPr>
            <w:r>
              <w:rPr>
                <w:b/>
                <w:bCs/>
                <w:szCs w:val="16"/>
              </w:rPr>
              <w:t>NBFCs</w:t>
            </w:r>
          </w:p>
        </w:tc>
        <w:tc>
          <w:tcPr>
            <w:tcW w:w="416" w:type="pct"/>
            <w:tcBorders>
              <w:top w:val="single" w:sz="4" w:space="0" w:color="auto"/>
              <w:left w:val="nil"/>
              <w:bottom w:val="single" w:sz="12" w:space="0" w:color="auto"/>
              <w:right w:val="nil"/>
            </w:tcBorders>
            <w:shd w:val="clear" w:color="auto" w:fill="auto"/>
            <w:tcMar>
              <w:left w:w="43" w:type="dxa"/>
              <w:right w:w="43" w:type="dxa"/>
            </w:tcMar>
            <w:vAlign w:val="center"/>
          </w:tcPr>
          <w:p w:rsidR="006423A2" w:rsidRDefault="00526F81" w:rsidP="006423A2">
            <w:pPr>
              <w:jc w:val="right"/>
              <w:rPr>
                <w:b/>
                <w:bCs/>
                <w:szCs w:val="16"/>
              </w:rPr>
            </w:pPr>
            <w:r>
              <w:rPr>
                <w:b/>
                <w:bCs/>
                <w:szCs w:val="16"/>
              </w:rPr>
              <w:t>MFI</w:t>
            </w:r>
            <w:r w:rsidR="006423A2">
              <w:rPr>
                <w:b/>
                <w:bCs/>
                <w:szCs w:val="16"/>
              </w:rPr>
              <w:t>s</w:t>
            </w:r>
          </w:p>
        </w:tc>
        <w:tc>
          <w:tcPr>
            <w:tcW w:w="416" w:type="pct"/>
            <w:tcBorders>
              <w:top w:val="single" w:sz="4" w:space="0" w:color="auto"/>
              <w:left w:val="nil"/>
              <w:bottom w:val="single" w:sz="12" w:space="0" w:color="auto"/>
            </w:tcBorders>
            <w:shd w:val="clear" w:color="auto" w:fill="auto"/>
            <w:tcMar>
              <w:left w:w="43" w:type="dxa"/>
              <w:right w:w="43" w:type="dxa"/>
            </w:tcMar>
            <w:vAlign w:val="center"/>
          </w:tcPr>
          <w:p w:rsidR="006423A2" w:rsidRDefault="006423A2" w:rsidP="006423A2">
            <w:pPr>
              <w:jc w:val="right"/>
              <w:rPr>
                <w:b/>
                <w:bCs/>
                <w:szCs w:val="16"/>
              </w:rPr>
            </w:pPr>
            <w:r>
              <w:rPr>
                <w:b/>
                <w:bCs/>
                <w:szCs w:val="16"/>
              </w:rPr>
              <w:t>Total</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Currency and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6,013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252,494</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39,953</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298,460</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10,169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336,304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45,150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391,624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Currency</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4,362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6,339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3,256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8,893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Transferable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206,751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29,845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238,977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5,427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275,647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34,303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315,377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2,062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4,765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2,212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3,670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2,627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42,069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3,683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48,379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4,737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55,943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3,004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63,684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2. Investment in securities other  than shares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93,414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108,303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28,858</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230,574</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97,687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38,335</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314,312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44,843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67,636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28,247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140,727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110,603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53,654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202,182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48,571</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611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89,848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67,688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44,033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112,130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3. Loans extended (Advances)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101,615</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88,030</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178,290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367,935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110,367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92,230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220,281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422,879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23,862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23,629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137,839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185,330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24,878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178,227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229,387</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77,753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64,401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40,451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182,605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85,490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65,949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42,054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193,493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4. Investment in shares  </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31,560</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359,786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391,346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33,261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221,712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254,973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25,717</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344,063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369,780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27,414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207,706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235,120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5,843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15,723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21,566</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5,847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14,006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19,853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5. Insurance Technical Reserve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Non-life</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6. 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873749">
            <w:pPr>
              <w:jc w:val="right"/>
              <w:rPr>
                <w:b/>
                <w:bCs/>
                <w:sz w:val="14"/>
                <w:szCs w:val="14"/>
              </w:rPr>
            </w:pPr>
            <w:r>
              <w:rPr>
                <w:b/>
                <w:bCs/>
                <w:sz w:val="14"/>
                <w:szCs w:val="14"/>
              </w:rPr>
              <w:t>(</w:t>
            </w:r>
            <w:r w:rsidR="00873749">
              <w:rPr>
                <w:b/>
                <w:bCs/>
                <w:sz w:val="14"/>
                <w:szCs w:val="14"/>
              </w:rPr>
              <w:t>..</w:t>
            </w:r>
            <w:r>
              <w:rPr>
                <w:b/>
                <w:bCs/>
                <w:sz w:val="14"/>
                <w:szCs w:val="14"/>
              </w:rPr>
              <w:t>)</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7.</w:t>
            </w:r>
            <w:r>
              <w:rPr>
                <w:b/>
                <w:bCs/>
                <w:color w:val="auto"/>
                <w:szCs w:val="16"/>
              </w:rPr>
              <w:t xml:space="preserve"> </w:t>
            </w:r>
            <w:r w:rsidRPr="00D5469A">
              <w:rPr>
                <w:b/>
                <w:bCs/>
                <w:color w:val="auto"/>
                <w:szCs w:val="16"/>
              </w:rPr>
              <w:t>Other accounts receivable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16,448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37,949</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21,737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76,135</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18,107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37,439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33,253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88,799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8.</w:t>
            </w:r>
            <w:r>
              <w:rPr>
                <w:b/>
                <w:bCs/>
                <w:color w:val="auto"/>
                <w:szCs w:val="16"/>
              </w:rPr>
              <w:t xml:space="preserve"> </w:t>
            </w:r>
            <w:r w:rsidRPr="00D5469A">
              <w:rPr>
                <w:b/>
                <w:bCs/>
                <w:color w:val="auto"/>
                <w:szCs w:val="16"/>
              </w:rPr>
              <w:t>Non-financial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4,964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30,116</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14,662</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49,742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5,901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31,080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30,953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67,934</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a.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4,817</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24,775</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14,375</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43,967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5,753</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25,676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30,237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61,666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Fixed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4,649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23,201</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11,791</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39,641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5,558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23,632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26,635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55,825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w:t>
            </w:r>
            <w:proofErr w:type="gramStart"/>
            <w:r w:rsidRPr="00D5469A">
              <w:rPr>
                <w:color w:val="auto"/>
                <w:szCs w:val="16"/>
              </w:rPr>
              <w:t>ii .</w:t>
            </w:r>
            <w:proofErr w:type="gramEnd"/>
            <w:r w:rsidRPr="00D5469A">
              <w:rPr>
                <w:color w:val="auto"/>
                <w:szCs w:val="16"/>
              </w:rPr>
              <w:t xml:space="preserve">  Inventories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612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628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iii.  Valuables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273</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373"/>
              <w:jc w:val="left"/>
              <w:rPr>
                <w:color w:val="auto"/>
                <w:szCs w:val="16"/>
              </w:rPr>
            </w:pPr>
            <w:r w:rsidRPr="00D5469A">
              <w:rPr>
                <w:color w:val="auto"/>
                <w:szCs w:val="16"/>
              </w:rPr>
              <w:t xml:space="preserve">     iv.  Other 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689</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3,440</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195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834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4,632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1B2736" w:rsidRDefault="00052B28" w:rsidP="00052B28">
            <w:pPr>
              <w:ind w:firstLine="445"/>
              <w:jc w:val="left"/>
              <w:rPr>
                <w:b/>
                <w:bCs/>
                <w:color w:val="auto"/>
                <w:szCs w:val="16"/>
              </w:rPr>
            </w:pPr>
            <w:r w:rsidRPr="001B2736">
              <w:rPr>
                <w:b/>
                <w:bCs/>
                <w:color w:val="auto"/>
                <w:szCs w:val="16"/>
              </w:rPr>
              <w:t>b. Non-produced assets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5,342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286</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5,776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5,404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716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6,268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Land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1,178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1,478</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1,518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1,818</w:t>
            </w:r>
          </w:p>
        </w:tc>
      </w:tr>
      <w:tr w:rsidR="00052B28" w:rsidRPr="00D5469A" w:rsidTr="00A57C35">
        <w:trPr>
          <w:trHeight w:hRule="exact" w:val="230"/>
        </w:trPr>
        <w:tc>
          <w:tcPr>
            <w:tcW w:w="1794" w:type="pct"/>
            <w:tcBorders>
              <w:top w:val="nil"/>
              <w:left w:val="nil"/>
              <w:right w:val="nil"/>
            </w:tcBorders>
            <w:shd w:val="clear" w:color="auto" w:fill="auto"/>
            <w:noWrap/>
            <w:vAlign w:val="center"/>
          </w:tcPr>
          <w:p w:rsidR="00052B28" w:rsidRPr="00D5469A" w:rsidRDefault="00052B28" w:rsidP="00052B28">
            <w:pPr>
              <w:ind w:left="451"/>
              <w:jc w:val="left"/>
              <w:rPr>
                <w:color w:val="auto"/>
                <w:szCs w:val="16"/>
              </w:rPr>
            </w:pPr>
            <w:r w:rsidRPr="00D5469A">
              <w:rPr>
                <w:color w:val="auto"/>
                <w:szCs w:val="16"/>
              </w:rPr>
              <w:t xml:space="preserve">    ii.  Other-non-produced assets</w:t>
            </w:r>
          </w:p>
        </w:tc>
        <w:tc>
          <w:tcPr>
            <w:tcW w:w="369"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4,163</w:t>
            </w:r>
          </w:p>
        </w:tc>
        <w:tc>
          <w:tcPr>
            <w:tcW w:w="369"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134</w:t>
            </w:r>
          </w:p>
        </w:tc>
        <w:tc>
          <w:tcPr>
            <w:tcW w:w="418" w:type="pct"/>
            <w:tcBorders>
              <w:top w:val="nil"/>
              <w:left w:val="nil"/>
              <w:right w:val="nil"/>
            </w:tcBorders>
            <w:shd w:val="clear" w:color="auto" w:fill="auto"/>
            <w:noWrap/>
            <w:vAlign w:val="center"/>
          </w:tcPr>
          <w:p w:rsidR="00052B28" w:rsidRDefault="00052B28" w:rsidP="00052B28">
            <w:pPr>
              <w:jc w:val="right"/>
              <w:rPr>
                <w:sz w:val="14"/>
                <w:szCs w:val="14"/>
              </w:rPr>
            </w:pPr>
            <w:r>
              <w:rPr>
                <w:sz w:val="14"/>
                <w:szCs w:val="14"/>
              </w:rPr>
              <w:t>4,297</w:t>
            </w:r>
          </w:p>
        </w:tc>
        <w:tc>
          <w:tcPr>
            <w:tcW w:w="431"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3,886</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564</w:t>
            </w:r>
          </w:p>
        </w:tc>
        <w:tc>
          <w:tcPr>
            <w:tcW w:w="416" w:type="pct"/>
            <w:tcBorders>
              <w:top w:val="nil"/>
              <w:left w:val="nil"/>
              <w:right w:val="nil"/>
            </w:tcBorders>
            <w:shd w:val="clear" w:color="auto" w:fill="auto"/>
            <w:vAlign w:val="center"/>
          </w:tcPr>
          <w:p w:rsidR="00052B28" w:rsidRDefault="00052B28" w:rsidP="00052B28">
            <w:pPr>
              <w:jc w:val="right"/>
              <w:rPr>
                <w:sz w:val="14"/>
                <w:szCs w:val="14"/>
              </w:rPr>
            </w:pPr>
            <w:r>
              <w:rPr>
                <w:sz w:val="14"/>
                <w:szCs w:val="14"/>
              </w:rPr>
              <w:t>4,450</w:t>
            </w:r>
          </w:p>
        </w:tc>
      </w:tr>
      <w:tr w:rsidR="00052B28" w:rsidRPr="00D5469A" w:rsidTr="00A57C35">
        <w:trPr>
          <w:trHeight w:hRule="exact" w:val="230"/>
        </w:trPr>
        <w:tc>
          <w:tcPr>
            <w:tcW w:w="1794" w:type="pct"/>
            <w:tcBorders>
              <w:left w:val="nil"/>
              <w:right w:val="nil"/>
            </w:tcBorders>
            <w:shd w:val="clear" w:color="auto" w:fill="auto"/>
            <w:noWrap/>
            <w:vAlign w:val="center"/>
          </w:tcPr>
          <w:p w:rsidR="00052B28" w:rsidRPr="00D5469A" w:rsidRDefault="00052B28" w:rsidP="00052B28">
            <w:pPr>
              <w:jc w:val="left"/>
              <w:rPr>
                <w:b/>
                <w:bCs/>
                <w:color w:val="auto"/>
                <w:szCs w:val="16"/>
              </w:rPr>
            </w:pPr>
            <w:r w:rsidRPr="00D5469A">
              <w:rPr>
                <w:b/>
                <w:bCs/>
                <w:color w:val="auto"/>
                <w:szCs w:val="16"/>
              </w:rPr>
              <w:t>Total Assets/ Liabilities</w:t>
            </w:r>
          </w:p>
        </w:tc>
        <w:tc>
          <w:tcPr>
            <w:tcW w:w="369"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254,015</w:t>
            </w:r>
          </w:p>
        </w:tc>
        <w:tc>
          <w:tcPr>
            <w:tcW w:w="371"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876,682</w:t>
            </w:r>
          </w:p>
        </w:tc>
        <w:tc>
          <w:tcPr>
            <w:tcW w:w="369"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283,605</w:t>
            </w:r>
          </w:p>
        </w:tc>
        <w:tc>
          <w:tcPr>
            <w:tcW w:w="418" w:type="pct"/>
            <w:tcBorders>
              <w:left w:val="nil"/>
              <w:right w:val="nil"/>
            </w:tcBorders>
            <w:shd w:val="clear" w:color="auto" w:fill="auto"/>
            <w:noWrap/>
            <w:vAlign w:val="center"/>
          </w:tcPr>
          <w:p w:rsidR="00052B28" w:rsidRDefault="00052B28" w:rsidP="00052B28">
            <w:pPr>
              <w:jc w:val="right"/>
              <w:rPr>
                <w:b/>
                <w:bCs/>
                <w:sz w:val="14"/>
                <w:szCs w:val="14"/>
              </w:rPr>
            </w:pPr>
            <w:r>
              <w:rPr>
                <w:b/>
                <w:bCs/>
                <w:sz w:val="14"/>
                <w:szCs w:val="14"/>
              </w:rPr>
              <w:t>1,414,301</w:t>
            </w:r>
          </w:p>
        </w:tc>
        <w:tc>
          <w:tcPr>
            <w:tcW w:w="431"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356,096</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816,453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368,183</w:t>
            </w:r>
          </w:p>
        </w:tc>
        <w:tc>
          <w:tcPr>
            <w:tcW w:w="416" w:type="pct"/>
            <w:tcBorders>
              <w:left w:val="nil"/>
              <w:right w:val="nil"/>
            </w:tcBorders>
            <w:shd w:val="clear" w:color="auto" w:fill="auto"/>
            <w:vAlign w:val="center"/>
          </w:tcPr>
          <w:p w:rsidR="00052B28" w:rsidRDefault="00052B28" w:rsidP="00052B28">
            <w:pPr>
              <w:jc w:val="right"/>
              <w:rPr>
                <w:b/>
                <w:bCs/>
                <w:sz w:val="14"/>
                <w:szCs w:val="14"/>
              </w:rPr>
            </w:pPr>
            <w:r>
              <w:rPr>
                <w:b/>
                <w:bCs/>
                <w:sz w:val="14"/>
                <w:szCs w:val="14"/>
              </w:rPr>
              <w:t>1,540,732</w:t>
            </w:r>
          </w:p>
        </w:tc>
      </w:tr>
      <w:tr w:rsidR="00052B28" w:rsidRPr="00D5469A" w:rsidTr="00A57C35">
        <w:trPr>
          <w:trHeight w:hRule="exact" w:val="230"/>
        </w:trPr>
        <w:tc>
          <w:tcPr>
            <w:tcW w:w="1794" w:type="pct"/>
            <w:tcBorders>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1. Deposits</w:t>
            </w:r>
          </w:p>
        </w:tc>
        <w:tc>
          <w:tcPr>
            <w:tcW w:w="369"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12,639</w:t>
            </w:r>
          </w:p>
        </w:tc>
        <w:tc>
          <w:tcPr>
            <w:tcW w:w="371"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29,580</w:t>
            </w:r>
          </w:p>
        </w:tc>
        <w:tc>
          <w:tcPr>
            <w:tcW w:w="369"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204,910</w:t>
            </w:r>
          </w:p>
        </w:tc>
        <w:tc>
          <w:tcPr>
            <w:tcW w:w="418" w:type="pct"/>
            <w:tcBorders>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247,129</w:t>
            </w:r>
          </w:p>
        </w:tc>
        <w:tc>
          <w:tcPr>
            <w:tcW w:w="431"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9,021</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29,792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242,182</w:t>
            </w:r>
          </w:p>
        </w:tc>
        <w:tc>
          <w:tcPr>
            <w:tcW w:w="416" w:type="pct"/>
            <w:tcBorders>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280,995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Restricted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360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16,648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17,015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17,901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18,198</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Other deposits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12,279</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12,932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204,903</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230,114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11,890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242,175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262,797</w:t>
            </w:r>
          </w:p>
        </w:tc>
      </w:tr>
      <w:tr w:rsidR="00052B28" w:rsidRPr="00D5469A" w:rsidTr="00A57C35">
        <w:trPr>
          <w:trHeight w:hRule="exact" w:val="378"/>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355"/>
                <w:tab w:val="left" w:pos="625"/>
                <w:tab w:val="left" w:pos="715"/>
              </w:tabs>
              <w:ind w:hanging="95"/>
              <w:jc w:val="left"/>
              <w:rPr>
                <w:b/>
                <w:bCs/>
                <w:color w:val="auto"/>
                <w:szCs w:val="16"/>
              </w:rPr>
            </w:pPr>
            <w:r w:rsidRPr="00D5469A">
              <w:rPr>
                <w:b/>
                <w:bCs/>
                <w:color w:val="auto"/>
                <w:szCs w:val="16"/>
              </w:rPr>
              <w:t xml:space="preserve">2. Securities other than shares (bonds/debentures </w:t>
            </w:r>
            <w:proofErr w:type="spellStart"/>
            <w:r w:rsidRPr="00D5469A">
              <w:rPr>
                <w:b/>
                <w:bCs/>
                <w:color w:val="auto"/>
                <w:szCs w:val="16"/>
              </w:rPr>
              <w:t>etc</w:t>
            </w:r>
            <w:proofErr w:type="spellEnd"/>
            <w:r w:rsidRPr="00D5469A">
              <w:rPr>
                <w:b/>
                <w:bCs/>
                <w:color w:val="auto"/>
                <w:szCs w:val="16"/>
              </w:rPr>
              <w:t>)</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1,537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2,537</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1,531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7,562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 xml:space="preserve">a. Short-term </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574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962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1,000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1,962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949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6,031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6,979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265"/>
              </w:tabs>
              <w:ind w:hanging="95"/>
              <w:jc w:val="left"/>
              <w:rPr>
                <w:b/>
                <w:bCs/>
                <w:color w:val="auto"/>
                <w:szCs w:val="16"/>
              </w:rPr>
            </w:pPr>
            <w:r w:rsidRPr="00D5469A">
              <w:rPr>
                <w:b/>
                <w:bCs/>
                <w:color w:val="auto"/>
                <w:szCs w:val="16"/>
              </w:rPr>
              <w:t>3.</w:t>
            </w:r>
            <w:r>
              <w:rPr>
                <w:b/>
                <w:bCs/>
                <w:color w:val="auto"/>
                <w:szCs w:val="16"/>
              </w:rPr>
              <w:t xml:space="preserve"> </w:t>
            </w:r>
            <w:r w:rsidRPr="00D5469A">
              <w:rPr>
                <w:b/>
                <w:bCs/>
                <w:color w:val="auto"/>
                <w:szCs w:val="16"/>
              </w:rPr>
              <w:t>Loans (Borrowings)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102,218</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44,317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14,327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160,862</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200,557</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49,556</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22,239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272,352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Short-term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69,880</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10,016</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2,708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82,604</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128,925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9,379</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4,472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142,776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Long-term</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32,338</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34,300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11,619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78,257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71,632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40,177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17,767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129,576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4.</w:t>
            </w:r>
            <w:r>
              <w:rPr>
                <w:b/>
                <w:bCs/>
                <w:color w:val="auto"/>
                <w:szCs w:val="16"/>
              </w:rPr>
              <w:t xml:space="preserve"> </w:t>
            </w:r>
            <w:r w:rsidRPr="00D5469A">
              <w:rPr>
                <w:b/>
                <w:bCs/>
                <w:color w:val="auto"/>
                <w:szCs w:val="16"/>
              </w:rPr>
              <w:t>Financial Derivatives</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tabs>
                <w:tab w:val="left" w:pos="175"/>
                <w:tab w:val="left" w:pos="265"/>
                <w:tab w:val="left" w:pos="445"/>
              </w:tabs>
              <w:ind w:hanging="95"/>
              <w:jc w:val="left"/>
              <w:rPr>
                <w:b/>
                <w:bCs/>
                <w:color w:val="auto"/>
                <w:szCs w:val="16"/>
              </w:rPr>
            </w:pPr>
            <w:r w:rsidRPr="00D5469A">
              <w:rPr>
                <w:b/>
                <w:bCs/>
                <w:color w:val="auto"/>
                <w:szCs w:val="16"/>
              </w:rPr>
              <w:t>5.</w:t>
            </w:r>
            <w:r>
              <w:rPr>
                <w:b/>
                <w:bCs/>
                <w:color w:val="auto"/>
                <w:szCs w:val="16"/>
              </w:rPr>
              <w:t xml:space="preserve"> </w:t>
            </w:r>
            <w:r w:rsidRPr="00D5469A">
              <w:rPr>
                <w:b/>
                <w:bCs/>
                <w:color w:val="auto"/>
                <w:szCs w:val="16"/>
              </w:rPr>
              <w:t>Other accounts payable</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34,643</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65,567</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25,277</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125,486</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36,654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73,029</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52,130</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161,812</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hanging="95"/>
              <w:jc w:val="left"/>
              <w:rPr>
                <w:b/>
                <w:bCs/>
                <w:color w:val="auto"/>
                <w:szCs w:val="16"/>
              </w:rPr>
            </w:pPr>
            <w:r w:rsidRPr="00D5469A">
              <w:rPr>
                <w:b/>
                <w:bCs/>
                <w:color w:val="auto"/>
                <w:szCs w:val="16"/>
              </w:rPr>
              <w:t>6.</w:t>
            </w:r>
            <w:r>
              <w:rPr>
                <w:b/>
                <w:bCs/>
                <w:color w:val="auto"/>
                <w:szCs w:val="16"/>
              </w:rPr>
              <w:t xml:space="preserve"> </w:t>
            </w:r>
            <w:r w:rsidRPr="00D5469A">
              <w:rPr>
                <w:b/>
                <w:bCs/>
                <w:color w:val="auto"/>
                <w:szCs w:val="16"/>
              </w:rPr>
              <w:t>Shares and other equity</w:t>
            </w:r>
          </w:p>
        </w:tc>
        <w:tc>
          <w:tcPr>
            <w:tcW w:w="369"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104,514</w:t>
            </w:r>
          </w:p>
        </w:tc>
        <w:tc>
          <w:tcPr>
            <w:tcW w:w="371"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735,682</w:t>
            </w:r>
          </w:p>
        </w:tc>
        <w:tc>
          <w:tcPr>
            <w:tcW w:w="369"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38,091</w:t>
            </w:r>
          </w:p>
        </w:tc>
        <w:tc>
          <w:tcPr>
            <w:tcW w:w="418" w:type="pct"/>
            <w:tcBorders>
              <w:top w:val="nil"/>
              <w:left w:val="nil"/>
              <w:bottom w:val="nil"/>
              <w:right w:val="nil"/>
            </w:tcBorders>
            <w:shd w:val="clear" w:color="auto" w:fill="auto"/>
            <w:noWrap/>
            <w:vAlign w:val="center"/>
          </w:tcPr>
          <w:p w:rsidR="00052B28" w:rsidRDefault="00052B28" w:rsidP="00052B28">
            <w:pPr>
              <w:jc w:val="right"/>
              <w:rPr>
                <w:b/>
                <w:bCs/>
                <w:sz w:val="14"/>
                <w:szCs w:val="14"/>
              </w:rPr>
            </w:pPr>
            <w:r>
              <w:rPr>
                <w:b/>
                <w:bCs/>
                <w:sz w:val="14"/>
                <w:szCs w:val="14"/>
              </w:rPr>
              <w:t>878,288</w:t>
            </w:r>
          </w:p>
        </w:tc>
        <w:tc>
          <w:tcPr>
            <w:tcW w:w="431"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109,864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662,544</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45,602</w:t>
            </w:r>
          </w:p>
        </w:tc>
        <w:tc>
          <w:tcPr>
            <w:tcW w:w="416" w:type="pct"/>
            <w:tcBorders>
              <w:top w:val="nil"/>
              <w:left w:val="nil"/>
              <w:bottom w:val="nil"/>
              <w:right w:val="nil"/>
            </w:tcBorders>
            <w:shd w:val="clear" w:color="auto" w:fill="auto"/>
            <w:vAlign w:val="center"/>
          </w:tcPr>
          <w:p w:rsidR="00052B28" w:rsidRDefault="00052B28" w:rsidP="00052B28">
            <w:pPr>
              <w:jc w:val="right"/>
              <w:rPr>
                <w:b/>
                <w:bCs/>
                <w:sz w:val="14"/>
                <w:szCs w:val="14"/>
              </w:rPr>
            </w:pPr>
            <w:r>
              <w:rPr>
                <w:b/>
                <w:bCs/>
                <w:sz w:val="14"/>
                <w:szCs w:val="14"/>
              </w:rPr>
              <w:t>818,010</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a. 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406,697</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2,500</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409,197</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354,642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3,440</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358,081</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b. Non-quoted</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69,032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264,942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21,008</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354,981</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69,622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269,337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21,736</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360,695</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c. Retained earnings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22,482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56,930</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5,709</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85,122</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24,381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28,203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5,732</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58,316</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d. Current year result</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2,643</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1,842</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4,184</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8,669</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2,801</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5,035</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153</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7,989</w:t>
            </w:r>
          </w:p>
        </w:tc>
      </w:tr>
      <w:tr w:rsidR="00052B28" w:rsidRPr="00D5469A" w:rsidTr="00A57C35">
        <w:trPr>
          <w:trHeight w:hRule="exact" w:val="230"/>
        </w:trPr>
        <w:tc>
          <w:tcPr>
            <w:tcW w:w="1794" w:type="pct"/>
            <w:tcBorders>
              <w:top w:val="nil"/>
              <w:left w:val="nil"/>
              <w:bottom w:val="nil"/>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e. General &amp; special reserves</w:t>
            </w:r>
          </w:p>
        </w:tc>
        <w:tc>
          <w:tcPr>
            <w:tcW w:w="369"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13,232</w:t>
            </w:r>
          </w:p>
        </w:tc>
        <w:tc>
          <w:tcPr>
            <w:tcW w:w="371"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7,598</w:t>
            </w:r>
          </w:p>
        </w:tc>
        <w:tc>
          <w:tcPr>
            <w:tcW w:w="369"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4,685</w:t>
            </w:r>
          </w:p>
        </w:tc>
        <w:tc>
          <w:tcPr>
            <w:tcW w:w="418" w:type="pct"/>
            <w:tcBorders>
              <w:top w:val="nil"/>
              <w:left w:val="nil"/>
              <w:bottom w:val="nil"/>
              <w:right w:val="nil"/>
            </w:tcBorders>
            <w:shd w:val="clear" w:color="auto" w:fill="auto"/>
            <w:noWrap/>
            <w:vAlign w:val="center"/>
          </w:tcPr>
          <w:p w:rsidR="00052B28" w:rsidRDefault="00052B28" w:rsidP="00052B28">
            <w:pPr>
              <w:jc w:val="right"/>
              <w:rPr>
                <w:sz w:val="14"/>
                <w:szCs w:val="14"/>
              </w:rPr>
            </w:pPr>
            <w:r>
              <w:rPr>
                <w:sz w:val="14"/>
                <w:szCs w:val="14"/>
              </w:rPr>
              <w:t>25,515</w:t>
            </w:r>
          </w:p>
        </w:tc>
        <w:tc>
          <w:tcPr>
            <w:tcW w:w="431"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14,927</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8,144</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14,578</w:t>
            </w:r>
          </w:p>
        </w:tc>
        <w:tc>
          <w:tcPr>
            <w:tcW w:w="416" w:type="pct"/>
            <w:tcBorders>
              <w:top w:val="nil"/>
              <w:left w:val="nil"/>
              <w:bottom w:val="nil"/>
              <w:right w:val="nil"/>
            </w:tcBorders>
            <w:shd w:val="clear" w:color="auto" w:fill="auto"/>
            <w:vAlign w:val="center"/>
          </w:tcPr>
          <w:p w:rsidR="00052B28" w:rsidRDefault="00052B28" w:rsidP="00052B28">
            <w:pPr>
              <w:jc w:val="right"/>
              <w:rPr>
                <w:sz w:val="14"/>
                <w:szCs w:val="14"/>
              </w:rPr>
            </w:pPr>
            <w:r>
              <w:rPr>
                <w:sz w:val="14"/>
                <w:szCs w:val="14"/>
              </w:rPr>
              <w:t>37,648</w:t>
            </w:r>
          </w:p>
        </w:tc>
      </w:tr>
      <w:tr w:rsidR="00052B28" w:rsidRPr="00D5469A" w:rsidTr="00A57C35">
        <w:trPr>
          <w:trHeight w:hRule="exact" w:val="230"/>
        </w:trPr>
        <w:tc>
          <w:tcPr>
            <w:tcW w:w="1794" w:type="pct"/>
            <w:tcBorders>
              <w:top w:val="nil"/>
              <w:left w:val="nil"/>
              <w:bottom w:val="single" w:sz="12" w:space="0" w:color="auto"/>
              <w:right w:val="nil"/>
            </w:tcBorders>
            <w:shd w:val="clear" w:color="auto" w:fill="auto"/>
            <w:noWrap/>
            <w:vAlign w:val="center"/>
          </w:tcPr>
          <w:p w:rsidR="00052B28" w:rsidRPr="00D5469A" w:rsidRDefault="00052B28" w:rsidP="00052B28">
            <w:pPr>
              <w:ind w:firstLine="445"/>
              <w:jc w:val="left"/>
              <w:rPr>
                <w:color w:val="auto"/>
                <w:szCs w:val="16"/>
              </w:rPr>
            </w:pPr>
            <w:r w:rsidRPr="00D5469A">
              <w:rPr>
                <w:color w:val="auto"/>
                <w:szCs w:val="16"/>
              </w:rPr>
              <w:t>f. Valuation adjustments</w:t>
            </w:r>
          </w:p>
        </w:tc>
        <w:tc>
          <w:tcPr>
            <w:tcW w:w="369"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(2,874)</w:t>
            </w:r>
          </w:p>
        </w:tc>
        <w:tc>
          <w:tcPr>
            <w:tcW w:w="371"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(2,327)</w:t>
            </w:r>
          </w:p>
        </w:tc>
        <w:tc>
          <w:tcPr>
            <w:tcW w:w="369"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5</w:t>
            </w:r>
          </w:p>
        </w:tc>
        <w:tc>
          <w:tcPr>
            <w:tcW w:w="418" w:type="pct"/>
            <w:tcBorders>
              <w:top w:val="nil"/>
              <w:left w:val="nil"/>
              <w:bottom w:val="single" w:sz="12" w:space="0" w:color="auto"/>
              <w:right w:val="nil"/>
            </w:tcBorders>
            <w:shd w:val="clear" w:color="auto" w:fill="auto"/>
            <w:noWrap/>
            <w:vAlign w:val="center"/>
          </w:tcPr>
          <w:p w:rsidR="00052B28" w:rsidRDefault="00052B28" w:rsidP="00052B28">
            <w:pPr>
              <w:jc w:val="right"/>
              <w:rPr>
                <w:sz w:val="14"/>
                <w:szCs w:val="14"/>
              </w:rPr>
            </w:pPr>
            <w:r>
              <w:rPr>
                <w:sz w:val="14"/>
                <w:szCs w:val="14"/>
              </w:rPr>
              <w:t>(5,196)</w:t>
            </w:r>
          </w:p>
        </w:tc>
        <w:tc>
          <w:tcPr>
            <w:tcW w:w="431"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(1,866)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(2,816)</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(37)</w:t>
            </w:r>
          </w:p>
        </w:tc>
        <w:tc>
          <w:tcPr>
            <w:tcW w:w="416" w:type="pct"/>
            <w:tcBorders>
              <w:top w:val="nil"/>
              <w:left w:val="nil"/>
              <w:bottom w:val="single" w:sz="12" w:space="0" w:color="auto"/>
              <w:right w:val="nil"/>
            </w:tcBorders>
            <w:shd w:val="clear" w:color="auto" w:fill="auto"/>
            <w:vAlign w:val="center"/>
          </w:tcPr>
          <w:p w:rsidR="00052B28" w:rsidRDefault="00052B28" w:rsidP="00052B28">
            <w:pPr>
              <w:jc w:val="right"/>
              <w:rPr>
                <w:sz w:val="14"/>
                <w:szCs w:val="14"/>
              </w:rPr>
            </w:pPr>
            <w:r>
              <w:rPr>
                <w:sz w:val="14"/>
                <w:szCs w:val="14"/>
              </w:rPr>
              <w:t>(4,719)</w:t>
            </w:r>
          </w:p>
        </w:tc>
      </w:tr>
      <w:tr w:rsidR="00052B28" w:rsidRPr="00D5469A" w:rsidTr="00052ECD">
        <w:trPr>
          <w:trHeight w:val="645"/>
        </w:trPr>
        <w:tc>
          <w:tcPr>
            <w:tcW w:w="5000" w:type="pct"/>
            <w:gridSpan w:val="9"/>
            <w:tcBorders>
              <w:top w:val="single" w:sz="12" w:space="0" w:color="auto"/>
              <w:left w:val="nil"/>
              <w:right w:val="nil"/>
            </w:tcBorders>
            <w:shd w:val="clear" w:color="auto" w:fill="auto"/>
            <w:vAlign w:val="center"/>
          </w:tcPr>
          <w:p w:rsidR="00052B28" w:rsidRDefault="00052B28" w:rsidP="00052B28">
            <w:pPr>
              <w:ind w:hanging="95"/>
              <w:jc w:val="right"/>
              <w:rPr>
                <w:color w:val="auto"/>
                <w:sz w:val="12"/>
                <w:szCs w:val="16"/>
              </w:rPr>
            </w:pPr>
            <w:r>
              <w:rPr>
                <w:sz w:val="14"/>
                <w:szCs w:val="14"/>
              </w:rPr>
              <w:t>Source: Statistics &amp; Data Warehouse Department SBP</w:t>
            </w:r>
          </w:p>
          <w:p w:rsidR="00052B28" w:rsidRPr="00D5469A" w:rsidRDefault="00052B28" w:rsidP="00052B28">
            <w:pPr>
              <w:ind w:hanging="95"/>
              <w:jc w:val="left"/>
              <w:rPr>
                <w:color w:val="auto"/>
                <w:sz w:val="12"/>
                <w:szCs w:val="16"/>
              </w:rPr>
            </w:pPr>
            <w:r w:rsidRPr="00D5469A">
              <w:rPr>
                <w:color w:val="auto"/>
                <w:sz w:val="12"/>
                <w:szCs w:val="16"/>
              </w:rPr>
              <w:t xml:space="preserve">* </w:t>
            </w:r>
            <w:r w:rsidRPr="000010D1">
              <w:rPr>
                <w:color w:val="auto"/>
                <w:sz w:val="12"/>
                <w:szCs w:val="16"/>
              </w:rPr>
              <w:t xml:space="preserve">DFIs also </w:t>
            </w:r>
            <w:proofErr w:type="gramStart"/>
            <w:r w:rsidRPr="000010D1">
              <w:rPr>
                <w:color w:val="auto"/>
                <w:sz w:val="12"/>
                <w:szCs w:val="16"/>
              </w:rPr>
              <w:t>includes</w:t>
            </w:r>
            <w:proofErr w:type="gramEnd"/>
            <w:r w:rsidRPr="000010D1">
              <w:rPr>
                <w:color w:val="auto"/>
                <w:sz w:val="12"/>
                <w:szCs w:val="16"/>
              </w:rPr>
              <w:t xml:space="preserve"> HBFC &amp; PMRCL data</w:t>
            </w:r>
            <w:r w:rsidRPr="00D5469A">
              <w:rPr>
                <w:color w:val="auto"/>
                <w:sz w:val="12"/>
                <w:szCs w:val="16"/>
              </w:rPr>
              <w:t>.</w:t>
            </w:r>
          </w:p>
          <w:p w:rsidR="00052B28" w:rsidRPr="00D5469A" w:rsidRDefault="00052B28" w:rsidP="00052B28">
            <w:pPr>
              <w:ind w:hanging="95"/>
              <w:jc w:val="left"/>
              <w:rPr>
                <w:color w:val="auto"/>
                <w:sz w:val="12"/>
                <w:szCs w:val="16"/>
              </w:rPr>
            </w:pPr>
            <w:r w:rsidRPr="00D5469A">
              <w:rPr>
                <w:color w:val="auto"/>
                <w:sz w:val="12"/>
                <w:szCs w:val="16"/>
              </w:rPr>
              <w:t>DFIs Development Finance Institutions</w:t>
            </w:r>
          </w:p>
          <w:p w:rsidR="00052B28" w:rsidRPr="00D5469A" w:rsidRDefault="00052B28" w:rsidP="00052B28">
            <w:pPr>
              <w:ind w:hanging="95"/>
              <w:jc w:val="left"/>
              <w:rPr>
                <w:color w:val="auto"/>
                <w:sz w:val="12"/>
                <w:szCs w:val="16"/>
              </w:rPr>
            </w:pPr>
            <w:r w:rsidRPr="00D5469A">
              <w:rPr>
                <w:color w:val="auto"/>
                <w:sz w:val="12"/>
                <w:szCs w:val="16"/>
              </w:rPr>
              <w:t xml:space="preserve">NBFCs  </w:t>
            </w:r>
            <w:proofErr w:type="spellStart"/>
            <w:r w:rsidRPr="00D5469A">
              <w:rPr>
                <w:color w:val="auto"/>
                <w:sz w:val="12"/>
                <w:szCs w:val="16"/>
              </w:rPr>
              <w:t>Non Bank</w:t>
            </w:r>
            <w:proofErr w:type="spellEnd"/>
            <w:r w:rsidRPr="00D5469A">
              <w:rPr>
                <w:color w:val="auto"/>
                <w:sz w:val="12"/>
                <w:szCs w:val="16"/>
              </w:rPr>
              <w:t xml:space="preserve"> Financial Companies</w:t>
            </w:r>
          </w:p>
          <w:p w:rsidR="00052B28" w:rsidRPr="00D5469A" w:rsidRDefault="00052B28" w:rsidP="00052B28">
            <w:pPr>
              <w:ind w:hanging="95"/>
              <w:jc w:val="left"/>
              <w:rPr>
                <w:color w:val="auto"/>
                <w:sz w:val="12"/>
                <w:szCs w:val="16"/>
              </w:rPr>
            </w:pPr>
            <w:r w:rsidRPr="00D5469A">
              <w:rPr>
                <w:color w:val="auto"/>
                <w:sz w:val="12"/>
                <w:szCs w:val="16"/>
              </w:rPr>
              <w:t>MFB Microfinance Banks</w:t>
            </w:r>
          </w:p>
        </w:tc>
      </w:tr>
    </w:tbl>
    <w:p w:rsidR="00C63C9B" w:rsidRPr="00D5469A" w:rsidRDefault="00C63C9B" w:rsidP="0069571C">
      <w:pPr>
        <w:ind w:left="1440"/>
        <w:rPr>
          <w:color w:val="auto"/>
        </w:rPr>
      </w:pPr>
      <w:r w:rsidRPr="00D5469A">
        <w:rPr>
          <w:color w:val="auto"/>
        </w:rPr>
        <w:br w:type="textWrapping" w:clear="all"/>
      </w:r>
      <w:r w:rsidRPr="00D5469A">
        <w:rPr>
          <w:color w:val="auto"/>
        </w:rPr>
        <w:br w:type="textWrapping" w:clear="all"/>
      </w:r>
    </w:p>
    <w:p w:rsidR="00C63C9B" w:rsidRPr="00D5469A" w:rsidRDefault="00C63C9B" w:rsidP="0069571C">
      <w:pPr>
        <w:rPr>
          <w:color w:val="auto"/>
        </w:rPr>
      </w:pPr>
    </w:p>
    <w:p w:rsidR="00861018" w:rsidRDefault="00861018" w:rsidP="0069571C">
      <w:pPr>
        <w:rPr>
          <w:color w:val="auto"/>
        </w:rPr>
      </w:pPr>
    </w:p>
    <w:p w:rsidR="00861018" w:rsidRDefault="00861018" w:rsidP="0069571C">
      <w:pPr>
        <w:rPr>
          <w:color w:val="auto"/>
        </w:rPr>
      </w:pPr>
    </w:p>
    <w:p w:rsidR="007B3B61" w:rsidRDefault="007B3B61" w:rsidP="0069571C">
      <w:pPr>
        <w:rPr>
          <w:color w:val="auto"/>
        </w:rPr>
      </w:pPr>
    </w:p>
    <w:p w:rsidR="007B3B61" w:rsidRPr="00D5469A" w:rsidRDefault="007B3B61" w:rsidP="0069571C">
      <w:pPr>
        <w:rPr>
          <w:color w:val="auto"/>
        </w:rPr>
      </w:pPr>
    </w:p>
    <w:tbl>
      <w:tblPr>
        <w:tblpPr w:leftFromText="180" w:rightFromText="180" w:vertAnchor="text" w:horzAnchor="margin" w:tblpX="-77" w:tblpY="6425"/>
        <w:tblOverlap w:val="never"/>
        <w:tblW w:w="9643" w:type="dxa"/>
        <w:tblLayout w:type="fixed"/>
        <w:tblCellMar>
          <w:left w:w="115" w:type="dxa"/>
          <w:right w:w="144" w:type="dxa"/>
        </w:tblCellMar>
        <w:tblLook w:val="04A0" w:firstRow="1" w:lastRow="0" w:firstColumn="1" w:lastColumn="0" w:noHBand="0" w:noVBand="1"/>
      </w:tblPr>
      <w:tblGrid>
        <w:gridCol w:w="3317"/>
        <w:gridCol w:w="1016"/>
        <w:gridCol w:w="1144"/>
        <w:gridCol w:w="900"/>
        <w:gridCol w:w="990"/>
        <w:gridCol w:w="1260"/>
        <w:gridCol w:w="1016"/>
      </w:tblGrid>
      <w:tr w:rsidR="00861018" w:rsidRPr="00D5469A" w:rsidTr="007B3B61">
        <w:trPr>
          <w:trHeight w:val="375"/>
        </w:trPr>
        <w:tc>
          <w:tcPr>
            <w:tcW w:w="9643" w:type="dxa"/>
            <w:gridSpan w:val="7"/>
            <w:tcBorders>
              <w:top w:val="nil"/>
              <w:left w:val="nil"/>
              <w:bottom w:val="nil"/>
              <w:right w:val="nil"/>
            </w:tcBorders>
            <w:shd w:val="clear" w:color="auto" w:fill="auto"/>
            <w:noWrap/>
            <w:tcMar>
              <w:top w:w="0" w:type="dxa"/>
              <w:left w:w="13" w:type="dxa"/>
              <w:bottom w:w="0" w:type="dxa"/>
              <w:right w:w="13" w:type="dxa"/>
            </w:tcMar>
            <w:vAlign w:val="bottom"/>
            <w:hideMark/>
          </w:tcPr>
          <w:p w:rsidR="00861018" w:rsidRPr="00D5469A" w:rsidRDefault="00861018" w:rsidP="007B3B61">
            <w:pPr>
              <w:rPr>
                <w:b/>
                <w:bCs/>
                <w:color w:val="auto"/>
                <w:sz w:val="28"/>
                <w:szCs w:val="28"/>
              </w:rPr>
            </w:pPr>
            <w:r>
              <w:rPr>
                <w:b/>
                <w:bCs/>
                <w:color w:val="auto"/>
                <w:sz w:val="28"/>
                <w:szCs w:val="28"/>
              </w:rPr>
              <w:t>2.15</w:t>
            </w:r>
            <w:r w:rsidRPr="00D5469A">
              <w:rPr>
                <w:b/>
                <w:bCs/>
                <w:color w:val="auto"/>
                <w:sz w:val="28"/>
                <w:szCs w:val="28"/>
              </w:rPr>
              <w:t xml:space="preserve">  Classification of Loans Extended (Advances)</w:t>
            </w:r>
            <w:r>
              <w:rPr>
                <w:b/>
                <w:bCs/>
                <w:color w:val="auto"/>
                <w:sz w:val="28"/>
                <w:szCs w:val="28"/>
              </w:rPr>
              <w:t xml:space="preserve"> by </w:t>
            </w:r>
            <w:r w:rsidRPr="00D5469A">
              <w:rPr>
                <w:b/>
                <w:bCs/>
                <w:color w:val="auto"/>
                <w:sz w:val="28"/>
                <w:szCs w:val="28"/>
              </w:rPr>
              <w:t>DFIs</w:t>
            </w:r>
            <w:r w:rsidR="001723FB">
              <w:rPr>
                <w:b/>
                <w:bCs/>
                <w:color w:val="auto"/>
                <w:sz w:val="28"/>
                <w:szCs w:val="28"/>
              </w:rPr>
              <w:t>, MFBs</w:t>
            </w:r>
            <w:r w:rsidR="001723FB" w:rsidRPr="00D5469A">
              <w:rPr>
                <w:b/>
                <w:bCs/>
                <w:color w:val="auto"/>
                <w:sz w:val="28"/>
                <w:szCs w:val="28"/>
              </w:rPr>
              <w:t xml:space="preserve"> </w:t>
            </w:r>
            <w:r w:rsidRPr="00D5469A">
              <w:rPr>
                <w:b/>
                <w:bCs/>
                <w:color w:val="auto"/>
                <w:sz w:val="28"/>
                <w:szCs w:val="28"/>
              </w:rPr>
              <w:t xml:space="preserve"> &amp; NBFCs</w:t>
            </w:r>
          </w:p>
        </w:tc>
      </w:tr>
      <w:tr w:rsidR="00861018" w:rsidRPr="00D5469A" w:rsidTr="007B3B61">
        <w:trPr>
          <w:trHeight w:val="228"/>
        </w:trPr>
        <w:tc>
          <w:tcPr>
            <w:tcW w:w="9643" w:type="dxa"/>
            <w:gridSpan w:val="7"/>
            <w:tcBorders>
              <w:top w:val="nil"/>
              <w:left w:val="nil"/>
              <w:bottom w:val="single" w:sz="12" w:space="0" w:color="auto"/>
              <w:right w:val="nil"/>
            </w:tcBorders>
            <w:shd w:val="clear" w:color="auto" w:fill="auto"/>
            <w:noWrap/>
            <w:tcMar>
              <w:top w:w="13" w:type="dxa"/>
              <w:left w:w="13" w:type="dxa"/>
              <w:bottom w:w="0" w:type="dxa"/>
              <w:right w:w="13" w:type="dxa"/>
            </w:tcMar>
            <w:vAlign w:val="bottom"/>
            <w:hideMark/>
          </w:tcPr>
          <w:p w:rsidR="00861018" w:rsidRPr="00D5469A" w:rsidRDefault="00861018" w:rsidP="007B3B61">
            <w:pPr>
              <w:jc w:val="right"/>
              <w:rPr>
                <w:color w:val="auto"/>
                <w:szCs w:val="16"/>
              </w:rPr>
            </w:pPr>
            <w:r w:rsidRPr="00D5469A">
              <w:rPr>
                <w:color w:val="auto"/>
                <w:szCs w:val="16"/>
              </w:rPr>
              <w:t>(Million Rupees)</w:t>
            </w:r>
          </w:p>
        </w:tc>
      </w:tr>
      <w:tr w:rsidR="0040006F" w:rsidRPr="00D5469A" w:rsidTr="007B3B61">
        <w:trPr>
          <w:trHeight w:val="330"/>
        </w:trPr>
        <w:tc>
          <w:tcPr>
            <w:tcW w:w="3317" w:type="dxa"/>
            <w:vMerge w:val="restart"/>
            <w:tcBorders>
              <w:top w:val="nil"/>
              <w:left w:val="nil"/>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color w:val="auto"/>
                <w:szCs w:val="16"/>
              </w:rPr>
            </w:pPr>
            <w:r w:rsidRPr="00D5469A">
              <w:rPr>
                <w:b/>
                <w:bCs/>
                <w:color w:val="auto"/>
                <w:szCs w:val="16"/>
              </w:rPr>
              <w:t>SECTOR</w:t>
            </w:r>
          </w:p>
        </w:tc>
        <w:tc>
          <w:tcPr>
            <w:tcW w:w="3060" w:type="dxa"/>
            <w:gridSpan w:val="3"/>
            <w:tcBorders>
              <w:top w:val="single" w:sz="12" w:space="0" w:color="auto"/>
              <w:left w:val="single" w:sz="4" w:space="0" w:color="auto"/>
              <w:bottom w:val="single" w:sz="4"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052B28" w:rsidP="007B3B61">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266" w:type="dxa"/>
            <w:gridSpan w:val="3"/>
            <w:tcBorders>
              <w:top w:val="single" w:sz="12" w:space="0" w:color="auto"/>
              <w:left w:val="single" w:sz="4" w:space="0" w:color="auto"/>
              <w:bottom w:val="single" w:sz="4" w:space="0" w:color="auto"/>
              <w:right w:val="nil"/>
            </w:tcBorders>
            <w:shd w:val="clear" w:color="auto" w:fill="auto"/>
            <w:tcMar>
              <w:top w:w="13" w:type="dxa"/>
              <w:left w:w="13" w:type="dxa"/>
              <w:bottom w:w="0" w:type="dxa"/>
              <w:right w:w="13" w:type="dxa"/>
            </w:tcMar>
            <w:vAlign w:val="center"/>
            <w:hideMark/>
          </w:tcPr>
          <w:p w:rsidR="0040006F" w:rsidRPr="00D5469A" w:rsidRDefault="00B365C7" w:rsidP="000010D1">
            <w:pPr>
              <w:rPr>
                <w:b/>
                <w:color w:val="auto"/>
                <w:szCs w:val="16"/>
              </w:rPr>
            </w:pPr>
            <w:r>
              <w:rPr>
                <w:b/>
                <w:bCs/>
                <w:color w:val="auto"/>
                <w:szCs w:val="22"/>
              </w:rPr>
              <w:t>Sep</w:t>
            </w:r>
            <w:r w:rsidR="00322666">
              <w:rPr>
                <w:b/>
                <w:bCs/>
                <w:color w:val="auto"/>
                <w:szCs w:val="22"/>
              </w:rPr>
              <w:t>-1</w:t>
            </w:r>
            <w:r w:rsidR="000010D1">
              <w:rPr>
                <w:b/>
                <w:bCs/>
                <w:color w:val="auto"/>
                <w:szCs w:val="22"/>
              </w:rPr>
              <w:t>9</w:t>
            </w:r>
          </w:p>
        </w:tc>
      </w:tr>
      <w:tr w:rsidR="0040006F" w:rsidRPr="00D5469A" w:rsidTr="00BB071F">
        <w:trPr>
          <w:trHeight w:val="315"/>
        </w:trPr>
        <w:tc>
          <w:tcPr>
            <w:tcW w:w="3317" w:type="dxa"/>
            <w:vMerge/>
            <w:tcBorders>
              <w:left w:val="nil"/>
              <w:bottom w:val="single" w:sz="12" w:space="0" w:color="auto"/>
              <w:right w:val="single" w:sz="4" w:space="0" w:color="auto"/>
            </w:tcBorders>
            <w:shd w:val="clear" w:color="auto" w:fill="auto"/>
            <w:noWrap/>
            <w:tcMar>
              <w:top w:w="13" w:type="dxa"/>
              <w:left w:w="13" w:type="dxa"/>
              <w:bottom w:w="0" w:type="dxa"/>
              <w:right w:w="13" w:type="dxa"/>
            </w:tcMar>
            <w:vAlign w:val="bottom"/>
            <w:hideMark/>
          </w:tcPr>
          <w:p w:rsidR="0040006F" w:rsidRPr="00D5469A" w:rsidRDefault="0040006F" w:rsidP="007B3B61">
            <w:pPr>
              <w:rPr>
                <w:b/>
                <w:bCs/>
                <w:color w:val="auto"/>
                <w:szCs w:val="16"/>
              </w:rPr>
            </w:pPr>
          </w:p>
        </w:tc>
        <w:tc>
          <w:tcPr>
            <w:tcW w:w="1016" w:type="dxa"/>
            <w:tcBorders>
              <w:top w:val="single" w:sz="4" w:space="0" w:color="auto"/>
              <w:left w:val="single" w:sz="4" w:space="0" w:color="auto"/>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144"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900" w:type="dxa"/>
            <w:tcBorders>
              <w:top w:val="single" w:sz="4" w:space="0" w:color="auto"/>
              <w:left w:val="nil"/>
              <w:bottom w:val="single" w:sz="12" w:space="0" w:color="auto"/>
              <w:right w:val="single" w:sz="4" w:space="0" w:color="auto"/>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c>
          <w:tcPr>
            <w:tcW w:w="990" w:type="dxa"/>
            <w:tcBorders>
              <w:top w:val="single" w:sz="4" w:space="0" w:color="auto"/>
              <w:left w:val="single" w:sz="4" w:space="0" w:color="auto"/>
              <w:bottom w:val="single" w:sz="12" w:space="0" w:color="auto"/>
              <w:right w:val="nil"/>
            </w:tcBorders>
            <w:shd w:val="clear" w:color="auto" w:fill="auto"/>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Depository*</w:t>
            </w:r>
          </w:p>
        </w:tc>
        <w:tc>
          <w:tcPr>
            <w:tcW w:w="1260"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Non-Depository**</w:t>
            </w:r>
          </w:p>
        </w:tc>
        <w:tc>
          <w:tcPr>
            <w:tcW w:w="1016" w:type="dxa"/>
            <w:tcBorders>
              <w:top w:val="single" w:sz="4" w:space="0" w:color="auto"/>
              <w:left w:val="nil"/>
              <w:bottom w:val="single" w:sz="12" w:space="0" w:color="auto"/>
              <w:right w:val="nil"/>
            </w:tcBorders>
            <w:shd w:val="clear" w:color="auto" w:fill="auto"/>
            <w:noWrap/>
            <w:tcMar>
              <w:top w:w="13" w:type="dxa"/>
              <w:left w:w="13" w:type="dxa"/>
              <w:bottom w:w="0" w:type="dxa"/>
              <w:right w:w="13" w:type="dxa"/>
            </w:tcMar>
            <w:vAlign w:val="center"/>
            <w:hideMark/>
          </w:tcPr>
          <w:p w:rsidR="0040006F" w:rsidRPr="00D5469A" w:rsidRDefault="0040006F" w:rsidP="007B3B61">
            <w:pPr>
              <w:rPr>
                <w:b/>
                <w:bCs/>
                <w:color w:val="auto"/>
                <w:szCs w:val="16"/>
              </w:rPr>
            </w:pPr>
            <w:r w:rsidRPr="00D5469A">
              <w:rPr>
                <w:b/>
                <w:bCs/>
                <w:color w:val="auto"/>
                <w:szCs w:val="16"/>
              </w:rPr>
              <w:t>Total</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 Non-financial corporations</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96,835</w:t>
            </w:r>
          </w:p>
        </w:tc>
        <w:tc>
          <w:tcPr>
            <w:tcW w:w="1144"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7,371</w:t>
            </w:r>
          </w:p>
        </w:tc>
        <w:tc>
          <w:tcPr>
            <w:tcW w:w="900" w:type="dxa"/>
            <w:tcBorders>
              <w:top w:val="nil"/>
              <w:left w:val="nil"/>
              <w:bottom w:val="nil"/>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104,206</w:t>
            </w:r>
          </w:p>
        </w:tc>
        <w:tc>
          <w:tcPr>
            <w:tcW w:w="99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97,637</w:t>
            </w:r>
          </w:p>
        </w:tc>
        <w:tc>
          <w:tcPr>
            <w:tcW w:w="1260"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5,816</w:t>
            </w:r>
          </w:p>
        </w:tc>
        <w:tc>
          <w:tcPr>
            <w:tcW w:w="1016" w:type="dxa"/>
            <w:tcBorders>
              <w:top w:val="nil"/>
              <w:left w:val="nil"/>
              <w:bottom w:val="nil"/>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103,452</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proofErr w:type="spellStart"/>
            <w:r w:rsidRPr="00D5469A">
              <w:rPr>
                <w:color w:val="auto"/>
                <w:szCs w:val="16"/>
              </w:rPr>
              <w:t>i</w:t>
            </w:r>
            <w:proofErr w:type="spellEnd"/>
            <w:r w:rsidRPr="00D5469A">
              <w:rPr>
                <w:color w:val="auto"/>
                <w:szCs w:val="16"/>
              </w:rPr>
              <w:t xml:space="preserve"> Public</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3,365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3,894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2,934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2,502</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5,436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Private</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93,470</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6,842</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100,312</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94,702</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3,314</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98,016</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2 Financial Corporations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17,755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19,729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37,484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17,570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30,170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47,740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12,135</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7,469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19,604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 Other deposit accepting institutions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4,716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5,245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4,310</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31</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4,341</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iii Financial intermediaries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11,363</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11,377</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748</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22,600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23,348</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iv Financial auxiliaries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1,102</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18,851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19,954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377</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50" w:type="dxa"/>
              <w:bottom w:w="0" w:type="dxa"/>
              <w:right w:w="13" w:type="dxa"/>
            </w:tcMar>
            <w:vAlign w:val="center"/>
            <w:hideMark/>
          </w:tcPr>
          <w:p w:rsidR="00052B28" w:rsidRPr="00D5469A" w:rsidRDefault="00052B28" w:rsidP="00052B28">
            <w:pPr>
              <w:ind w:firstLineChars="100" w:firstLine="160"/>
              <w:jc w:val="left"/>
              <w:rPr>
                <w:color w:val="auto"/>
                <w:szCs w:val="16"/>
              </w:rPr>
            </w:pPr>
            <w:r w:rsidRPr="00D5469A">
              <w:rPr>
                <w:color w:val="auto"/>
                <w:szCs w:val="16"/>
              </w:rPr>
              <w:t>v Insurance and pension funds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574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235</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sz w:val="14"/>
                <w:szCs w:val="14"/>
              </w:rPr>
            </w:pPr>
            <w:r>
              <w:rPr>
                <w:sz w:val="14"/>
                <w:szCs w:val="14"/>
              </w:rPr>
              <w:t>809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sz w:val="14"/>
                <w:szCs w:val="14"/>
              </w:rPr>
            </w:pPr>
            <w:r>
              <w:rPr>
                <w:sz w:val="14"/>
                <w:szCs w:val="14"/>
              </w:rPr>
              <w:t>70</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3 Central Government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99</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4 Provincial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5 Local Governments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6 Household</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44,254</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11,721</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55,974</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45,389</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11,909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57,299</w:t>
            </w:r>
          </w:p>
        </w:tc>
      </w:tr>
      <w:tr w:rsidR="00052B28" w:rsidRPr="00D5469A" w:rsidTr="00B365C7">
        <w:trPr>
          <w:trHeight w:hRule="exact" w:val="387"/>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7 Non-profit Institutions (NPIs) Serving Households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44</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8 Non-Residents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(199)</w:t>
            </w:r>
          </w:p>
        </w:tc>
      </w:tr>
      <w:tr w:rsidR="00052B28" w:rsidRPr="00D5469A" w:rsidTr="00B365C7">
        <w:trPr>
          <w:trHeight w:hRule="exact" w:val="259"/>
        </w:trPr>
        <w:tc>
          <w:tcPr>
            <w:tcW w:w="3317" w:type="dxa"/>
            <w:tcBorders>
              <w:top w:val="nil"/>
              <w:left w:val="nil"/>
              <w:bottom w:val="nil"/>
              <w:right w:val="nil"/>
            </w:tcBorders>
            <w:shd w:val="clear" w:color="auto" w:fill="auto"/>
            <w:noWrap/>
            <w:tcMar>
              <w:top w:w="0" w:type="dxa"/>
              <w:left w:w="13" w:type="dxa"/>
              <w:bottom w:w="0" w:type="dxa"/>
              <w:right w:w="13" w:type="dxa"/>
            </w:tcMar>
            <w:vAlign w:val="center"/>
            <w:hideMark/>
          </w:tcPr>
          <w:p w:rsidR="00052B28" w:rsidRPr="00D5469A" w:rsidRDefault="00052B28" w:rsidP="00052B28">
            <w:pPr>
              <w:ind w:left="167" w:hanging="167"/>
              <w:jc w:val="left"/>
              <w:rPr>
                <w:b/>
                <w:bCs/>
                <w:color w:val="auto"/>
                <w:szCs w:val="16"/>
              </w:rPr>
            </w:pPr>
            <w:r w:rsidRPr="00D5469A">
              <w:rPr>
                <w:b/>
                <w:bCs/>
                <w:color w:val="auto"/>
                <w:szCs w:val="16"/>
              </w:rPr>
              <w:t>9 Bills purchased and discounted (inland bills)</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35</w:t>
            </w:r>
          </w:p>
        </w:tc>
        <w:tc>
          <w:tcPr>
            <w:tcW w:w="1144"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10</w:t>
            </w:r>
          </w:p>
        </w:tc>
        <w:tc>
          <w:tcPr>
            <w:tcW w:w="900" w:type="dxa"/>
            <w:tcBorders>
              <w:top w:val="nil"/>
              <w:left w:val="nil"/>
              <w:bottom w:val="nil"/>
              <w:right w:val="nil"/>
            </w:tcBorders>
            <w:shd w:val="clear" w:color="auto" w:fill="auto"/>
            <w:noWrap/>
            <w:tcMar>
              <w:top w:w="0"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45</w:t>
            </w:r>
          </w:p>
        </w:tc>
        <w:tc>
          <w:tcPr>
            <w:tcW w:w="99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w:t>
            </w:r>
          </w:p>
        </w:tc>
        <w:tc>
          <w:tcPr>
            <w:tcW w:w="1260"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c>
          <w:tcPr>
            <w:tcW w:w="1016" w:type="dxa"/>
            <w:tcBorders>
              <w:top w:val="nil"/>
              <w:left w:val="nil"/>
              <w:bottom w:val="nil"/>
              <w:right w:val="nil"/>
            </w:tcBorders>
            <w:shd w:val="clear" w:color="auto" w:fill="auto"/>
            <w:noWrap/>
            <w:tcMar>
              <w:top w:w="0" w:type="dxa"/>
              <w:left w:w="43" w:type="dxa"/>
              <w:bottom w:w="0" w:type="dxa"/>
              <w:right w:w="58" w:type="dxa"/>
            </w:tcMar>
            <w:vAlign w:val="center"/>
          </w:tcPr>
          <w:p w:rsidR="00052B28" w:rsidRDefault="00052B28" w:rsidP="00052B28">
            <w:pPr>
              <w:jc w:val="right"/>
              <w:rPr>
                <w:b/>
                <w:bCs/>
                <w:sz w:val="14"/>
                <w:szCs w:val="14"/>
              </w:rPr>
            </w:pPr>
            <w:r>
              <w:rPr>
                <w:b/>
                <w:bCs/>
                <w:sz w:val="14"/>
                <w:szCs w:val="14"/>
              </w:rPr>
              <w:t>20</w:t>
            </w:r>
          </w:p>
        </w:tc>
      </w:tr>
      <w:tr w:rsidR="00052B28" w:rsidRPr="00D5469A" w:rsidTr="00B365C7">
        <w:trPr>
          <w:trHeight w:hRule="exact" w:val="259"/>
        </w:trPr>
        <w:tc>
          <w:tcPr>
            <w:tcW w:w="3317" w:type="dxa"/>
            <w:tcBorders>
              <w:top w:val="nil"/>
              <w:left w:val="nil"/>
              <w:bottom w:val="single" w:sz="12" w:space="0" w:color="auto"/>
              <w:right w:val="nil"/>
            </w:tcBorders>
            <w:shd w:val="clear" w:color="auto" w:fill="auto"/>
            <w:noWrap/>
            <w:tcMar>
              <w:top w:w="13" w:type="dxa"/>
              <w:left w:w="13" w:type="dxa"/>
              <w:bottom w:w="0" w:type="dxa"/>
              <w:right w:w="13" w:type="dxa"/>
            </w:tcMar>
            <w:vAlign w:val="center"/>
            <w:hideMark/>
          </w:tcPr>
          <w:p w:rsidR="00052B28" w:rsidRPr="00D5469A" w:rsidRDefault="00052B28" w:rsidP="00052B28">
            <w:pPr>
              <w:jc w:val="left"/>
              <w:rPr>
                <w:b/>
                <w:bCs/>
                <w:color w:val="auto"/>
                <w:szCs w:val="16"/>
              </w:rPr>
            </w:pPr>
            <w:r w:rsidRPr="00D5469A">
              <w:rPr>
                <w:b/>
                <w:bCs/>
                <w:color w:val="auto"/>
                <w:szCs w:val="16"/>
              </w:rPr>
              <w:t>10 Other Advances and Financial Leases</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157,516</w:t>
            </w:r>
          </w:p>
        </w:tc>
        <w:tc>
          <w:tcPr>
            <w:tcW w:w="1144"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12,672</w:t>
            </w:r>
          </w:p>
        </w:tc>
        <w:tc>
          <w:tcPr>
            <w:tcW w:w="900" w:type="dxa"/>
            <w:tcBorders>
              <w:top w:val="nil"/>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170,188</w:t>
            </w:r>
          </w:p>
        </w:tc>
        <w:tc>
          <w:tcPr>
            <w:tcW w:w="99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200,404</w:t>
            </w:r>
          </w:p>
        </w:tc>
        <w:tc>
          <w:tcPr>
            <w:tcW w:w="1260"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14,119</w:t>
            </w:r>
          </w:p>
        </w:tc>
        <w:tc>
          <w:tcPr>
            <w:tcW w:w="1016" w:type="dxa"/>
            <w:tcBorders>
              <w:top w:val="nil"/>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214,523</w:t>
            </w:r>
          </w:p>
        </w:tc>
      </w:tr>
      <w:tr w:rsidR="00052B28" w:rsidRPr="00D5469A" w:rsidTr="00B365C7">
        <w:trPr>
          <w:trHeight w:hRule="exact" w:val="259"/>
        </w:trPr>
        <w:tc>
          <w:tcPr>
            <w:tcW w:w="3317" w:type="dxa"/>
            <w:tcBorders>
              <w:top w:val="single" w:sz="12" w:space="0" w:color="auto"/>
              <w:left w:val="nil"/>
              <w:bottom w:val="single" w:sz="12" w:space="0" w:color="auto"/>
              <w:right w:val="nil"/>
            </w:tcBorders>
            <w:shd w:val="clear" w:color="auto" w:fill="auto"/>
            <w:noWrap/>
            <w:tcMar>
              <w:top w:w="13" w:type="dxa"/>
              <w:left w:w="13" w:type="dxa"/>
              <w:bottom w:w="0" w:type="dxa"/>
              <w:right w:w="13" w:type="dxa"/>
            </w:tcMar>
            <w:hideMark/>
          </w:tcPr>
          <w:p w:rsidR="00052B28" w:rsidRPr="00D5469A" w:rsidRDefault="00052B28" w:rsidP="00052B28">
            <w:pPr>
              <w:rPr>
                <w:b/>
                <w:bCs/>
                <w:color w:val="auto"/>
                <w:szCs w:val="16"/>
              </w:rPr>
            </w:pPr>
            <w:r w:rsidRPr="00D5469A">
              <w:rPr>
                <w:b/>
                <w:bCs/>
                <w:color w:val="auto"/>
                <w:szCs w:val="16"/>
              </w:rPr>
              <w:t>Total</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316,432</w:t>
            </w:r>
          </w:p>
        </w:tc>
        <w:tc>
          <w:tcPr>
            <w:tcW w:w="1144"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51,503</w:t>
            </w:r>
          </w:p>
        </w:tc>
        <w:tc>
          <w:tcPr>
            <w:tcW w:w="90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hideMark/>
          </w:tcPr>
          <w:p w:rsidR="00052B28" w:rsidRDefault="00052B28" w:rsidP="00052B28">
            <w:pPr>
              <w:jc w:val="right"/>
              <w:rPr>
                <w:b/>
                <w:bCs/>
                <w:sz w:val="14"/>
                <w:szCs w:val="14"/>
              </w:rPr>
            </w:pPr>
            <w:r>
              <w:rPr>
                <w:b/>
                <w:bCs/>
                <w:sz w:val="14"/>
                <w:szCs w:val="14"/>
              </w:rPr>
              <w:t>367,935</w:t>
            </w:r>
          </w:p>
        </w:tc>
        <w:tc>
          <w:tcPr>
            <w:tcW w:w="99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361,044</w:t>
            </w:r>
          </w:p>
        </w:tc>
        <w:tc>
          <w:tcPr>
            <w:tcW w:w="1260"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61,835</w:t>
            </w:r>
          </w:p>
        </w:tc>
        <w:tc>
          <w:tcPr>
            <w:tcW w:w="1016" w:type="dxa"/>
            <w:tcBorders>
              <w:top w:val="single" w:sz="12" w:space="0" w:color="auto"/>
              <w:left w:val="nil"/>
              <w:bottom w:val="single" w:sz="12" w:space="0" w:color="auto"/>
              <w:right w:val="nil"/>
            </w:tcBorders>
            <w:shd w:val="clear" w:color="auto" w:fill="auto"/>
            <w:noWrap/>
            <w:tcMar>
              <w:top w:w="13" w:type="dxa"/>
              <w:left w:w="43" w:type="dxa"/>
              <w:bottom w:w="0" w:type="dxa"/>
              <w:right w:w="58" w:type="dxa"/>
            </w:tcMar>
            <w:vAlign w:val="center"/>
          </w:tcPr>
          <w:p w:rsidR="00052B28" w:rsidRDefault="00052B28" w:rsidP="00052B28">
            <w:pPr>
              <w:jc w:val="right"/>
              <w:rPr>
                <w:b/>
                <w:bCs/>
                <w:sz w:val="14"/>
                <w:szCs w:val="14"/>
              </w:rPr>
            </w:pPr>
            <w:r>
              <w:rPr>
                <w:b/>
                <w:bCs/>
                <w:sz w:val="14"/>
                <w:szCs w:val="14"/>
              </w:rPr>
              <w:t>422,879</w:t>
            </w:r>
          </w:p>
        </w:tc>
      </w:tr>
      <w:tr w:rsidR="00052B28" w:rsidRPr="00D5469A" w:rsidTr="007B3B61">
        <w:trPr>
          <w:trHeight w:val="362"/>
        </w:trPr>
        <w:tc>
          <w:tcPr>
            <w:tcW w:w="9643" w:type="dxa"/>
            <w:gridSpan w:val="7"/>
            <w:tcBorders>
              <w:top w:val="single" w:sz="12" w:space="0" w:color="auto"/>
              <w:left w:val="nil"/>
              <w:right w:val="nil"/>
            </w:tcBorders>
            <w:shd w:val="clear" w:color="auto" w:fill="auto"/>
            <w:noWrap/>
            <w:tcMar>
              <w:top w:w="13" w:type="dxa"/>
              <w:left w:w="13" w:type="dxa"/>
              <w:bottom w:w="0" w:type="dxa"/>
              <w:right w:w="13" w:type="dxa"/>
            </w:tcMar>
            <w:hideMark/>
          </w:tcPr>
          <w:p w:rsidR="00052B28" w:rsidRDefault="00052B28" w:rsidP="00052B28">
            <w:pPr>
              <w:jc w:val="right"/>
              <w:rPr>
                <w:color w:val="auto"/>
                <w:sz w:val="12"/>
                <w:szCs w:val="16"/>
              </w:rPr>
            </w:pPr>
            <w:r>
              <w:rPr>
                <w:sz w:val="14"/>
                <w:szCs w:val="14"/>
              </w:rPr>
              <w:t>Source: Statistics &amp; Data Warehouse Department SBP</w:t>
            </w:r>
          </w:p>
          <w:p w:rsidR="00052B28" w:rsidRPr="00D5469A" w:rsidRDefault="00052B28" w:rsidP="00052B28">
            <w:pPr>
              <w:jc w:val="left"/>
              <w:rPr>
                <w:color w:val="auto"/>
                <w:sz w:val="12"/>
                <w:szCs w:val="16"/>
              </w:rPr>
            </w:pPr>
            <w:r w:rsidRPr="00D5469A">
              <w:rPr>
                <w:color w:val="auto"/>
                <w:sz w:val="12"/>
                <w:szCs w:val="16"/>
              </w:rPr>
              <w:t>* This includes Depository NBFCs, DFIs and MFIs.</w:t>
            </w:r>
          </w:p>
          <w:p w:rsidR="00052B28" w:rsidRPr="00D5469A" w:rsidRDefault="00052B28" w:rsidP="00052B28">
            <w:pPr>
              <w:jc w:val="left"/>
              <w:rPr>
                <w:color w:val="auto"/>
                <w:sz w:val="12"/>
                <w:szCs w:val="16"/>
              </w:rPr>
            </w:pPr>
            <w:r w:rsidRPr="002C409E">
              <w:rPr>
                <w:color w:val="auto"/>
                <w:sz w:val="12"/>
                <w:szCs w:val="16"/>
              </w:rPr>
              <w:t xml:space="preserve">** This includes </w:t>
            </w:r>
            <w:proofErr w:type="spellStart"/>
            <w:r w:rsidRPr="002C409E">
              <w:rPr>
                <w:color w:val="auto"/>
                <w:sz w:val="12"/>
                <w:szCs w:val="16"/>
              </w:rPr>
              <w:t>Non Depository</w:t>
            </w:r>
            <w:proofErr w:type="spellEnd"/>
            <w:r w:rsidRPr="002C409E">
              <w:rPr>
                <w:color w:val="auto"/>
                <w:sz w:val="12"/>
                <w:szCs w:val="16"/>
              </w:rPr>
              <w:t xml:space="preserve"> </w:t>
            </w:r>
            <w:proofErr w:type="gramStart"/>
            <w:r w:rsidRPr="002C409E">
              <w:rPr>
                <w:color w:val="auto"/>
                <w:sz w:val="12"/>
                <w:szCs w:val="16"/>
              </w:rPr>
              <w:t>NBFCs ,</w:t>
            </w:r>
            <w:proofErr w:type="gramEnd"/>
            <w:r w:rsidRPr="002C409E">
              <w:rPr>
                <w:color w:val="auto"/>
                <w:sz w:val="12"/>
                <w:szCs w:val="16"/>
              </w:rPr>
              <w:t xml:space="preserve"> PMRCL and HBFC.</w:t>
            </w:r>
          </w:p>
        </w:tc>
      </w:tr>
    </w:tbl>
    <w:tbl>
      <w:tblPr>
        <w:tblpPr w:leftFromText="180" w:rightFromText="180" w:vertAnchor="page" w:horzAnchor="margin" w:tblpY="961"/>
        <w:tblOverlap w:val="never"/>
        <w:tblW w:w="9720" w:type="dxa"/>
        <w:tblLayout w:type="fixed"/>
        <w:tblLook w:val="0000" w:firstRow="0" w:lastRow="0" w:firstColumn="0" w:lastColumn="0" w:noHBand="0" w:noVBand="0"/>
      </w:tblPr>
      <w:tblGrid>
        <w:gridCol w:w="4068"/>
        <w:gridCol w:w="1170"/>
        <w:gridCol w:w="900"/>
        <w:gridCol w:w="900"/>
        <w:gridCol w:w="990"/>
        <w:gridCol w:w="900"/>
        <w:gridCol w:w="792"/>
      </w:tblGrid>
      <w:tr w:rsidR="007B3B61" w:rsidRPr="00D5469A" w:rsidTr="007B3B61">
        <w:trPr>
          <w:trHeight w:val="432"/>
        </w:trPr>
        <w:tc>
          <w:tcPr>
            <w:tcW w:w="9720" w:type="dxa"/>
            <w:gridSpan w:val="7"/>
            <w:shd w:val="clear" w:color="auto" w:fill="auto"/>
            <w:noWrap/>
            <w:vAlign w:val="bottom"/>
          </w:tcPr>
          <w:p w:rsidR="007B3B61" w:rsidRPr="00D5469A" w:rsidRDefault="007B3B61" w:rsidP="007B3B61">
            <w:pPr>
              <w:rPr>
                <w:b/>
                <w:bCs/>
                <w:color w:val="auto"/>
                <w:szCs w:val="16"/>
              </w:rPr>
            </w:pPr>
            <w:r>
              <w:rPr>
                <w:b/>
                <w:bCs/>
                <w:color w:val="auto"/>
                <w:sz w:val="28"/>
                <w:szCs w:val="28"/>
              </w:rPr>
              <w:t>2.14</w:t>
            </w:r>
            <w:r w:rsidRPr="00D5469A">
              <w:rPr>
                <w:b/>
                <w:bCs/>
                <w:color w:val="auto"/>
                <w:sz w:val="28"/>
                <w:szCs w:val="28"/>
              </w:rPr>
              <w:t xml:space="preserve">  Classification of Deposits with DFIs</w:t>
            </w:r>
            <w:r>
              <w:rPr>
                <w:b/>
                <w:bCs/>
                <w:color w:val="auto"/>
                <w:sz w:val="28"/>
                <w:szCs w:val="28"/>
              </w:rPr>
              <w:t>, MFBs</w:t>
            </w:r>
            <w:r w:rsidRPr="00D5469A">
              <w:rPr>
                <w:b/>
                <w:bCs/>
                <w:color w:val="auto"/>
                <w:sz w:val="28"/>
                <w:szCs w:val="28"/>
              </w:rPr>
              <w:t xml:space="preserve"> &amp; NBFCs</w:t>
            </w:r>
            <w:r w:rsidRPr="00D5469A">
              <w:rPr>
                <w:b/>
                <w:bCs/>
                <w:color w:val="auto"/>
                <w:szCs w:val="16"/>
              </w:rPr>
              <w:t xml:space="preserve"> </w:t>
            </w:r>
          </w:p>
        </w:tc>
      </w:tr>
      <w:tr w:rsidR="007B3B61" w:rsidRPr="00D5469A" w:rsidTr="007B3B61">
        <w:trPr>
          <w:trHeight w:val="240"/>
        </w:trPr>
        <w:tc>
          <w:tcPr>
            <w:tcW w:w="9720" w:type="dxa"/>
            <w:gridSpan w:val="7"/>
            <w:tcBorders>
              <w:bottom w:val="single" w:sz="12" w:space="0" w:color="auto"/>
            </w:tcBorders>
            <w:shd w:val="clear" w:color="auto" w:fill="auto"/>
            <w:noWrap/>
            <w:tcMar>
              <w:left w:w="115" w:type="dxa"/>
              <w:right w:w="14" w:type="dxa"/>
            </w:tcMar>
            <w:vAlign w:val="bottom"/>
          </w:tcPr>
          <w:p w:rsidR="007B3B61" w:rsidRPr="00D5469A" w:rsidRDefault="007B3B61" w:rsidP="007B3B61">
            <w:pPr>
              <w:jc w:val="right"/>
              <w:rPr>
                <w:color w:val="auto"/>
                <w:szCs w:val="16"/>
              </w:rPr>
            </w:pPr>
            <w:r w:rsidRPr="00D5469A">
              <w:rPr>
                <w:color w:val="auto"/>
                <w:szCs w:val="16"/>
              </w:rPr>
              <w:t>(Million Rupees)</w:t>
            </w:r>
          </w:p>
        </w:tc>
      </w:tr>
      <w:tr w:rsidR="00B365C7" w:rsidRPr="00D5469A" w:rsidTr="007B3B61">
        <w:trPr>
          <w:trHeight w:val="240"/>
        </w:trPr>
        <w:tc>
          <w:tcPr>
            <w:tcW w:w="4068" w:type="dxa"/>
            <w:tcBorders>
              <w:bottom w:val="single" w:sz="12" w:space="0" w:color="auto"/>
              <w:right w:val="single" w:sz="4" w:space="0" w:color="auto"/>
            </w:tcBorders>
            <w:shd w:val="clear" w:color="auto" w:fill="auto"/>
            <w:noWrap/>
            <w:vAlign w:val="center"/>
          </w:tcPr>
          <w:p w:rsidR="00B365C7" w:rsidRPr="00D5469A" w:rsidRDefault="00B365C7" w:rsidP="00B365C7">
            <w:pPr>
              <w:rPr>
                <w:b/>
                <w:bCs/>
                <w:color w:val="auto"/>
                <w:szCs w:val="16"/>
              </w:rPr>
            </w:pPr>
            <w:r w:rsidRPr="00D5469A">
              <w:rPr>
                <w:b/>
                <w:bCs/>
                <w:color w:val="auto"/>
                <w:szCs w:val="16"/>
              </w:rPr>
              <w:t>SECTOR</w:t>
            </w:r>
          </w:p>
        </w:tc>
        <w:tc>
          <w:tcPr>
            <w:tcW w:w="117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Sep-18</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Dec-18</w:t>
            </w:r>
          </w:p>
        </w:tc>
        <w:tc>
          <w:tcPr>
            <w:tcW w:w="990" w:type="dxa"/>
            <w:tcBorders>
              <w:top w:val="single" w:sz="8" w:space="0" w:color="auto"/>
              <w:left w:val="single" w:sz="4" w:space="0" w:color="auto"/>
              <w:bottom w:val="single" w:sz="12" w:space="0" w:color="auto"/>
              <w:right w:val="single" w:sz="4" w:space="0" w:color="auto"/>
            </w:tcBorders>
            <w:shd w:val="clear" w:color="auto" w:fill="auto"/>
            <w:vAlign w:val="center"/>
          </w:tcPr>
          <w:p w:rsidR="00B365C7" w:rsidRPr="00D5469A" w:rsidRDefault="00B365C7" w:rsidP="00B365C7">
            <w:pPr>
              <w:jc w:val="right"/>
              <w:rPr>
                <w:b/>
                <w:bCs/>
                <w:color w:val="auto"/>
                <w:szCs w:val="22"/>
              </w:rPr>
            </w:pPr>
            <w:r>
              <w:rPr>
                <w:b/>
                <w:bCs/>
                <w:color w:val="auto"/>
                <w:szCs w:val="22"/>
              </w:rPr>
              <w:t>Mar-19</w:t>
            </w:r>
          </w:p>
        </w:tc>
        <w:tc>
          <w:tcPr>
            <w:tcW w:w="900" w:type="dxa"/>
            <w:tcBorders>
              <w:top w:val="single" w:sz="8" w:space="0" w:color="auto"/>
              <w:left w:val="single" w:sz="4" w:space="0" w:color="auto"/>
              <w:bottom w:val="single" w:sz="12" w:space="0" w:color="auto"/>
              <w:right w:val="single" w:sz="4"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Jun-19</w:t>
            </w:r>
          </w:p>
        </w:tc>
        <w:tc>
          <w:tcPr>
            <w:tcW w:w="792" w:type="dxa"/>
            <w:tcBorders>
              <w:top w:val="single" w:sz="8" w:space="0" w:color="auto"/>
              <w:left w:val="single" w:sz="4" w:space="0" w:color="auto"/>
              <w:bottom w:val="single" w:sz="12" w:space="0" w:color="auto"/>
            </w:tcBorders>
            <w:shd w:val="clear" w:color="auto" w:fill="auto"/>
            <w:noWrap/>
            <w:vAlign w:val="center"/>
          </w:tcPr>
          <w:p w:rsidR="00B365C7" w:rsidRPr="00D5469A" w:rsidRDefault="00B365C7" w:rsidP="00B365C7">
            <w:pPr>
              <w:jc w:val="right"/>
              <w:rPr>
                <w:b/>
                <w:bCs/>
                <w:color w:val="auto"/>
                <w:szCs w:val="22"/>
              </w:rPr>
            </w:pPr>
            <w:r>
              <w:rPr>
                <w:b/>
                <w:bCs/>
                <w:color w:val="auto"/>
                <w:szCs w:val="22"/>
              </w:rPr>
              <w:t>Sep-19</w:t>
            </w:r>
          </w:p>
        </w:tc>
      </w:tr>
      <w:tr w:rsidR="00B365C7" w:rsidRPr="00D5469A" w:rsidTr="00DF4C38">
        <w:trPr>
          <w:trHeight w:hRule="exact" w:val="259"/>
        </w:trPr>
        <w:tc>
          <w:tcPr>
            <w:tcW w:w="4068" w:type="dxa"/>
            <w:tcBorders>
              <w:top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1 Non-financial Corporations</w:t>
            </w:r>
          </w:p>
        </w:tc>
        <w:tc>
          <w:tcPr>
            <w:tcW w:w="117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97,501</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91,250</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97,597</w:t>
            </w:r>
          </w:p>
        </w:tc>
        <w:tc>
          <w:tcPr>
            <w:tcW w:w="99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96,778</w:t>
            </w:r>
          </w:p>
        </w:tc>
        <w:tc>
          <w:tcPr>
            <w:tcW w:w="900"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96,681</w:t>
            </w:r>
          </w:p>
        </w:tc>
        <w:tc>
          <w:tcPr>
            <w:tcW w:w="792" w:type="dxa"/>
            <w:tcBorders>
              <w:top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93,082</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1170" w:type="dxa"/>
            <w:shd w:val="clear" w:color="auto" w:fill="auto"/>
            <w:noWrap/>
            <w:vAlign w:val="center"/>
          </w:tcPr>
          <w:p w:rsidR="00B365C7" w:rsidRDefault="00B365C7" w:rsidP="00B365C7">
            <w:pPr>
              <w:jc w:val="right"/>
              <w:rPr>
                <w:sz w:val="14"/>
                <w:szCs w:val="14"/>
              </w:rPr>
            </w:pPr>
            <w:r>
              <w:rPr>
                <w:sz w:val="14"/>
                <w:szCs w:val="14"/>
              </w:rPr>
              <w:t>25,217</w:t>
            </w:r>
          </w:p>
        </w:tc>
        <w:tc>
          <w:tcPr>
            <w:tcW w:w="900" w:type="dxa"/>
            <w:shd w:val="clear" w:color="auto" w:fill="auto"/>
            <w:noWrap/>
            <w:vAlign w:val="center"/>
          </w:tcPr>
          <w:p w:rsidR="00B365C7" w:rsidRDefault="00B365C7" w:rsidP="00B365C7">
            <w:pPr>
              <w:jc w:val="right"/>
              <w:rPr>
                <w:sz w:val="14"/>
                <w:szCs w:val="14"/>
              </w:rPr>
            </w:pPr>
            <w:r>
              <w:rPr>
                <w:sz w:val="14"/>
                <w:szCs w:val="14"/>
              </w:rPr>
              <w:t>22,516</w:t>
            </w:r>
          </w:p>
        </w:tc>
        <w:tc>
          <w:tcPr>
            <w:tcW w:w="900" w:type="dxa"/>
            <w:shd w:val="clear" w:color="auto" w:fill="auto"/>
            <w:noWrap/>
            <w:vAlign w:val="center"/>
          </w:tcPr>
          <w:p w:rsidR="00B365C7" w:rsidRDefault="00B365C7" w:rsidP="00B365C7">
            <w:pPr>
              <w:jc w:val="right"/>
              <w:rPr>
                <w:sz w:val="14"/>
                <w:szCs w:val="14"/>
              </w:rPr>
            </w:pPr>
            <w:r>
              <w:rPr>
                <w:sz w:val="14"/>
                <w:szCs w:val="14"/>
              </w:rPr>
              <w:t>20,714</w:t>
            </w:r>
          </w:p>
        </w:tc>
        <w:tc>
          <w:tcPr>
            <w:tcW w:w="990" w:type="dxa"/>
            <w:shd w:val="clear" w:color="auto" w:fill="auto"/>
            <w:noWrap/>
            <w:vAlign w:val="center"/>
          </w:tcPr>
          <w:p w:rsidR="00B365C7" w:rsidRDefault="00B365C7" w:rsidP="00B365C7">
            <w:pPr>
              <w:jc w:val="right"/>
              <w:rPr>
                <w:sz w:val="14"/>
                <w:szCs w:val="14"/>
              </w:rPr>
            </w:pPr>
            <w:r>
              <w:rPr>
                <w:sz w:val="14"/>
                <w:szCs w:val="14"/>
              </w:rPr>
              <w:t>18,890</w:t>
            </w:r>
          </w:p>
        </w:tc>
        <w:tc>
          <w:tcPr>
            <w:tcW w:w="900" w:type="dxa"/>
            <w:shd w:val="clear" w:color="auto" w:fill="auto"/>
            <w:noWrap/>
            <w:vAlign w:val="center"/>
          </w:tcPr>
          <w:p w:rsidR="00B365C7" w:rsidRDefault="00B365C7" w:rsidP="00B365C7">
            <w:pPr>
              <w:jc w:val="right"/>
              <w:rPr>
                <w:sz w:val="14"/>
                <w:szCs w:val="14"/>
              </w:rPr>
            </w:pPr>
            <w:r>
              <w:rPr>
                <w:sz w:val="14"/>
                <w:szCs w:val="14"/>
              </w:rPr>
              <w:t>16,315</w:t>
            </w:r>
          </w:p>
        </w:tc>
        <w:tc>
          <w:tcPr>
            <w:tcW w:w="792" w:type="dxa"/>
            <w:shd w:val="clear" w:color="auto" w:fill="auto"/>
            <w:noWrap/>
            <w:vAlign w:val="center"/>
          </w:tcPr>
          <w:p w:rsidR="00B365C7" w:rsidRDefault="00B365C7" w:rsidP="00B365C7">
            <w:pPr>
              <w:jc w:val="right"/>
              <w:rPr>
                <w:sz w:val="14"/>
                <w:szCs w:val="14"/>
              </w:rPr>
            </w:pPr>
            <w:r>
              <w:rPr>
                <w:sz w:val="14"/>
                <w:szCs w:val="14"/>
              </w:rPr>
              <w:t>21,490</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 xml:space="preserve"> ii Private</w:t>
            </w:r>
          </w:p>
        </w:tc>
        <w:tc>
          <w:tcPr>
            <w:tcW w:w="1170" w:type="dxa"/>
            <w:shd w:val="clear" w:color="auto" w:fill="auto"/>
            <w:noWrap/>
            <w:vAlign w:val="center"/>
          </w:tcPr>
          <w:p w:rsidR="00B365C7" w:rsidRDefault="00B365C7" w:rsidP="00B365C7">
            <w:pPr>
              <w:jc w:val="right"/>
              <w:rPr>
                <w:sz w:val="14"/>
                <w:szCs w:val="14"/>
              </w:rPr>
            </w:pPr>
            <w:r>
              <w:rPr>
                <w:sz w:val="14"/>
                <w:szCs w:val="14"/>
              </w:rPr>
              <w:t>72,284</w:t>
            </w:r>
          </w:p>
        </w:tc>
        <w:tc>
          <w:tcPr>
            <w:tcW w:w="900" w:type="dxa"/>
            <w:shd w:val="clear" w:color="auto" w:fill="auto"/>
            <w:noWrap/>
            <w:vAlign w:val="center"/>
          </w:tcPr>
          <w:p w:rsidR="00B365C7" w:rsidRDefault="00B365C7" w:rsidP="00B365C7">
            <w:pPr>
              <w:jc w:val="right"/>
              <w:rPr>
                <w:sz w:val="14"/>
                <w:szCs w:val="14"/>
              </w:rPr>
            </w:pPr>
            <w:r>
              <w:rPr>
                <w:sz w:val="14"/>
                <w:szCs w:val="14"/>
              </w:rPr>
              <w:t>68,734</w:t>
            </w:r>
          </w:p>
        </w:tc>
        <w:tc>
          <w:tcPr>
            <w:tcW w:w="900" w:type="dxa"/>
            <w:shd w:val="clear" w:color="auto" w:fill="auto"/>
            <w:noWrap/>
            <w:vAlign w:val="center"/>
          </w:tcPr>
          <w:p w:rsidR="00B365C7" w:rsidRDefault="00B365C7" w:rsidP="00B365C7">
            <w:pPr>
              <w:jc w:val="right"/>
              <w:rPr>
                <w:sz w:val="14"/>
                <w:szCs w:val="14"/>
              </w:rPr>
            </w:pPr>
            <w:r>
              <w:rPr>
                <w:sz w:val="14"/>
                <w:szCs w:val="14"/>
              </w:rPr>
              <w:t>76,883</w:t>
            </w:r>
          </w:p>
        </w:tc>
        <w:tc>
          <w:tcPr>
            <w:tcW w:w="990" w:type="dxa"/>
            <w:shd w:val="clear" w:color="auto" w:fill="auto"/>
            <w:noWrap/>
            <w:vAlign w:val="center"/>
          </w:tcPr>
          <w:p w:rsidR="00B365C7" w:rsidRDefault="00B365C7" w:rsidP="00B365C7">
            <w:pPr>
              <w:jc w:val="right"/>
              <w:rPr>
                <w:sz w:val="14"/>
                <w:szCs w:val="14"/>
              </w:rPr>
            </w:pPr>
            <w:r>
              <w:rPr>
                <w:sz w:val="14"/>
                <w:szCs w:val="14"/>
              </w:rPr>
              <w:t>77,888</w:t>
            </w:r>
          </w:p>
        </w:tc>
        <w:tc>
          <w:tcPr>
            <w:tcW w:w="900" w:type="dxa"/>
            <w:shd w:val="clear" w:color="auto" w:fill="auto"/>
            <w:noWrap/>
            <w:vAlign w:val="center"/>
          </w:tcPr>
          <w:p w:rsidR="00B365C7" w:rsidRDefault="00B365C7" w:rsidP="00B365C7">
            <w:pPr>
              <w:jc w:val="right"/>
              <w:rPr>
                <w:sz w:val="14"/>
                <w:szCs w:val="14"/>
              </w:rPr>
            </w:pPr>
            <w:r>
              <w:rPr>
                <w:sz w:val="14"/>
                <w:szCs w:val="14"/>
              </w:rPr>
              <w:t>80,367</w:t>
            </w:r>
          </w:p>
        </w:tc>
        <w:tc>
          <w:tcPr>
            <w:tcW w:w="792" w:type="dxa"/>
            <w:shd w:val="clear" w:color="auto" w:fill="auto"/>
            <w:noWrap/>
            <w:vAlign w:val="center"/>
          </w:tcPr>
          <w:p w:rsidR="00B365C7" w:rsidRDefault="00B365C7" w:rsidP="00B365C7">
            <w:pPr>
              <w:jc w:val="right"/>
              <w:rPr>
                <w:sz w:val="14"/>
                <w:szCs w:val="14"/>
              </w:rPr>
            </w:pPr>
            <w:r>
              <w:rPr>
                <w:sz w:val="14"/>
                <w:szCs w:val="14"/>
              </w:rPr>
              <w:t>71,591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2 Financial Corporations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25,803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22,673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30,068</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25,289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30,655</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27,754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1170" w:type="dxa"/>
            <w:shd w:val="clear" w:color="auto" w:fill="auto"/>
            <w:noWrap/>
            <w:vAlign w:val="center"/>
          </w:tcPr>
          <w:p w:rsidR="00B365C7" w:rsidRDefault="00B365C7" w:rsidP="00B365C7">
            <w:pPr>
              <w:jc w:val="right"/>
              <w:rPr>
                <w:sz w:val="14"/>
                <w:szCs w:val="14"/>
              </w:rPr>
            </w:pPr>
            <w:r>
              <w:rPr>
                <w:sz w:val="14"/>
                <w:szCs w:val="14"/>
              </w:rPr>
              <w:t>3,171</w:t>
            </w:r>
          </w:p>
        </w:tc>
        <w:tc>
          <w:tcPr>
            <w:tcW w:w="900" w:type="dxa"/>
            <w:shd w:val="clear" w:color="auto" w:fill="auto"/>
            <w:noWrap/>
            <w:vAlign w:val="center"/>
          </w:tcPr>
          <w:p w:rsidR="00B365C7" w:rsidRDefault="00B365C7" w:rsidP="00B365C7">
            <w:pPr>
              <w:jc w:val="right"/>
              <w:rPr>
                <w:sz w:val="14"/>
                <w:szCs w:val="14"/>
              </w:rPr>
            </w:pPr>
            <w:r>
              <w:rPr>
                <w:sz w:val="14"/>
                <w:szCs w:val="14"/>
              </w:rPr>
              <w:t>3,774</w:t>
            </w:r>
          </w:p>
        </w:tc>
        <w:tc>
          <w:tcPr>
            <w:tcW w:w="900" w:type="dxa"/>
            <w:shd w:val="clear" w:color="auto" w:fill="auto"/>
            <w:noWrap/>
            <w:vAlign w:val="center"/>
          </w:tcPr>
          <w:p w:rsidR="00B365C7" w:rsidRDefault="00B365C7" w:rsidP="00B365C7">
            <w:pPr>
              <w:jc w:val="right"/>
              <w:rPr>
                <w:sz w:val="14"/>
                <w:szCs w:val="14"/>
              </w:rPr>
            </w:pPr>
            <w:r>
              <w:rPr>
                <w:sz w:val="14"/>
                <w:szCs w:val="14"/>
              </w:rPr>
              <w:t>6,141</w:t>
            </w:r>
          </w:p>
        </w:tc>
        <w:tc>
          <w:tcPr>
            <w:tcW w:w="990" w:type="dxa"/>
            <w:shd w:val="clear" w:color="auto" w:fill="auto"/>
            <w:noWrap/>
            <w:vAlign w:val="center"/>
          </w:tcPr>
          <w:p w:rsidR="00B365C7" w:rsidRDefault="00B365C7" w:rsidP="00B365C7">
            <w:pPr>
              <w:jc w:val="right"/>
              <w:rPr>
                <w:sz w:val="14"/>
                <w:szCs w:val="14"/>
              </w:rPr>
            </w:pPr>
            <w:r>
              <w:rPr>
                <w:sz w:val="14"/>
                <w:szCs w:val="14"/>
              </w:rPr>
              <w:t>7,452</w:t>
            </w:r>
          </w:p>
        </w:tc>
        <w:tc>
          <w:tcPr>
            <w:tcW w:w="900" w:type="dxa"/>
            <w:shd w:val="clear" w:color="auto" w:fill="auto"/>
            <w:noWrap/>
            <w:vAlign w:val="center"/>
          </w:tcPr>
          <w:p w:rsidR="00B365C7" w:rsidRDefault="00B365C7" w:rsidP="00B365C7">
            <w:pPr>
              <w:jc w:val="right"/>
              <w:rPr>
                <w:sz w:val="14"/>
                <w:szCs w:val="14"/>
              </w:rPr>
            </w:pPr>
            <w:r>
              <w:rPr>
                <w:sz w:val="14"/>
                <w:szCs w:val="14"/>
              </w:rPr>
              <w:t>7,456</w:t>
            </w:r>
          </w:p>
        </w:tc>
        <w:tc>
          <w:tcPr>
            <w:tcW w:w="792" w:type="dxa"/>
            <w:shd w:val="clear" w:color="auto" w:fill="auto"/>
            <w:noWrap/>
            <w:vAlign w:val="center"/>
          </w:tcPr>
          <w:p w:rsidR="00B365C7" w:rsidRDefault="00B365C7" w:rsidP="00B365C7">
            <w:pPr>
              <w:jc w:val="right"/>
              <w:rPr>
                <w:sz w:val="14"/>
                <w:szCs w:val="14"/>
              </w:rPr>
            </w:pPr>
            <w:r>
              <w:rPr>
                <w:sz w:val="14"/>
                <w:szCs w:val="14"/>
              </w:rPr>
              <w:t>9,329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 Other deposit accepting institutions</w:t>
            </w:r>
          </w:p>
        </w:tc>
        <w:tc>
          <w:tcPr>
            <w:tcW w:w="1170" w:type="dxa"/>
            <w:shd w:val="clear" w:color="auto" w:fill="auto"/>
            <w:noWrap/>
            <w:vAlign w:val="center"/>
          </w:tcPr>
          <w:p w:rsidR="00B365C7" w:rsidRDefault="00B365C7" w:rsidP="00B365C7">
            <w:pPr>
              <w:jc w:val="right"/>
              <w:rPr>
                <w:sz w:val="14"/>
                <w:szCs w:val="14"/>
              </w:rPr>
            </w:pPr>
            <w:r>
              <w:rPr>
                <w:sz w:val="14"/>
                <w:szCs w:val="14"/>
              </w:rPr>
              <w:t>12,038</w:t>
            </w:r>
          </w:p>
        </w:tc>
        <w:tc>
          <w:tcPr>
            <w:tcW w:w="900" w:type="dxa"/>
            <w:shd w:val="clear" w:color="auto" w:fill="auto"/>
            <w:noWrap/>
            <w:vAlign w:val="center"/>
          </w:tcPr>
          <w:p w:rsidR="00B365C7" w:rsidRDefault="00B365C7" w:rsidP="00B365C7">
            <w:pPr>
              <w:jc w:val="right"/>
              <w:rPr>
                <w:sz w:val="14"/>
                <w:szCs w:val="14"/>
              </w:rPr>
            </w:pPr>
            <w:r>
              <w:rPr>
                <w:sz w:val="14"/>
                <w:szCs w:val="14"/>
              </w:rPr>
              <w:t>9,799</w:t>
            </w:r>
          </w:p>
        </w:tc>
        <w:tc>
          <w:tcPr>
            <w:tcW w:w="900" w:type="dxa"/>
            <w:shd w:val="clear" w:color="auto" w:fill="auto"/>
            <w:noWrap/>
            <w:vAlign w:val="center"/>
          </w:tcPr>
          <w:p w:rsidR="00B365C7" w:rsidRDefault="00B365C7" w:rsidP="00B365C7">
            <w:pPr>
              <w:jc w:val="right"/>
              <w:rPr>
                <w:sz w:val="14"/>
                <w:szCs w:val="14"/>
              </w:rPr>
            </w:pPr>
            <w:r>
              <w:rPr>
                <w:sz w:val="14"/>
                <w:szCs w:val="14"/>
              </w:rPr>
              <w:t>14,974</w:t>
            </w:r>
          </w:p>
        </w:tc>
        <w:tc>
          <w:tcPr>
            <w:tcW w:w="990" w:type="dxa"/>
            <w:shd w:val="clear" w:color="auto" w:fill="auto"/>
            <w:noWrap/>
            <w:vAlign w:val="center"/>
          </w:tcPr>
          <w:p w:rsidR="00B365C7" w:rsidRDefault="00B365C7" w:rsidP="00B365C7">
            <w:pPr>
              <w:jc w:val="right"/>
              <w:rPr>
                <w:sz w:val="14"/>
                <w:szCs w:val="14"/>
              </w:rPr>
            </w:pPr>
            <w:r>
              <w:rPr>
                <w:sz w:val="14"/>
                <w:szCs w:val="14"/>
              </w:rPr>
              <w:t>11,186</w:t>
            </w:r>
          </w:p>
        </w:tc>
        <w:tc>
          <w:tcPr>
            <w:tcW w:w="900" w:type="dxa"/>
            <w:shd w:val="clear" w:color="auto" w:fill="auto"/>
            <w:noWrap/>
            <w:vAlign w:val="center"/>
          </w:tcPr>
          <w:p w:rsidR="00B365C7" w:rsidRDefault="00B365C7" w:rsidP="00B365C7">
            <w:pPr>
              <w:jc w:val="right"/>
              <w:rPr>
                <w:sz w:val="14"/>
                <w:szCs w:val="14"/>
              </w:rPr>
            </w:pPr>
            <w:r>
              <w:rPr>
                <w:sz w:val="14"/>
                <w:szCs w:val="14"/>
              </w:rPr>
              <w:t>15,703</w:t>
            </w:r>
          </w:p>
        </w:tc>
        <w:tc>
          <w:tcPr>
            <w:tcW w:w="792" w:type="dxa"/>
            <w:shd w:val="clear" w:color="auto" w:fill="auto"/>
            <w:noWrap/>
            <w:vAlign w:val="center"/>
          </w:tcPr>
          <w:p w:rsidR="00B365C7" w:rsidRDefault="00B365C7" w:rsidP="00B365C7">
            <w:pPr>
              <w:jc w:val="right"/>
              <w:rPr>
                <w:sz w:val="14"/>
                <w:szCs w:val="14"/>
              </w:rPr>
            </w:pPr>
            <w:r>
              <w:rPr>
                <w:sz w:val="14"/>
                <w:szCs w:val="14"/>
              </w:rPr>
              <w:t>13,139</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iii Financial intermediaries</w:t>
            </w:r>
          </w:p>
        </w:tc>
        <w:tc>
          <w:tcPr>
            <w:tcW w:w="1170" w:type="dxa"/>
            <w:shd w:val="clear" w:color="auto" w:fill="auto"/>
            <w:noWrap/>
            <w:vAlign w:val="center"/>
          </w:tcPr>
          <w:p w:rsidR="00B365C7" w:rsidRDefault="00B365C7" w:rsidP="00B365C7">
            <w:pPr>
              <w:jc w:val="right"/>
              <w:rPr>
                <w:sz w:val="14"/>
                <w:szCs w:val="14"/>
              </w:rPr>
            </w:pPr>
            <w:r>
              <w:rPr>
                <w:sz w:val="14"/>
                <w:szCs w:val="14"/>
              </w:rPr>
              <w:t>3,825</w:t>
            </w:r>
          </w:p>
        </w:tc>
        <w:tc>
          <w:tcPr>
            <w:tcW w:w="900" w:type="dxa"/>
            <w:shd w:val="clear" w:color="auto" w:fill="auto"/>
            <w:noWrap/>
            <w:vAlign w:val="center"/>
          </w:tcPr>
          <w:p w:rsidR="00B365C7" w:rsidRDefault="00B365C7" w:rsidP="00B365C7">
            <w:pPr>
              <w:jc w:val="right"/>
              <w:rPr>
                <w:sz w:val="14"/>
                <w:szCs w:val="14"/>
              </w:rPr>
            </w:pPr>
            <w:r>
              <w:rPr>
                <w:sz w:val="14"/>
                <w:szCs w:val="14"/>
              </w:rPr>
              <w:t>1,775</w:t>
            </w:r>
          </w:p>
        </w:tc>
        <w:tc>
          <w:tcPr>
            <w:tcW w:w="900" w:type="dxa"/>
            <w:shd w:val="clear" w:color="auto" w:fill="auto"/>
            <w:noWrap/>
            <w:vAlign w:val="center"/>
          </w:tcPr>
          <w:p w:rsidR="00B365C7" w:rsidRDefault="00B365C7" w:rsidP="00B365C7">
            <w:pPr>
              <w:jc w:val="right"/>
              <w:rPr>
                <w:sz w:val="14"/>
                <w:szCs w:val="14"/>
              </w:rPr>
            </w:pPr>
            <w:r>
              <w:rPr>
                <w:sz w:val="14"/>
                <w:szCs w:val="14"/>
              </w:rPr>
              <w:t>2,554</w:t>
            </w:r>
          </w:p>
        </w:tc>
        <w:tc>
          <w:tcPr>
            <w:tcW w:w="990" w:type="dxa"/>
            <w:shd w:val="clear" w:color="auto" w:fill="auto"/>
            <w:noWrap/>
            <w:vAlign w:val="center"/>
          </w:tcPr>
          <w:p w:rsidR="00B365C7" w:rsidRDefault="00B365C7" w:rsidP="00B365C7">
            <w:pPr>
              <w:jc w:val="right"/>
              <w:rPr>
                <w:sz w:val="14"/>
                <w:szCs w:val="14"/>
              </w:rPr>
            </w:pPr>
            <w:r>
              <w:rPr>
                <w:sz w:val="14"/>
                <w:szCs w:val="14"/>
              </w:rPr>
              <w:t>3,016</w:t>
            </w:r>
          </w:p>
        </w:tc>
        <w:tc>
          <w:tcPr>
            <w:tcW w:w="900" w:type="dxa"/>
            <w:shd w:val="clear" w:color="auto" w:fill="auto"/>
            <w:noWrap/>
            <w:vAlign w:val="center"/>
          </w:tcPr>
          <w:p w:rsidR="00B365C7" w:rsidRDefault="00B365C7" w:rsidP="00B365C7">
            <w:pPr>
              <w:jc w:val="right"/>
              <w:rPr>
                <w:sz w:val="14"/>
                <w:szCs w:val="14"/>
              </w:rPr>
            </w:pPr>
            <w:r>
              <w:rPr>
                <w:sz w:val="14"/>
                <w:szCs w:val="14"/>
              </w:rPr>
              <w:t>3,831</w:t>
            </w:r>
          </w:p>
        </w:tc>
        <w:tc>
          <w:tcPr>
            <w:tcW w:w="792" w:type="dxa"/>
            <w:shd w:val="clear" w:color="auto" w:fill="auto"/>
            <w:noWrap/>
            <w:vAlign w:val="center"/>
          </w:tcPr>
          <w:p w:rsidR="00B365C7" w:rsidRDefault="00B365C7" w:rsidP="00B365C7">
            <w:pPr>
              <w:jc w:val="right"/>
              <w:rPr>
                <w:sz w:val="14"/>
                <w:szCs w:val="14"/>
              </w:rPr>
            </w:pPr>
            <w:r>
              <w:rPr>
                <w:sz w:val="14"/>
                <w:szCs w:val="14"/>
              </w:rPr>
              <w:t>2,658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iv Financial auxiliaries</w:t>
            </w:r>
          </w:p>
        </w:tc>
        <w:tc>
          <w:tcPr>
            <w:tcW w:w="1170" w:type="dxa"/>
            <w:shd w:val="clear" w:color="auto" w:fill="auto"/>
            <w:noWrap/>
            <w:vAlign w:val="center"/>
          </w:tcPr>
          <w:p w:rsidR="00B365C7" w:rsidRDefault="00B365C7" w:rsidP="00B365C7">
            <w:pPr>
              <w:jc w:val="right"/>
              <w:rPr>
                <w:sz w:val="14"/>
                <w:szCs w:val="14"/>
              </w:rPr>
            </w:pPr>
            <w:r>
              <w:rPr>
                <w:sz w:val="14"/>
                <w:szCs w:val="14"/>
              </w:rPr>
              <w:t>22</w:t>
            </w:r>
          </w:p>
        </w:tc>
        <w:tc>
          <w:tcPr>
            <w:tcW w:w="900" w:type="dxa"/>
            <w:shd w:val="clear" w:color="auto" w:fill="auto"/>
            <w:noWrap/>
            <w:vAlign w:val="center"/>
          </w:tcPr>
          <w:p w:rsidR="00B365C7" w:rsidRDefault="00B365C7" w:rsidP="00B365C7">
            <w:pPr>
              <w:jc w:val="right"/>
              <w:rPr>
                <w:sz w:val="14"/>
                <w:szCs w:val="14"/>
              </w:rPr>
            </w:pPr>
            <w:r>
              <w:rPr>
                <w:sz w:val="14"/>
                <w:szCs w:val="14"/>
              </w:rPr>
              <w:t>24</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990" w:type="dxa"/>
            <w:shd w:val="clear" w:color="auto" w:fill="auto"/>
            <w:noWrap/>
            <w:vAlign w:val="center"/>
          </w:tcPr>
          <w:p w:rsidR="00B365C7" w:rsidRDefault="00B365C7" w:rsidP="00B365C7">
            <w:pPr>
              <w:jc w:val="right"/>
              <w:rPr>
                <w:sz w:val="14"/>
                <w:szCs w:val="14"/>
              </w:rPr>
            </w:pPr>
            <w:r>
              <w:rPr>
                <w:sz w:val="14"/>
                <w:szCs w:val="14"/>
              </w:rPr>
              <w:t>27</w:t>
            </w:r>
          </w:p>
        </w:tc>
        <w:tc>
          <w:tcPr>
            <w:tcW w:w="900" w:type="dxa"/>
            <w:shd w:val="clear" w:color="auto" w:fill="auto"/>
            <w:noWrap/>
            <w:vAlign w:val="center"/>
          </w:tcPr>
          <w:p w:rsidR="00B365C7" w:rsidRDefault="00B365C7" w:rsidP="00B365C7">
            <w:pPr>
              <w:jc w:val="right"/>
              <w:rPr>
                <w:sz w:val="14"/>
                <w:szCs w:val="14"/>
              </w:rPr>
            </w:pPr>
            <w:r>
              <w:rPr>
                <w:sz w:val="14"/>
                <w:szCs w:val="14"/>
              </w:rPr>
              <w:t>25</w:t>
            </w:r>
          </w:p>
        </w:tc>
        <w:tc>
          <w:tcPr>
            <w:tcW w:w="792" w:type="dxa"/>
            <w:shd w:val="clear" w:color="auto" w:fill="auto"/>
            <w:noWrap/>
            <w:vAlign w:val="center"/>
          </w:tcPr>
          <w:p w:rsidR="00B365C7" w:rsidRDefault="00B365C7" w:rsidP="00B365C7">
            <w:pPr>
              <w:jc w:val="right"/>
              <w:rPr>
                <w:sz w:val="14"/>
                <w:szCs w:val="14"/>
              </w:rPr>
            </w:pPr>
            <w:r>
              <w:rPr>
                <w:sz w:val="14"/>
                <w:szCs w:val="14"/>
              </w:rPr>
              <w:t>26</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267"/>
              <w:jc w:val="left"/>
              <w:rPr>
                <w:color w:val="auto"/>
                <w:szCs w:val="16"/>
              </w:rPr>
            </w:pPr>
            <w:r w:rsidRPr="00D5469A">
              <w:rPr>
                <w:color w:val="auto"/>
                <w:szCs w:val="16"/>
              </w:rPr>
              <w:t>v Insurance and pension funds</w:t>
            </w:r>
          </w:p>
        </w:tc>
        <w:tc>
          <w:tcPr>
            <w:tcW w:w="1170" w:type="dxa"/>
            <w:shd w:val="clear" w:color="auto" w:fill="auto"/>
            <w:noWrap/>
            <w:vAlign w:val="center"/>
          </w:tcPr>
          <w:p w:rsidR="00B365C7" w:rsidRDefault="00B365C7" w:rsidP="00B365C7">
            <w:pPr>
              <w:jc w:val="right"/>
              <w:rPr>
                <w:sz w:val="14"/>
                <w:szCs w:val="14"/>
              </w:rPr>
            </w:pPr>
            <w:r>
              <w:rPr>
                <w:sz w:val="14"/>
                <w:szCs w:val="14"/>
              </w:rPr>
              <w:t>6,746</w:t>
            </w:r>
          </w:p>
        </w:tc>
        <w:tc>
          <w:tcPr>
            <w:tcW w:w="900" w:type="dxa"/>
            <w:shd w:val="clear" w:color="auto" w:fill="auto"/>
            <w:noWrap/>
            <w:vAlign w:val="center"/>
          </w:tcPr>
          <w:p w:rsidR="00B365C7" w:rsidRDefault="00B365C7" w:rsidP="00B365C7">
            <w:pPr>
              <w:jc w:val="right"/>
              <w:rPr>
                <w:sz w:val="14"/>
                <w:szCs w:val="14"/>
              </w:rPr>
            </w:pPr>
            <w:r>
              <w:rPr>
                <w:sz w:val="14"/>
                <w:szCs w:val="14"/>
              </w:rPr>
              <w:t>7,303</w:t>
            </w:r>
          </w:p>
        </w:tc>
        <w:tc>
          <w:tcPr>
            <w:tcW w:w="900" w:type="dxa"/>
            <w:shd w:val="clear" w:color="auto" w:fill="auto"/>
            <w:noWrap/>
            <w:vAlign w:val="center"/>
          </w:tcPr>
          <w:p w:rsidR="00B365C7" w:rsidRDefault="00B365C7" w:rsidP="00B365C7">
            <w:pPr>
              <w:jc w:val="right"/>
              <w:rPr>
                <w:sz w:val="14"/>
                <w:szCs w:val="14"/>
              </w:rPr>
            </w:pPr>
            <w:r>
              <w:rPr>
                <w:sz w:val="14"/>
                <w:szCs w:val="14"/>
              </w:rPr>
              <w:t>6,373</w:t>
            </w:r>
          </w:p>
        </w:tc>
        <w:tc>
          <w:tcPr>
            <w:tcW w:w="990" w:type="dxa"/>
            <w:shd w:val="clear" w:color="auto" w:fill="auto"/>
            <w:noWrap/>
            <w:vAlign w:val="center"/>
          </w:tcPr>
          <w:p w:rsidR="00B365C7" w:rsidRDefault="00B365C7" w:rsidP="00B365C7">
            <w:pPr>
              <w:jc w:val="right"/>
              <w:rPr>
                <w:sz w:val="14"/>
                <w:szCs w:val="14"/>
              </w:rPr>
            </w:pPr>
            <w:r>
              <w:rPr>
                <w:sz w:val="14"/>
                <w:szCs w:val="14"/>
              </w:rPr>
              <w:t>3,607</w:t>
            </w:r>
          </w:p>
        </w:tc>
        <w:tc>
          <w:tcPr>
            <w:tcW w:w="900" w:type="dxa"/>
            <w:shd w:val="clear" w:color="auto" w:fill="auto"/>
            <w:noWrap/>
            <w:vAlign w:val="center"/>
          </w:tcPr>
          <w:p w:rsidR="00B365C7" w:rsidRDefault="00B365C7" w:rsidP="00B365C7">
            <w:pPr>
              <w:jc w:val="right"/>
              <w:rPr>
                <w:sz w:val="14"/>
                <w:szCs w:val="14"/>
              </w:rPr>
            </w:pPr>
            <w:r>
              <w:rPr>
                <w:sz w:val="14"/>
                <w:szCs w:val="14"/>
              </w:rPr>
              <w:t>3,640</w:t>
            </w:r>
          </w:p>
        </w:tc>
        <w:tc>
          <w:tcPr>
            <w:tcW w:w="792" w:type="dxa"/>
            <w:shd w:val="clear" w:color="auto" w:fill="auto"/>
            <w:noWrap/>
            <w:vAlign w:val="center"/>
          </w:tcPr>
          <w:p w:rsidR="00B365C7" w:rsidRDefault="00B365C7" w:rsidP="00B365C7">
            <w:pPr>
              <w:jc w:val="right"/>
              <w:rPr>
                <w:sz w:val="14"/>
                <w:szCs w:val="14"/>
              </w:rPr>
            </w:pPr>
            <w:r>
              <w:rPr>
                <w:sz w:val="14"/>
                <w:szCs w:val="14"/>
              </w:rPr>
              <w:t>2,601</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3 Central Government</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624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614</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1,266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1,116</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614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4 Provincial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1,953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1,853</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2,252</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2,844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3,034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5 Local Governments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281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5</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71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70</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64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64</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6 Household</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120,534</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119,453</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136,909</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137,046</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136,210</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138,979</w:t>
            </w:r>
          </w:p>
        </w:tc>
      </w:tr>
      <w:tr w:rsidR="00B365C7" w:rsidRPr="00D5469A" w:rsidTr="00DF4C38">
        <w:trPr>
          <w:trHeight w:hRule="exact" w:val="288"/>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7 Non-pro</w:t>
            </w:r>
            <w:r>
              <w:rPr>
                <w:b/>
                <w:bCs/>
                <w:color w:val="auto"/>
                <w:szCs w:val="16"/>
              </w:rPr>
              <w:t xml:space="preserve">fit Institutions (NPIs) Serving </w:t>
            </w:r>
            <w:r w:rsidRPr="00D5469A">
              <w:rPr>
                <w:b/>
                <w:bCs/>
                <w:color w:val="auto"/>
                <w:szCs w:val="16"/>
              </w:rPr>
              <w:t>Households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8,659</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11,451</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14,141</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14,367</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16,824</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17,468</w:t>
            </w:r>
          </w:p>
        </w:tc>
      </w:tr>
      <w:tr w:rsidR="00B365C7" w:rsidRPr="00D5469A" w:rsidTr="00DF4C38">
        <w:trPr>
          <w:trHeight w:hRule="exact" w:val="259"/>
        </w:trPr>
        <w:tc>
          <w:tcPr>
            <w:tcW w:w="4068" w:type="dxa"/>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8 Non-residents</w:t>
            </w:r>
          </w:p>
        </w:tc>
        <w:tc>
          <w:tcPr>
            <w:tcW w:w="117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bottom w:val="single" w:sz="12" w:space="0" w:color="auto"/>
            </w:tcBorders>
            <w:shd w:val="clear" w:color="auto" w:fill="auto"/>
            <w:noWrap/>
            <w:vAlign w:val="center"/>
          </w:tcPr>
          <w:p w:rsidR="00B365C7" w:rsidRPr="00D5469A" w:rsidRDefault="00B365C7" w:rsidP="00B365C7">
            <w:pPr>
              <w:ind w:left="87"/>
              <w:jc w:val="left"/>
              <w:rPr>
                <w:b/>
                <w:bCs/>
                <w:color w:val="auto"/>
                <w:szCs w:val="16"/>
              </w:rPr>
            </w:pPr>
            <w:r w:rsidRPr="00D5469A">
              <w:rPr>
                <w:b/>
                <w:bCs/>
                <w:color w:val="auto"/>
                <w:szCs w:val="16"/>
              </w:rPr>
              <w:t>9 Foreign Currency</w:t>
            </w:r>
          </w:p>
        </w:tc>
        <w:tc>
          <w:tcPr>
            <w:tcW w:w="117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9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900"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c>
          <w:tcPr>
            <w:tcW w:w="792" w:type="dxa"/>
            <w:tcBorders>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w:t>
            </w:r>
          </w:p>
        </w:tc>
      </w:tr>
      <w:tr w:rsidR="00B365C7" w:rsidRPr="00D5469A" w:rsidTr="00DF4C38">
        <w:trPr>
          <w:trHeight w:hRule="exact" w:val="259"/>
        </w:trPr>
        <w:tc>
          <w:tcPr>
            <w:tcW w:w="4068" w:type="dxa"/>
            <w:tcBorders>
              <w:top w:val="single" w:sz="12" w:space="0" w:color="auto"/>
              <w:bottom w:val="single" w:sz="12" w:space="0" w:color="auto"/>
            </w:tcBorders>
            <w:shd w:val="clear" w:color="auto" w:fill="auto"/>
            <w:noWrap/>
            <w:vAlign w:val="center"/>
          </w:tcPr>
          <w:p w:rsidR="00B365C7" w:rsidRPr="00D5469A" w:rsidRDefault="00B365C7" w:rsidP="00B365C7">
            <w:pPr>
              <w:ind w:left="87"/>
              <w:rPr>
                <w:b/>
                <w:bCs/>
                <w:color w:val="auto"/>
                <w:szCs w:val="16"/>
              </w:rPr>
            </w:pPr>
            <w:r w:rsidRPr="00D5469A">
              <w:rPr>
                <w:b/>
                <w:bCs/>
                <w:color w:val="auto"/>
                <w:szCs w:val="16"/>
              </w:rPr>
              <w:t>Total</w:t>
            </w:r>
          </w:p>
        </w:tc>
        <w:tc>
          <w:tcPr>
            <w:tcW w:w="117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255,355</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247,129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281,252</w:t>
            </w:r>
          </w:p>
        </w:tc>
        <w:tc>
          <w:tcPr>
            <w:tcW w:w="99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277,069</w:t>
            </w:r>
          </w:p>
        </w:tc>
        <w:tc>
          <w:tcPr>
            <w:tcW w:w="900"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284,394</w:t>
            </w:r>
          </w:p>
        </w:tc>
        <w:tc>
          <w:tcPr>
            <w:tcW w:w="792" w:type="dxa"/>
            <w:tcBorders>
              <w:top w:val="single" w:sz="12" w:space="0" w:color="auto"/>
              <w:bottom w:val="single" w:sz="12" w:space="0" w:color="auto"/>
            </w:tcBorders>
            <w:shd w:val="clear" w:color="auto" w:fill="auto"/>
            <w:noWrap/>
            <w:vAlign w:val="center"/>
          </w:tcPr>
          <w:p w:rsidR="00B365C7" w:rsidRDefault="00B365C7" w:rsidP="00B365C7">
            <w:pPr>
              <w:jc w:val="right"/>
              <w:rPr>
                <w:b/>
                <w:bCs/>
                <w:sz w:val="14"/>
                <w:szCs w:val="14"/>
              </w:rPr>
            </w:pPr>
            <w:r>
              <w:rPr>
                <w:b/>
                <w:bCs/>
                <w:sz w:val="14"/>
                <w:szCs w:val="14"/>
              </w:rPr>
              <w:t>280,995</w:t>
            </w:r>
          </w:p>
        </w:tc>
      </w:tr>
      <w:tr w:rsidR="00B365C7" w:rsidRPr="00D5469A" w:rsidTr="007B3B61">
        <w:trPr>
          <w:trHeight w:val="216"/>
        </w:trPr>
        <w:tc>
          <w:tcPr>
            <w:tcW w:w="9720" w:type="dxa"/>
            <w:gridSpan w:val="7"/>
            <w:tcBorders>
              <w:top w:val="single" w:sz="12" w:space="0" w:color="auto"/>
            </w:tcBorders>
            <w:shd w:val="clear" w:color="auto" w:fill="auto"/>
            <w:noWrap/>
            <w:vAlign w:val="center"/>
          </w:tcPr>
          <w:p w:rsidR="00B365C7" w:rsidRPr="00D5469A" w:rsidRDefault="00B365C7" w:rsidP="00B365C7">
            <w:pPr>
              <w:jc w:val="right"/>
              <w:rPr>
                <w:b/>
                <w:bCs/>
                <w:color w:val="auto"/>
                <w:szCs w:val="16"/>
              </w:rPr>
            </w:pPr>
            <w:r>
              <w:rPr>
                <w:sz w:val="14"/>
                <w:szCs w:val="14"/>
              </w:rPr>
              <w:t>Source: Statistics &amp; Data Warehouse Department SBP</w:t>
            </w:r>
          </w:p>
        </w:tc>
      </w:tr>
    </w:tbl>
    <w:p w:rsidR="00C63C9B" w:rsidRPr="00D5469A" w:rsidRDefault="002A6AAD" w:rsidP="007B3B61">
      <w:pPr>
        <w:jc w:val="both"/>
        <w:rPr>
          <w:color w:val="auto"/>
        </w:rPr>
      </w:pPr>
      <w:r w:rsidRPr="00D5469A">
        <w:rPr>
          <w:color w:val="auto"/>
        </w:rPr>
        <w:t xml:space="preserve"> </w:t>
      </w:r>
      <w:r w:rsidR="00C63C9B" w:rsidRPr="00D5469A">
        <w:rPr>
          <w:color w:val="auto"/>
        </w:rPr>
        <w:br w:type="page"/>
      </w:r>
    </w:p>
    <w:tbl>
      <w:tblPr>
        <w:tblpPr w:leftFromText="180" w:rightFromText="180" w:vertAnchor="text" w:horzAnchor="margin" w:tblpXSpec="center" w:tblpY="668"/>
        <w:tblOverlap w:val="never"/>
        <w:tblW w:w="10008" w:type="dxa"/>
        <w:tblLayout w:type="fixed"/>
        <w:tblLook w:val="0000" w:firstRow="0" w:lastRow="0" w:firstColumn="0" w:lastColumn="0" w:noHBand="0" w:noVBand="0"/>
      </w:tblPr>
      <w:tblGrid>
        <w:gridCol w:w="4068"/>
        <w:gridCol w:w="990"/>
        <w:gridCol w:w="1080"/>
        <w:gridCol w:w="810"/>
        <w:gridCol w:w="990"/>
        <w:gridCol w:w="1170"/>
        <w:gridCol w:w="900"/>
      </w:tblGrid>
      <w:tr w:rsidR="00C63C9B" w:rsidRPr="00D5469A" w:rsidTr="007828BE">
        <w:trPr>
          <w:trHeight w:val="432"/>
        </w:trPr>
        <w:tc>
          <w:tcPr>
            <w:tcW w:w="10008" w:type="dxa"/>
            <w:gridSpan w:val="7"/>
            <w:shd w:val="clear" w:color="auto" w:fill="auto"/>
            <w:noWrap/>
          </w:tcPr>
          <w:p w:rsidR="00C63C9B" w:rsidRPr="00D5469A" w:rsidRDefault="007F7163" w:rsidP="00750683">
            <w:pPr>
              <w:rPr>
                <w:b/>
                <w:bCs/>
                <w:color w:val="auto"/>
                <w:sz w:val="28"/>
                <w:szCs w:val="28"/>
              </w:rPr>
            </w:pPr>
            <w:r>
              <w:rPr>
                <w:b/>
                <w:bCs/>
                <w:color w:val="auto"/>
                <w:sz w:val="28"/>
                <w:szCs w:val="28"/>
              </w:rPr>
              <w:lastRenderedPageBreak/>
              <w:t>2.16</w:t>
            </w:r>
            <w:r w:rsidR="00C63C9B" w:rsidRPr="00D5469A">
              <w:rPr>
                <w:b/>
                <w:bCs/>
                <w:color w:val="auto"/>
                <w:sz w:val="28"/>
                <w:szCs w:val="28"/>
              </w:rPr>
              <w:t xml:space="preserve">  Classification of Investments </w:t>
            </w:r>
            <w:r w:rsidR="00750683" w:rsidRPr="00D5469A">
              <w:rPr>
                <w:b/>
                <w:bCs/>
                <w:color w:val="auto"/>
                <w:sz w:val="28"/>
                <w:szCs w:val="28"/>
              </w:rPr>
              <w:t xml:space="preserve"> in Securities and Shares</w:t>
            </w:r>
          </w:p>
          <w:p w:rsidR="00C63C9B" w:rsidRPr="00D5469A" w:rsidRDefault="00750683" w:rsidP="00685629">
            <w:pPr>
              <w:rPr>
                <w:b/>
                <w:bCs/>
                <w:color w:val="auto"/>
                <w:sz w:val="28"/>
                <w:szCs w:val="28"/>
              </w:rPr>
            </w:pPr>
            <w:r>
              <w:rPr>
                <w:b/>
                <w:bCs/>
                <w:color w:val="auto"/>
                <w:sz w:val="28"/>
                <w:szCs w:val="28"/>
              </w:rPr>
              <w:t xml:space="preserve">by </w:t>
            </w:r>
            <w:r w:rsidRPr="00D5469A">
              <w:rPr>
                <w:b/>
                <w:bCs/>
                <w:color w:val="auto"/>
                <w:sz w:val="28"/>
                <w:szCs w:val="28"/>
              </w:rPr>
              <w:t xml:space="preserve"> DFIs</w:t>
            </w:r>
            <w:r w:rsidR="001723FB">
              <w:rPr>
                <w:b/>
                <w:bCs/>
                <w:color w:val="auto"/>
                <w:sz w:val="28"/>
                <w:szCs w:val="28"/>
              </w:rPr>
              <w:t>,</w:t>
            </w:r>
            <w:r w:rsidRPr="00D5469A">
              <w:rPr>
                <w:b/>
                <w:bCs/>
                <w:color w:val="auto"/>
                <w:sz w:val="28"/>
                <w:szCs w:val="28"/>
              </w:rPr>
              <w:t xml:space="preserve"> </w:t>
            </w:r>
            <w:r w:rsidR="001723FB">
              <w:rPr>
                <w:b/>
                <w:bCs/>
                <w:color w:val="auto"/>
                <w:sz w:val="28"/>
                <w:szCs w:val="28"/>
              </w:rPr>
              <w:t xml:space="preserve"> MFBs</w:t>
            </w:r>
            <w:r w:rsidR="001723FB" w:rsidRPr="00D5469A">
              <w:rPr>
                <w:b/>
                <w:bCs/>
                <w:color w:val="auto"/>
                <w:sz w:val="28"/>
                <w:szCs w:val="28"/>
              </w:rPr>
              <w:t xml:space="preserve"> </w:t>
            </w:r>
            <w:r w:rsidRPr="00D5469A">
              <w:rPr>
                <w:b/>
                <w:bCs/>
                <w:color w:val="auto"/>
                <w:sz w:val="28"/>
                <w:szCs w:val="28"/>
              </w:rPr>
              <w:t>&amp; NBFCs</w:t>
            </w:r>
          </w:p>
        </w:tc>
      </w:tr>
      <w:tr w:rsidR="00BA1447" w:rsidRPr="00D5469A" w:rsidTr="00F07B35">
        <w:trPr>
          <w:trHeight w:val="258"/>
        </w:trPr>
        <w:tc>
          <w:tcPr>
            <w:tcW w:w="10008" w:type="dxa"/>
            <w:gridSpan w:val="7"/>
            <w:shd w:val="clear" w:color="auto" w:fill="auto"/>
            <w:noWrap/>
            <w:tcMar>
              <w:left w:w="115" w:type="dxa"/>
              <w:right w:w="0" w:type="dxa"/>
            </w:tcMar>
            <w:vAlign w:val="bottom"/>
          </w:tcPr>
          <w:p w:rsidR="00BA1447" w:rsidRPr="00D5469A" w:rsidRDefault="00BA1447" w:rsidP="0069571C">
            <w:pPr>
              <w:jc w:val="right"/>
              <w:rPr>
                <w:color w:val="auto"/>
                <w:szCs w:val="16"/>
              </w:rPr>
            </w:pPr>
          </w:p>
        </w:tc>
      </w:tr>
      <w:tr w:rsidR="00C63C9B" w:rsidRPr="00D5469A" w:rsidTr="007828BE">
        <w:trPr>
          <w:trHeight w:val="141"/>
        </w:trPr>
        <w:tc>
          <w:tcPr>
            <w:tcW w:w="10008" w:type="dxa"/>
            <w:gridSpan w:val="7"/>
            <w:tcBorders>
              <w:bottom w:val="single" w:sz="12" w:space="0" w:color="auto"/>
            </w:tcBorders>
            <w:shd w:val="clear" w:color="auto" w:fill="auto"/>
            <w:noWrap/>
            <w:tcMar>
              <w:left w:w="115" w:type="dxa"/>
              <w:right w:w="0" w:type="dxa"/>
            </w:tcMar>
            <w:vAlign w:val="bottom"/>
          </w:tcPr>
          <w:p w:rsidR="00C63C9B" w:rsidRPr="00D5469A" w:rsidRDefault="00C63C9B" w:rsidP="0069571C">
            <w:pPr>
              <w:jc w:val="right"/>
              <w:rPr>
                <w:color w:val="auto"/>
                <w:szCs w:val="16"/>
              </w:rPr>
            </w:pPr>
            <w:r w:rsidRPr="00D5469A">
              <w:rPr>
                <w:color w:val="auto"/>
                <w:szCs w:val="16"/>
              </w:rPr>
              <w:t>(Million Rupees)</w:t>
            </w:r>
          </w:p>
        </w:tc>
      </w:tr>
      <w:tr w:rsidR="0040006F" w:rsidRPr="00D5469A" w:rsidTr="007828BE">
        <w:trPr>
          <w:cantSplit/>
          <w:trHeight w:val="183"/>
        </w:trPr>
        <w:tc>
          <w:tcPr>
            <w:tcW w:w="4068" w:type="dxa"/>
            <w:vMerge w:val="restart"/>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r w:rsidRPr="00D5469A">
              <w:rPr>
                <w:b/>
                <w:bCs/>
                <w:color w:val="auto"/>
                <w:szCs w:val="16"/>
              </w:rPr>
              <w:t>SECURITIES</w:t>
            </w:r>
          </w:p>
          <w:p w:rsidR="0040006F" w:rsidRPr="00D5469A" w:rsidRDefault="0040006F" w:rsidP="0040006F">
            <w:pPr>
              <w:rPr>
                <w:color w:val="auto"/>
                <w:szCs w:val="16"/>
              </w:rPr>
            </w:pPr>
            <w:r w:rsidRPr="00D5469A">
              <w:rPr>
                <w:color w:val="auto"/>
                <w:szCs w:val="16"/>
              </w:rPr>
              <w:t> </w:t>
            </w:r>
          </w:p>
        </w:tc>
        <w:tc>
          <w:tcPr>
            <w:tcW w:w="2880" w:type="dxa"/>
            <w:gridSpan w:val="3"/>
            <w:tcBorders>
              <w:top w:val="single" w:sz="12" w:space="0" w:color="auto"/>
              <w:left w:val="single" w:sz="4" w:space="0" w:color="auto"/>
              <w:bottom w:val="single" w:sz="4" w:space="0" w:color="auto"/>
              <w:right w:val="single" w:sz="4" w:space="0" w:color="auto"/>
            </w:tcBorders>
            <w:shd w:val="clear" w:color="auto" w:fill="auto"/>
            <w:noWrap/>
            <w:vAlign w:val="center"/>
          </w:tcPr>
          <w:p w:rsidR="0040006F" w:rsidRPr="00D5469A" w:rsidRDefault="00052B28" w:rsidP="004243B0">
            <w:pPr>
              <w:rPr>
                <w:b/>
                <w:color w:val="auto"/>
                <w:szCs w:val="16"/>
              </w:rPr>
            </w:pPr>
            <w:r>
              <w:rPr>
                <w:b/>
                <w:color w:val="auto"/>
                <w:szCs w:val="16"/>
              </w:rPr>
              <w:t>Sep</w:t>
            </w:r>
            <w:r w:rsidR="0040006F" w:rsidRPr="00D5469A">
              <w:rPr>
                <w:b/>
                <w:color w:val="auto"/>
                <w:szCs w:val="16"/>
              </w:rPr>
              <w:t>-1</w:t>
            </w:r>
            <w:r w:rsidR="007A7EBA">
              <w:rPr>
                <w:b/>
                <w:color w:val="auto"/>
                <w:szCs w:val="16"/>
              </w:rPr>
              <w:t>8</w:t>
            </w:r>
          </w:p>
        </w:tc>
        <w:tc>
          <w:tcPr>
            <w:tcW w:w="3060" w:type="dxa"/>
            <w:gridSpan w:val="3"/>
            <w:tcBorders>
              <w:top w:val="single" w:sz="12" w:space="0" w:color="auto"/>
              <w:left w:val="single" w:sz="4" w:space="0" w:color="auto"/>
              <w:bottom w:val="single" w:sz="4" w:space="0" w:color="auto"/>
            </w:tcBorders>
            <w:shd w:val="clear" w:color="auto" w:fill="auto"/>
            <w:vAlign w:val="center"/>
          </w:tcPr>
          <w:p w:rsidR="0040006F" w:rsidRPr="00D5469A" w:rsidRDefault="00B365C7" w:rsidP="004243B0">
            <w:pPr>
              <w:rPr>
                <w:b/>
                <w:color w:val="auto"/>
                <w:szCs w:val="16"/>
              </w:rPr>
            </w:pPr>
            <w:r>
              <w:rPr>
                <w:b/>
                <w:color w:val="auto"/>
                <w:szCs w:val="16"/>
              </w:rPr>
              <w:t>Sep</w:t>
            </w:r>
            <w:r w:rsidR="0040006F">
              <w:rPr>
                <w:b/>
                <w:color w:val="auto"/>
                <w:szCs w:val="16"/>
              </w:rPr>
              <w:t>-1</w:t>
            </w:r>
            <w:r w:rsidR="007A7EBA">
              <w:rPr>
                <w:b/>
                <w:color w:val="auto"/>
                <w:szCs w:val="16"/>
              </w:rPr>
              <w:t>9</w:t>
            </w:r>
          </w:p>
        </w:tc>
      </w:tr>
      <w:tr w:rsidR="0040006F" w:rsidRPr="00D5469A" w:rsidTr="007828BE">
        <w:trPr>
          <w:cantSplit/>
          <w:trHeight w:val="405"/>
        </w:trPr>
        <w:tc>
          <w:tcPr>
            <w:tcW w:w="4068" w:type="dxa"/>
            <w:vMerge/>
            <w:tcBorders>
              <w:top w:val="single" w:sz="12" w:space="0" w:color="auto"/>
              <w:bottom w:val="single" w:sz="12" w:space="0" w:color="auto"/>
              <w:right w:val="single" w:sz="4" w:space="0" w:color="auto"/>
            </w:tcBorders>
            <w:shd w:val="clear" w:color="auto" w:fill="auto"/>
            <w:noWrap/>
            <w:vAlign w:val="center"/>
          </w:tcPr>
          <w:p w:rsidR="0040006F" w:rsidRPr="00D5469A" w:rsidRDefault="0040006F" w:rsidP="0040006F">
            <w:pPr>
              <w:rPr>
                <w:color w:val="auto"/>
                <w:szCs w:val="16"/>
              </w:rPr>
            </w:pPr>
          </w:p>
        </w:tc>
        <w:tc>
          <w:tcPr>
            <w:tcW w:w="990" w:type="dxa"/>
            <w:tcBorders>
              <w:left w:val="single" w:sz="4" w:space="0" w:color="auto"/>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08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810" w:type="dxa"/>
            <w:tcBorders>
              <w:bottom w:val="single" w:sz="12" w:space="0" w:color="auto"/>
              <w:right w:val="single" w:sz="4"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c>
          <w:tcPr>
            <w:tcW w:w="990" w:type="dxa"/>
            <w:tcBorders>
              <w:left w:val="single" w:sz="4" w:space="0" w:color="auto"/>
              <w:bottom w:val="single" w:sz="12" w:space="0" w:color="auto"/>
            </w:tcBorders>
            <w:shd w:val="clear" w:color="auto" w:fill="auto"/>
            <w:tcMar>
              <w:left w:w="115" w:type="dxa"/>
              <w:right w:w="29" w:type="dxa"/>
            </w:tcMar>
            <w:vAlign w:val="center"/>
          </w:tcPr>
          <w:p w:rsidR="0040006F" w:rsidRPr="00D5469A" w:rsidRDefault="0040006F" w:rsidP="0040006F">
            <w:pPr>
              <w:rPr>
                <w:b/>
                <w:color w:val="auto"/>
                <w:szCs w:val="16"/>
              </w:rPr>
            </w:pPr>
            <w:r w:rsidRPr="00D5469A">
              <w:rPr>
                <w:b/>
                <w:color w:val="auto"/>
                <w:szCs w:val="16"/>
              </w:rPr>
              <w:t>Depository*</w:t>
            </w:r>
          </w:p>
        </w:tc>
        <w:tc>
          <w:tcPr>
            <w:tcW w:w="117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Non-</w:t>
            </w:r>
          </w:p>
          <w:p w:rsidR="0040006F" w:rsidRPr="00D5469A" w:rsidRDefault="0040006F" w:rsidP="0040006F">
            <w:pPr>
              <w:rPr>
                <w:b/>
                <w:color w:val="auto"/>
                <w:szCs w:val="16"/>
              </w:rPr>
            </w:pPr>
            <w:r w:rsidRPr="00D5469A">
              <w:rPr>
                <w:b/>
                <w:color w:val="auto"/>
                <w:szCs w:val="16"/>
              </w:rPr>
              <w:t>Depository**</w:t>
            </w:r>
          </w:p>
        </w:tc>
        <w:tc>
          <w:tcPr>
            <w:tcW w:w="900" w:type="dxa"/>
            <w:tcBorders>
              <w:bottom w:val="single" w:sz="12" w:space="0" w:color="auto"/>
            </w:tcBorders>
            <w:shd w:val="clear" w:color="auto" w:fill="auto"/>
            <w:noWrap/>
            <w:tcMar>
              <w:left w:w="115" w:type="dxa"/>
              <w:right w:w="29" w:type="dxa"/>
            </w:tcMar>
            <w:vAlign w:val="center"/>
          </w:tcPr>
          <w:p w:rsidR="0040006F" w:rsidRPr="00D5469A" w:rsidRDefault="0040006F" w:rsidP="0040006F">
            <w:pPr>
              <w:rPr>
                <w:b/>
                <w:color w:val="auto"/>
                <w:szCs w:val="16"/>
              </w:rPr>
            </w:pPr>
            <w:r w:rsidRPr="00D5469A">
              <w:rPr>
                <w:b/>
                <w:color w:val="auto"/>
                <w:szCs w:val="16"/>
              </w:rPr>
              <w:t>Total</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A. Securities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138,894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91,681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230,574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215,578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98,734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314,312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7,066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21,621</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28,687</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12,222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23,602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35,825</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6,442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6,561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3,550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6,438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9,989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6,947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15,179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22,126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8,672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17,164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25,836</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32,165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34,929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67,094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28,604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29,114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57,718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11,908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26,059</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20,483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10,587</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31,070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13,743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4,113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17,856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6,639</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4,841</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11,480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4,271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18,909</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23,180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1,482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13,685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15,168</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99,664</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35,130</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134,794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174,752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46,018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220,770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6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9 Foreign Currency</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87"/>
              <w:jc w:val="left"/>
              <w:rPr>
                <w:b/>
                <w:bCs/>
                <w:color w:val="auto"/>
                <w:szCs w:val="16"/>
              </w:rPr>
            </w:pPr>
            <w:r w:rsidRPr="00D5469A">
              <w:rPr>
                <w:b/>
                <w:bCs/>
                <w:color w:val="auto"/>
                <w:szCs w:val="16"/>
              </w:rPr>
              <w:t>B. Shares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33,873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357,473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391,346</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35,865</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219,108</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254,973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1 Non-financial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10,463</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338,308</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348,772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11,242</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206,700</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217,942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w:t>
            </w:r>
            <w:proofErr w:type="spellStart"/>
            <w:r w:rsidRPr="00D5469A">
              <w:rPr>
                <w:color w:val="auto"/>
                <w:szCs w:val="16"/>
              </w:rPr>
              <w:t>i</w:t>
            </w:r>
            <w:proofErr w:type="spellEnd"/>
            <w:r w:rsidRPr="00D5469A">
              <w:rPr>
                <w:color w:val="auto"/>
                <w:szCs w:val="16"/>
              </w:rPr>
              <w:t xml:space="preserve"> Public</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1,576</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207,004</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208,580</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1,838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132,364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134,202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 xml:space="preserve"> ii Private</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8,887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131,305</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140,192</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9,404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74,336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83,740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2 Financial Corporations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22,488</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18,963</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41,451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23,554</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12,095</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35,649</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proofErr w:type="spellStart"/>
            <w:r w:rsidRPr="00D5469A">
              <w:rPr>
                <w:color w:val="auto"/>
                <w:szCs w:val="16"/>
              </w:rPr>
              <w:t>i</w:t>
            </w:r>
            <w:proofErr w:type="spellEnd"/>
            <w:r w:rsidRPr="00D5469A">
              <w:rPr>
                <w:color w:val="auto"/>
                <w:szCs w:val="16"/>
              </w:rPr>
              <w:t xml:space="preserve"> Deposit money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14,145</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2,426</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16,571</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15,567</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1,886</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17,453</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 Other deposit accepting institutions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1,351</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6,637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7,988</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1,356</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1,863</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3,220</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iii Financial intermediaries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4,807</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9,387</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14,194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4,478</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7,994</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12,472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iv Financial auxiliaries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1,724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1,780</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2</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1,782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447"/>
              <w:jc w:val="left"/>
              <w:rPr>
                <w:color w:val="auto"/>
                <w:szCs w:val="16"/>
              </w:rPr>
            </w:pPr>
            <w:r w:rsidRPr="00D5469A">
              <w:rPr>
                <w:color w:val="auto"/>
                <w:szCs w:val="16"/>
              </w:rPr>
              <w:t>v Insurance and pension funds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462</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512</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974</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373</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349</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sz w:val="14"/>
                <w:szCs w:val="14"/>
              </w:rPr>
            </w:pPr>
            <w:r>
              <w:rPr>
                <w:sz w:val="14"/>
                <w:szCs w:val="14"/>
              </w:rPr>
              <w:t>722</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3 Central Government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4 Provincial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9"/>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5 Local Governments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8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6 Household</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318"/>
        </w:trPr>
        <w:tc>
          <w:tcPr>
            <w:tcW w:w="4068" w:type="dxa"/>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7 Non-profit institutions (NPIs) Serving Households</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08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81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9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117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c>
          <w:tcPr>
            <w:tcW w:w="900" w:type="dxa"/>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w:t>
            </w:r>
          </w:p>
        </w:tc>
      </w:tr>
      <w:tr w:rsidR="00052B28" w:rsidRPr="00D5469A" w:rsidTr="00EF550D">
        <w:trPr>
          <w:trHeight w:hRule="exact" w:val="255"/>
        </w:trPr>
        <w:tc>
          <w:tcPr>
            <w:tcW w:w="4068" w:type="dxa"/>
            <w:tcBorders>
              <w:bottom w:val="single" w:sz="12" w:space="0" w:color="auto"/>
            </w:tcBorders>
            <w:shd w:val="clear" w:color="auto" w:fill="auto"/>
            <w:noWrap/>
            <w:tcMar>
              <w:top w:w="29" w:type="dxa"/>
              <w:left w:w="58" w:type="dxa"/>
              <w:bottom w:w="29" w:type="dxa"/>
              <w:right w:w="58" w:type="dxa"/>
            </w:tcMar>
            <w:vAlign w:val="center"/>
          </w:tcPr>
          <w:p w:rsidR="00052B28" w:rsidRPr="00D5469A" w:rsidRDefault="00052B28" w:rsidP="00052B28">
            <w:pPr>
              <w:ind w:left="267"/>
              <w:jc w:val="left"/>
              <w:rPr>
                <w:b/>
                <w:bCs/>
                <w:color w:val="auto"/>
                <w:szCs w:val="16"/>
              </w:rPr>
            </w:pPr>
            <w:r w:rsidRPr="00D5469A">
              <w:rPr>
                <w:b/>
                <w:bCs/>
                <w:color w:val="auto"/>
                <w:szCs w:val="16"/>
              </w:rPr>
              <w:t>8 Non-residents</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923</w:t>
            </w:r>
          </w:p>
        </w:tc>
        <w:tc>
          <w:tcPr>
            <w:tcW w:w="108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201</w:t>
            </w:r>
          </w:p>
        </w:tc>
        <w:tc>
          <w:tcPr>
            <w:tcW w:w="81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1,124</w:t>
            </w:r>
          </w:p>
        </w:tc>
        <w:tc>
          <w:tcPr>
            <w:tcW w:w="99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1,069</w:t>
            </w:r>
          </w:p>
        </w:tc>
        <w:tc>
          <w:tcPr>
            <w:tcW w:w="117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314</w:t>
            </w:r>
          </w:p>
        </w:tc>
        <w:tc>
          <w:tcPr>
            <w:tcW w:w="900" w:type="dxa"/>
            <w:tcBorders>
              <w:bottom w:val="single" w:sz="12" w:space="0" w:color="auto"/>
            </w:tcBorders>
            <w:shd w:val="clear" w:color="auto" w:fill="auto"/>
            <w:noWrap/>
            <w:tcMar>
              <w:top w:w="29" w:type="dxa"/>
              <w:left w:w="58" w:type="dxa"/>
              <w:bottom w:w="29" w:type="dxa"/>
              <w:right w:w="58" w:type="dxa"/>
            </w:tcMar>
            <w:vAlign w:val="center"/>
          </w:tcPr>
          <w:p w:rsidR="00052B28" w:rsidRDefault="00052B28" w:rsidP="00052B28">
            <w:pPr>
              <w:jc w:val="right"/>
              <w:rPr>
                <w:b/>
                <w:bCs/>
                <w:sz w:val="14"/>
                <w:szCs w:val="14"/>
              </w:rPr>
            </w:pPr>
            <w:r>
              <w:rPr>
                <w:b/>
                <w:bCs/>
                <w:sz w:val="14"/>
                <w:szCs w:val="14"/>
              </w:rPr>
              <w:t>1,383</w:t>
            </w:r>
          </w:p>
        </w:tc>
      </w:tr>
      <w:tr w:rsidR="00052B28" w:rsidRPr="00D5469A" w:rsidTr="00EF550D">
        <w:trPr>
          <w:trHeight w:hRule="exact" w:val="288"/>
        </w:trPr>
        <w:tc>
          <w:tcPr>
            <w:tcW w:w="4068" w:type="dxa"/>
            <w:tcBorders>
              <w:top w:val="single" w:sz="12" w:space="0" w:color="auto"/>
              <w:bottom w:val="single" w:sz="12" w:space="0" w:color="auto"/>
            </w:tcBorders>
            <w:shd w:val="clear" w:color="auto" w:fill="auto"/>
            <w:noWrap/>
            <w:vAlign w:val="center"/>
          </w:tcPr>
          <w:p w:rsidR="00052B28" w:rsidRPr="00D5469A" w:rsidRDefault="00052B28" w:rsidP="00052B28">
            <w:pPr>
              <w:rPr>
                <w:b/>
                <w:bCs/>
                <w:color w:val="auto"/>
                <w:szCs w:val="16"/>
              </w:rPr>
            </w:pPr>
            <w:r w:rsidRPr="00D5469A">
              <w:rPr>
                <w:b/>
                <w:bCs/>
                <w:color w:val="auto"/>
                <w:szCs w:val="16"/>
              </w:rPr>
              <w:t>Total (A+B)</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172,767</w:t>
            </w:r>
          </w:p>
        </w:tc>
        <w:tc>
          <w:tcPr>
            <w:tcW w:w="108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449,153</w:t>
            </w:r>
          </w:p>
        </w:tc>
        <w:tc>
          <w:tcPr>
            <w:tcW w:w="81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621,921</w:t>
            </w:r>
          </w:p>
        </w:tc>
        <w:tc>
          <w:tcPr>
            <w:tcW w:w="99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251,443</w:t>
            </w:r>
          </w:p>
        </w:tc>
        <w:tc>
          <w:tcPr>
            <w:tcW w:w="117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317,842</w:t>
            </w:r>
          </w:p>
        </w:tc>
        <w:tc>
          <w:tcPr>
            <w:tcW w:w="900" w:type="dxa"/>
            <w:tcBorders>
              <w:top w:val="single" w:sz="12" w:space="0" w:color="auto"/>
              <w:bottom w:val="single" w:sz="12" w:space="0" w:color="auto"/>
            </w:tcBorders>
            <w:shd w:val="clear" w:color="auto" w:fill="auto"/>
            <w:noWrap/>
            <w:tcMar>
              <w:left w:w="43" w:type="dxa"/>
              <w:right w:w="43" w:type="dxa"/>
            </w:tcMar>
            <w:vAlign w:val="center"/>
          </w:tcPr>
          <w:p w:rsidR="00052B28" w:rsidRDefault="00052B28" w:rsidP="00052B28">
            <w:pPr>
              <w:jc w:val="right"/>
              <w:rPr>
                <w:b/>
                <w:bCs/>
                <w:sz w:val="14"/>
                <w:szCs w:val="14"/>
              </w:rPr>
            </w:pPr>
            <w:r>
              <w:rPr>
                <w:b/>
                <w:bCs/>
                <w:sz w:val="14"/>
                <w:szCs w:val="14"/>
              </w:rPr>
              <w:t>569,286</w:t>
            </w:r>
          </w:p>
        </w:tc>
      </w:tr>
      <w:tr w:rsidR="00052B28" w:rsidRPr="00D5469A" w:rsidTr="007828BE">
        <w:trPr>
          <w:trHeight w:hRule="exact" w:val="247"/>
        </w:trPr>
        <w:tc>
          <w:tcPr>
            <w:tcW w:w="10008" w:type="dxa"/>
            <w:gridSpan w:val="7"/>
            <w:tcBorders>
              <w:top w:val="single" w:sz="12" w:space="0" w:color="auto"/>
            </w:tcBorders>
            <w:shd w:val="clear" w:color="auto" w:fill="auto"/>
            <w:noWrap/>
            <w:vAlign w:val="center"/>
          </w:tcPr>
          <w:p w:rsidR="00052B28" w:rsidRPr="00D5469A" w:rsidRDefault="00052B28" w:rsidP="00052B28">
            <w:pPr>
              <w:jc w:val="right"/>
              <w:rPr>
                <w:color w:val="auto"/>
                <w:sz w:val="12"/>
                <w:szCs w:val="16"/>
              </w:rPr>
            </w:pPr>
            <w:r>
              <w:rPr>
                <w:sz w:val="14"/>
                <w:szCs w:val="14"/>
              </w:rPr>
              <w:t>Source: Statistics &amp; Data Warehouse Department SBP</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D5469A">
              <w:rPr>
                <w:color w:val="auto"/>
                <w:sz w:val="12"/>
                <w:szCs w:val="16"/>
              </w:rPr>
              <w:t>* This includes Depository NBFCs, DFIs and MFIs.</w:t>
            </w:r>
          </w:p>
        </w:tc>
      </w:tr>
      <w:tr w:rsidR="00052B28" w:rsidRPr="00D5469A" w:rsidTr="007828BE">
        <w:trPr>
          <w:trHeight w:hRule="exact" w:val="235"/>
        </w:trPr>
        <w:tc>
          <w:tcPr>
            <w:tcW w:w="10008" w:type="dxa"/>
            <w:gridSpan w:val="7"/>
            <w:shd w:val="clear" w:color="auto" w:fill="auto"/>
            <w:noWrap/>
            <w:vAlign w:val="center"/>
          </w:tcPr>
          <w:p w:rsidR="00052B28" w:rsidRPr="00D5469A" w:rsidRDefault="00052B28" w:rsidP="00052B28">
            <w:pPr>
              <w:jc w:val="left"/>
              <w:rPr>
                <w:color w:val="auto"/>
                <w:sz w:val="12"/>
                <w:szCs w:val="16"/>
              </w:rPr>
            </w:pPr>
            <w:r w:rsidRPr="002C409E">
              <w:rPr>
                <w:color w:val="auto"/>
                <w:sz w:val="12"/>
                <w:szCs w:val="16"/>
              </w:rPr>
              <w:t xml:space="preserve">** This includes </w:t>
            </w:r>
            <w:proofErr w:type="spellStart"/>
            <w:r w:rsidRPr="002C409E">
              <w:rPr>
                <w:color w:val="auto"/>
                <w:sz w:val="12"/>
                <w:szCs w:val="16"/>
              </w:rPr>
              <w:t>Non Depository</w:t>
            </w:r>
            <w:proofErr w:type="spellEnd"/>
            <w:r w:rsidRPr="002C409E">
              <w:rPr>
                <w:color w:val="auto"/>
                <w:sz w:val="12"/>
                <w:szCs w:val="16"/>
              </w:rPr>
              <w:t xml:space="preserve"> NBFCs, PMRCL and HBFC.</w:t>
            </w:r>
          </w:p>
        </w:tc>
      </w:tr>
    </w:tbl>
    <w:p w:rsidR="00B433FE" w:rsidRPr="0004205B" w:rsidRDefault="00B433FE" w:rsidP="00C156D0">
      <w:pPr>
        <w:rPr>
          <w:color w:val="auto"/>
        </w:rPr>
      </w:pPr>
    </w:p>
    <w:sectPr w:rsidR="00B433FE" w:rsidRPr="0004205B" w:rsidSect="00261F80">
      <w:footerReference w:type="even" r:id="rId21"/>
      <w:footerReference w:type="default" r:id="rId22"/>
      <w:type w:val="continuous"/>
      <w:pgSz w:w="11906" w:h="16838" w:code="9"/>
      <w:pgMar w:top="720" w:right="720" w:bottom="720" w:left="720" w:header="432" w:footer="1008" w:gutter="720"/>
      <w:pgNumType w:start="10"/>
      <w:cols w:space="720"/>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FEB" w:rsidRDefault="00C07FEB">
      <w:r>
        <w:separator/>
      </w:r>
    </w:p>
  </w:endnote>
  <w:endnote w:type="continuationSeparator" w:id="0">
    <w:p w:rsidR="00C07FEB" w:rsidRDefault="00C07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B6" w:rsidRDefault="00385B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rsidR="00385BB6" w:rsidRDefault="00385BB6">
    <w:pPr>
      <w:pStyle w:val="Footer"/>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BB6" w:rsidRPr="008961D3" w:rsidRDefault="00385BB6" w:rsidP="001756F9">
    <w:pPr>
      <w:pStyle w:val="Footer"/>
      <w:rPr>
        <w:sz w:val="20"/>
      </w:rPr>
    </w:pPr>
    <w:r w:rsidRPr="008961D3">
      <w:rPr>
        <w:sz w:val="20"/>
      </w:rPr>
      <w:fldChar w:fldCharType="begin"/>
    </w:r>
    <w:r w:rsidRPr="008961D3">
      <w:rPr>
        <w:sz w:val="20"/>
      </w:rPr>
      <w:instrText xml:space="preserve"> PAGE   \* MERGEFORMAT </w:instrText>
    </w:r>
    <w:r w:rsidRPr="008961D3">
      <w:rPr>
        <w:sz w:val="20"/>
      </w:rPr>
      <w:fldChar w:fldCharType="separate"/>
    </w:r>
    <w:r w:rsidR="00866F31">
      <w:rPr>
        <w:noProof/>
        <w:sz w:val="20"/>
      </w:rPr>
      <w:t>10</w:t>
    </w:r>
    <w:r w:rsidRPr="008961D3">
      <w:rPr>
        <w:sz w:val="20"/>
      </w:rPr>
      <w:fldChar w:fldCharType="end"/>
    </w:r>
  </w:p>
  <w:p w:rsidR="00385BB6" w:rsidRPr="008961D3" w:rsidRDefault="00385BB6">
    <w:pPr>
      <w:pStyle w:val="Footer"/>
      <w:ind w:firstLine="360"/>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FEB" w:rsidRDefault="00C07FEB">
      <w:r>
        <w:separator/>
      </w:r>
    </w:p>
  </w:footnote>
  <w:footnote w:type="continuationSeparator" w:id="0">
    <w:p w:rsidR="00C07FEB" w:rsidRDefault="00C07F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F0A14"/>
    <w:multiLevelType w:val="hybridMultilevel"/>
    <w:tmpl w:val="C1601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836408"/>
    <w:multiLevelType w:val="hybridMultilevel"/>
    <w:tmpl w:val="4A8E7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082BB5"/>
    <w:multiLevelType w:val="hybridMultilevel"/>
    <w:tmpl w:val="1DB60E4E"/>
    <w:lvl w:ilvl="0" w:tplc="DC0A2D9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46556F"/>
    <w:multiLevelType w:val="hybridMultilevel"/>
    <w:tmpl w:val="A2D42D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600BE5"/>
    <w:multiLevelType w:val="hybridMultilevel"/>
    <w:tmpl w:val="D17C0B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983329F"/>
    <w:multiLevelType w:val="hybridMultilevel"/>
    <w:tmpl w:val="D8920304"/>
    <w:lvl w:ilvl="0" w:tplc="9502DFF8">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6">
    <w:nsid w:val="2AB76A86"/>
    <w:multiLevelType w:val="hybridMultilevel"/>
    <w:tmpl w:val="79A88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8C50DE"/>
    <w:multiLevelType w:val="hybridMultilevel"/>
    <w:tmpl w:val="0952D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3201DB"/>
    <w:multiLevelType w:val="hybridMultilevel"/>
    <w:tmpl w:val="A69AD5B8"/>
    <w:lvl w:ilvl="0" w:tplc="2AFA44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6AB5944"/>
    <w:multiLevelType w:val="hybridMultilevel"/>
    <w:tmpl w:val="FD4AB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5007946"/>
    <w:multiLevelType w:val="hybridMultilevel"/>
    <w:tmpl w:val="B95EBC46"/>
    <w:lvl w:ilvl="0" w:tplc="9F68D158">
      <w:start w:val="1"/>
      <w:numFmt w:val="decimal"/>
      <w:lvlText w:val="%1."/>
      <w:lvlJc w:val="left"/>
      <w:pPr>
        <w:ind w:left="810" w:hanging="360"/>
      </w:pPr>
      <w:rPr>
        <w:rFonts w:ascii="Times New Roman" w:hAnsi="Times New Roman" w:hint="default"/>
        <w:color w:val="auto"/>
        <w:sz w:val="16"/>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nsid w:val="6676011D"/>
    <w:multiLevelType w:val="hybridMultilevel"/>
    <w:tmpl w:val="D17C0B2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B892A79"/>
    <w:multiLevelType w:val="hybridMultilevel"/>
    <w:tmpl w:val="E3560034"/>
    <w:lvl w:ilvl="0" w:tplc="8280F9EE">
      <w:start w:val="1"/>
      <w:numFmt w:val="lowerRoman"/>
      <w:lvlText w:val="%1-"/>
      <w:lvlJc w:val="left"/>
      <w:pPr>
        <w:ind w:left="983" w:hanging="72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3">
    <w:nsid w:val="73584A0D"/>
    <w:multiLevelType w:val="hybridMultilevel"/>
    <w:tmpl w:val="ACF25D80"/>
    <w:lvl w:ilvl="0" w:tplc="E4A29D3C">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4">
    <w:nsid w:val="7EB41824"/>
    <w:multiLevelType w:val="hybridMultilevel"/>
    <w:tmpl w:val="8DF69B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
  </w:num>
  <w:num w:numId="3">
    <w:abstractNumId w:val="3"/>
  </w:num>
  <w:num w:numId="4">
    <w:abstractNumId w:val="6"/>
  </w:num>
  <w:num w:numId="5">
    <w:abstractNumId w:val="14"/>
  </w:num>
  <w:num w:numId="6">
    <w:abstractNumId w:val="13"/>
  </w:num>
  <w:num w:numId="7">
    <w:abstractNumId w:val="8"/>
  </w:num>
  <w:num w:numId="8">
    <w:abstractNumId w:val="10"/>
  </w:num>
  <w:num w:numId="9">
    <w:abstractNumId w:val="5"/>
  </w:num>
  <w:num w:numId="10">
    <w:abstractNumId w:val="1"/>
  </w:num>
  <w:num w:numId="11">
    <w:abstractNumId w:val="7"/>
  </w:num>
  <w:num w:numId="12">
    <w:abstractNumId w:val="4"/>
  </w:num>
  <w:num w:numId="13">
    <w:abstractNumId w:val="12"/>
  </w:num>
  <w:num w:numId="14">
    <w:abstractNumId w:val="0"/>
  </w:num>
  <w:num w:numId="15">
    <w:abstractNumId w:val="1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8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B2EB3"/>
    <w:rsid w:val="00000540"/>
    <w:rsid w:val="0000065A"/>
    <w:rsid w:val="00000677"/>
    <w:rsid w:val="00000778"/>
    <w:rsid w:val="00000AAD"/>
    <w:rsid w:val="00000BFB"/>
    <w:rsid w:val="00000DB0"/>
    <w:rsid w:val="00000DEC"/>
    <w:rsid w:val="00000F18"/>
    <w:rsid w:val="0000107A"/>
    <w:rsid w:val="000010D1"/>
    <w:rsid w:val="000016E4"/>
    <w:rsid w:val="00001CA1"/>
    <w:rsid w:val="00002162"/>
    <w:rsid w:val="0000246F"/>
    <w:rsid w:val="0000275E"/>
    <w:rsid w:val="00003723"/>
    <w:rsid w:val="00003FF2"/>
    <w:rsid w:val="000040B7"/>
    <w:rsid w:val="00004127"/>
    <w:rsid w:val="00004150"/>
    <w:rsid w:val="00004267"/>
    <w:rsid w:val="0000446C"/>
    <w:rsid w:val="00005662"/>
    <w:rsid w:val="0000577F"/>
    <w:rsid w:val="000059C9"/>
    <w:rsid w:val="00005CB5"/>
    <w:rsid w:val="00006357"/>
    <w:rsid w:val="00006992"/>
    <w:rsid w:val="00006A70"/>
    <w:rsid w:val="000074DB"/>
    <w:rsid w:val="000075BB"/>
    <w:rsid w:val="00007821"/>
    <w:rsid w:val="00007F6F"/>
    <w:rsid w:val="000103AD"/>
    <w:rsid w:val="00010744"/>
    <w:rsid w:val="000108A4"/>
    <w:rsid w:val="00010922"/>
    <w:rsid w:val="00010B6F"/>
    <w:rsid w:val="00010B7F"/>
    <w:rsid w:val="00010CDA"/>
    <w:rsid w:val="00010D99"/>
    <w:rsid w:val="00010E69"/>
    <w:rsid w:val="000110BA"/>
    <w:rsid w:val="0001129C"/>
    <w:rsid w:val="000116DC"/>
    <w:rsid w:val="0001195B"/>
    <w:rsid w:val="00011C73"/>
    <w:rsid w:val="00011ECC"/>
    <w:rsid w:val="00011F2C"/>
    <w:rsid w:val="0001242D"/>
    <w:rsid w:val="00012762"/>
    <w:rsid w:val="000128FA"/>
    <w:rsid w:val="00012ADC"/>
    <w:rsid w:val="00012B38"/>
    <w:rsid w:val="00012CE2"/>
    <w:rsid w:val="000131F4"/>
    <w:rsid w:val="000132FA"/>
    <w:rsid w:val="000134F4"/>
    <w:rsid w:val="000140DD"/>
    <w:rsid w:val="00014684"/>
    <w:rsid w:val="000147BB"/>
    <w:rsid w:val="00015243"/>
    <w:rsid w:val="00015B89"/>
    <w:rsid w:val="00016575"/>
    <w:rsid w:val="000165E3"/>
    <w:rsid w:val="00016734"/>
    <w:rsid w:val="00016888"/>
    <w:rsid w:val="00016A8D"/>
    <w:rsid w:val="0001702F"/>
    <w:rsid w:val="00017588"/>
    <w:rsid w:val="000176B6"/>
    <w:rsid w:val="000205FD"/>
    <w:rsid w:val="00020DC4"/>
    <w:rsid w:val="00020FCE"/>
    <w:rsid w:val="0002130E"/>
    <w:rsid w:val="00021ABA"/>
    <w:rsid w:val="00021C34"/>
    <w:rsid w:val="0002218D"/>
    <w:rsid w:val="00022D21"/>
    <w:rsid w:val="0002317E"/>
    <w:rsid w:val="00023204"/>
    <w:rsid w:val="0002395A"/>
    <w:rsid w:val="00023C74"/>
    <w:rsid w:val="00023EC9"/>
    <w:rsid w:val="00023FA2"/>
    <w:rsid w:val="00024790"/>
    <w:rsid w:val="000249D8"/>
    <w:rsid w:val="00024D85"/>
    <w:rsid w:val="00024E7B"/>
    <w:rsid w:val="00024FC9"/>
    <w:rsid w:val="000250A4"/>
    <w:rsid w:val="00025915"/>
    <w:rsid w:val="00026B74"/>
    <w:rsid w:val="00026CDC"/>
    <w:rsid w:val="00026F19"/>
    <w:rsid w:val="0002709E"/>
    <w:rsid w:val="0002712E"/>
    <w:rsid w:val="00027507"/>
    <w:rsid w:val="00027C5E"/>
    <w:rsid w:val="00027F8F"/>
    <w:rsid w:val="00030543"/>
    <w:rsid w:val="00030F2A"/>
    <w:rsid w:val="000313F3"/>
    <w:rsid w:val="00031CB9"/>
    <w:rsid w:val="00031F0F"/>
    <w:rsid w:val="00032117"/>
    <w:rsid w:val="00032908"/>
    <w:rsid w:val="0003307D"/>
    <w:rsid w:val="000332C5"/>
    <w:rsid w:val="00033355"/>
    <w:rsid w:val="00033AB3"/>
    <w:rsid w:val="00033CBD"/>
    <w:rsid w:val="000345AE"/>
    <w:rsid w:val="0003471F"/>
    <w:rsid w:val="000348DA"/>
    <w:rsid w:val="0003492B"/>
    <w:rsid w:val="000356F1"/>
    <w:rsid w:val="0003596A"/>
    <w:rsid w:val="00035B0A"/>
    <w:rsid w:val="0003601C"/>
    <w:rsid w:val="00036061"/>
    <w:rsid w:val="00036A0F"/>
    <w:rsid w:val="00036C8A"/>
    <w:rsid w:val="00036FFE"/>
    <w:rsid w:val="0003720C"/>
    <w:rsid w:val="000373C2"/>
    <w:rsid w:val="00037ADD"/>
    <w:rsid w:val="00037F3D"/>
    <w:rsid w:val="00040159"/>
    <w:rsid w:val="0004043E"/>
    <w:rsid w:val="00040703"/>
    <w:rsid w:val="00040A33"/>
    <w:rsid w:val="00041104"/>
    <w:rsid w:val="00041D42"/>
    <w:rsid w:val="00041DA2"/>
    <w:rsid w:val="0004205B"/>
    <w:rsid w:val="00042325"/>
    <w:rsid w:val="00042366"/>
    <w:rsid w:val="0004269E"/>
    <w:rsid w:val="00042B5A"/>
    <w:rsid w:val="00042F21"/>
    <w:rsid w:val="000431E6"/>
    <w:rsid w:val="00043423"/>
    <w:rsid w:val="000434F7"/>
    <w:rsid w:val="0004377D"/>
    <w:rsid w:val="00044052"/>
    <w:rsid w:val="000440D5"/>
    <w:rsid w:val="00044209"/>
    <w:rsid w:val="0004438A"/>
    <w:rsid w:val="00044CA8"/>
    <w:rsid w:val="00044F63"/>
    <w:rsid w:val="0004555B"/>
    <w:rsid w:val="00045A09"/>
    <w:rsid w:val="00046196"/>
    <w:rsid w:val="000465D4"/>
    <w:rsid w:val="00046C7E"/>
    <w:rsid w:val="00046E46"/>
    <w:rsid w:val="00046E5D"/>
    <w:rsid w:val="00046FD7"/>
    <w:rsid w:val="000476B1"/>
    <w:rsid w:val="000479D6"/>
    <w:rsid w:val="00047D84"/>
    <w:rsid w:val="00047F31"/>
    <w:rsid w:val="00050376"/>
    <w:rsid w:val="00050A7F"/>
    <w:rsid w:val="00050DD4"/>
    <w:rsid w:val="000511EF"/>
    <w:rsid w:val="00051250"/>
    <w:rsid w:val="00051491"/>
    <w:rsid w:val="0005195A"/>
    <w:rsid w:val="00051A81"/>
    <w:rsid w:val="00051B13"/>
    <w:rsid w:val="00051B21"/>
    <w:rsid w:val="00051E1D"/>
    <w:rsid w:val="00051E85"/>
    <w:rsid w:val="00052158"/>
    <w:rsid w:val="000524BF"/>
    <w:rsid w:val="000526D9"/>
    <w:rsid w:val="00052B28"/>
    <w:rsid w:val="00052ECD"/>
    <w:rsid w:val="0005303D"/>
    <w:rsid w:val="0005311C"/>
    <w:rsid w:val="0005319E"/>
    <w:rsid w:val="00053403"/>
    <w:rsid w:val="000536CC"/>
    <w:rsid w:val="0005375B"/>
    <w:rsid w:val="0005388F"/>
    <w:rsid w:val="00053C18"/>
    <w:rsid w:val="00053ED6"/>
    <w:rsid w:val="00054F97"/>
    <w:rsid w:val="000550F7"/>
    <w:rsid w:val="00056037"/>
    <w:rsid w:val="00056713"/>
    <w:rsid w:val="000568A4"/>
    <w:rsid w:val="000570B2"/>
    <w:rsid w:val="000576D6"/>
    <w:rsid w:val="000577CE"/>
    <w:rsid w:val="000578A2"/>
    <w:rsid w:val="00057A3C"/>
    <w:rsid w:val="00057AD4"/>
    <w:rsid w:val="00057BE5"/>
    <w:rsid w:val="00057ED8"/>
    <w:rsid w:val="00060942"/>
    <w:rsid w:val="00060E30"/>
    <w:rsid w:val="000616FA"/>
    <w:rsid w:val="000617E2"/>
    <w:rsid w:val="00062366"/>
    <w:rsid w:val="00062658"/>
    <w:rsid w:val="000630E5"/>
    <w:rsid w:val="0006391B"/>
    <w:rsid w:val="00063D35"/>
    <w:rsid w:val="00064305"/>
    <w:rsid w:val="000643D7"/>
    <w:rsid w:val="00064690"/>
    <w:rsid w:val="00065128"/>
    <w:rsid w:val="00065481"/>
    <w:rsid w:val="000656DE"/>
    <w:rsid w:val="00065948"/>
    <w:rsid w:val="000659FC"/>
    <w:rsid w:val="00065ABD"/>
    <w:rsid w:val="00066718"/>
    <w:rsid w:val="00066B90"/>
    <w:rsid w:val="000670B4"/>
    <w:rsid w:val="00067122"/>
    <w:rsid w:val="000674CD"/>
    <w:rsid w:val="000678EE"/>
    <w:rsid w:val="0006799D"/>
    <w:rsid w:val="00067ECD"/>
    <w:rsid w:val="00067F85"/>
    <w:rsid w:val="00070001"/>
    <w:rsid w:val="00070106"/>
    <w:rsid w:val="00071241"/>
    <w:rsid w:val="0007152A"/>
    <w:rsid w:val="000716AF"/>
    <w:rsid w:val="000719AC"/>
    <w:rsid w:val="00071DAB"/>
    <w:rsid w:val="00071EA5"/>
    <w:rsid w:val="00071EAE"/>
    <w:rsid w:val="000725B2"/>
    <w:rsid w:val="00073B50"/>
    <w:rsid w:val="00073EEA"/>
    <w:rsid w:val="0007433E"/>
    <w:rsid w:val="00074580"/>
    <w:rsid w:val="00074758"/>
    <w:rsid w:val="00074E65"/>
    <w:rsid w:val="000750B8"/>
    <w:rsid w:val="000756CB"/>
    <w:rsid w:val="000757F0"/>
    <w:rsid w:val="00075A46"/>
    <w:rsid w:val="00075C34"/>
    <w:rsid w:val="00075EEA"/>
    <w:rsid w:val="0007600B"/>
    <w:rsid w:val="00076586"/>
    <w:rsid w:val="00076888"/>
    <w:rsid w:val="00076AB9"/>
    <w:rsid w:val="00076B70"/>
    <w:rsid w:val="00077149"/>
    <w:rsid w:val="00077172"/>
    <w:rsid w:val="00077CDC"/>
    <w:rsid w:val="000800F9"/>
    <w:rsid w:val="0008011B"/>
    <w:rsid w:val="00080533"/>
    <w:rsid w:val="00080B5B"/>
    <w:rsid w:val="00080D14"/>
    <w:rsid w:val="00080DC3"/>
    <w:rsid w:val="00081056"/>
    <w:rsid w:val="00081080"/>
    <w:rsid w:val="00081084"/>
    <w:rsid w:val="000810CD"/>
    <w:rsid w:val="000818DA"/>
    <w:rsid w:val="000819A1"/>
    <w:rsid w:val="00081FAC"/>
    <w:rsid w:val="0008208F"/>
    <w:rsid w:val="0008241C"/>
    <w:rsid w:val="00082466"/>
    <w:rsid w:val="00082766"/>
    <w:rsid w:val="00082D9E"/>
    <w:rsid w:val="00082E20"/>
    <w:rsid w:val="00084AA2"/>
    <w:rsid w:val="0008575F"/>
    <w:rsid w:val="00085F6A"/>
    <w:rsid w:val="00085FCD"/>
    <w:rsid w:val="000861E6"/>
    <w:rsid w:val="000862D3"/>
    <w:rsid w:val="00086748"/>
    <w:rsid w:val="00086C04"/>
    <w:rsid w:val="00086D4E"/>
    <w:rsid w:val="00087FA5"/>
    <w:rsid w:val="0009066B"/>
    <w:rsid w:val="00090CF6"/>
    <w:rsid w:val="00090F15"/>
    <w:rsid w:val="00091693"/>
    <w:rsid w:val="0009195C"/>
    <w:rsid w:val="00091AA8"/>
    <w:rsid w:val="00091D4F"/>
    <w:rsid w:val="00091E52"/>
    <w:rsid w:val="000920A4"/>
    <w:rsid w:val="000920FE"/>
    <w:rsid w:val="0009233A"/>
    <w:rsid w:val="000925C2"/>
    <w:rsid w:val="00092727"/>
    <w:rsid w:val="000928F2"/>
    <w:rsid w:val="000929C7"/>
    <w:rsid w:val="00092BE4"/>
    <w:rsid w:val="00092ED8"/>
    <w:rsid w:val="000940FF"/>
    <w:rsid w:val="000941BF"/>
    <w:rsid w:val="000948BA"/>
    <w:rsid w:val="0009491A"/>
    <w:rsid w:val="00094B52"/>
    <w:rsid w:val="00094F49"/>
    <w:rsid w:val="00094F9D"/>
    <w:rsid w:val="0009557D"/>
    <w:rsid w:val="00096457"/>
    <w:rsid w:val="00097121"/>
    <w:rsid w:val="000974A4"/>
    <w:rsid w:val="00097522"/>
    <w:rsid w:val="00097894"/>
    <w:rsid w:val="00097AF2"/>
    <w:rsid w:val="00097C79"/>
    <w:rsid w:val="00097FF8"/>
    <w:rsid w:val="000A01C8"/>
    <w:rsid w:val="000A0219"/>
    <w:rsid w:val="000A0425"/>
    <w:rsid w:val="000A0942"/>
    <w:rsid w:val="000A114A"/>
    <w:rsid w:val="000A1370"/>
    <w:rsid w:val="000A15A1"/>
    <w:rsid w:val="000A1ABF"/>
    <w:rsid w:val="000A2410"/>
    <w:rsid w:val="000A2459"/>
    <w:rsid w:val="000A27D7"/>
    <w:rsid w:val="000A2B36"/>
    <w:rsid w:val="000A2FC1"/>
    <w:rsid w:val="000A3261"/>
    <w:rsid w:val="000A3644"/>
    <w:rsid w:val="000A36B4"/>
    <w:rsid w:val="000A38B0"/>
    <w:rsid w:val="000A3DF6"/>
    <w:rsid w:val="000A4093"/>
    <w:rsid w:val="000A40B6"/>
    <w:rsid w:val="000A48CC"/>
    <w:rsid w:val="000A4A45"/>
    <w:rsid w:val="000A4B38"/>
    <w:rsid w:val="000A4BB3"/>
    <w:rsid w:val="000A4BB4"/>
    <w:rsid w:val="000A55B7"/>
    <w:rsid w:val="000A5CDF"/>
    <w:rsid w:val="000A675C"/>
    <w:rsid w:val="000A679B"/>
    <w:rsid w:val="000A715A"/>
    <w:rsid w:val="000A7659"/>
    <w:rsid w:val="000A775E"/>
    <w:rsid w:val="000A7D01"/>
    <w:rsid w:val="000B0604"/>
    <w:rsid w:val="000B08F3"/>
    <w:rsid w:val="000B09B7"/>
    <w:rsid w:val="000B0C19"/>
    <w:rsid w:val="000B0D63"/>
    <w:rsid w:val="000B10BB"/>
    <w:rsid w:val="000B16E6"/>
    <w:rsid w:val="000B21E2"/>
    <w:rsid w:val="000B22CE"/>
    <w:rsid w:val="000B2418"/>
    <w:rsid w:val="000B24E7"/>
    <w:rsid w:val="000B264A"/>
    <w:rsid w:val="000B2F44"/>
    <w:rsid w:val="000B351F"/>
    <w:rsid w:val="000B358E"/>
    <w:rsid w:val="000B3674"/>
    <w:rsid w:val="000B3806"/>
    <w:rsid w:val="000B395A"/>
    <w:rsid w:val="000B3C21"/>
    <w:rsid w:val="000B3C9F"/>
    <w:rsid w:val="000B56D1"/>
    <w:rsid w:val="000B5B93"/>
    <w:rsid w:val="000B5EC3"/>
    <w:rsid w:val="000B61C3"/>
    <w:rsid w:val="000B7381"/>
    <w:rsid w:val="000B79A4"/>
    <w:rsid w:val="000B7EE5"/>
    <w:rsid w:val="000C0289"/>
    <w:rsid w:val="000C09F2"/>
    <w:rsid w:val="000C0A70"/>
    <w:rsid w:val="000C0BF6"/>
    <w:rsid w:val="000C14CC"/>
    <w:rsid w:val="000C1D6D"/>
    <w:rsid w:val="000C22D3"/>
    <w:rsid w:val="000C2657"/>
    <w:rsid w:val="000C26E0"/>
    <w:rsid w:val="000C2819"/>
    <w:rsid w:val="000C2A3E"/>
    <w:rsid w:val="000C3067"/>
    <w:rsid w:val="000C3431"/>
    <w:rsid w:val="000C3737"/>
    <w:rsid w:val="000C3A2C"/>
    <w:rsid w:val="000C3AFE"/>
    <w:rsid w:val="000C3F5D"/>
    <w:rsid w:val="000C44D0"/>
    <w:rsid w:val="000C49E5"/>
    <w:rsid w:val="000C4E7A"/>
    <w:rsid w:val="000C4FEF"/>
    <w:rsid w:val="000C5555"/>
    <w:rsid w:val="000C6115"/>
    <w:rsid w:val="000C648D"/>
    <w:rsid w:val="000C64B9"/>
    <w:rsid w:val="000C67AA"/>
    <w:rsid w:val="000C7365"/>
    <w:rsid w:val="000C77CB"/>
    <w:rsid w:val="000D03F8"/>
    <w:rsid w:val="000D0568"/>
    <w:rsid w:val="000D113B"/>
    <w:rsid w:val="000D2042"/>
    <w:rsid w:val="000D268D"/>
    <w:rsid w:val="000D28E3"/>
    <w:rsid w:val="000D3041"/>
    <w:rsid w:val="000D3236"/>
    <w:rsid w:val="000D3364"/>
    <w:rsid w:val="000D38C6"/>
    <w:rsid w:val="000D3B28"/>
    <w:rsid w:val="000D40E6"/>
    <w:rsid w:val="000D461A"/>
    <w:rsid w:val="000D4974"/>
    <w:rsid w:val="000D4C61"/>
    <w:rsid w:val="000D4EF5"/>
    <w:rsid w:val="000D5594"/>
    <w:rsid w:val="000D5A5A"/>
    <w:rsid w:val="000D5F55"/>
    <w:rsid w:val="000D5F8D"/>
    <w:rsid w:val="000D6024"/>
    <w:rsid w:val="000D64E2"/>
    <w:rsid w:val="000D65D5"/>
    <w:rsid w:val="000D66B8"/>
    <w:rsid w:val="000D77EB"/>
    <w:rsid w:val="000D79DB"/>
    <w:rsid w:val="000D7A2B"/>
    <w:rsid w:val="000D7DAF"/>
    <w:rsid w:val="000E0278"/>
    <w:rsid w:val="000E03B0"/>
    <w:rsid w:val="000E0CE5"/>
    <w:rsid w:val="000E132B"/>
    <w:rsid w:val="000E1720"/>
    <w:rsid w:val="000E1E84"/>
    <w:rsid w:val="000E2005"/>
    <w:rsid w:val="000E2B27"/>
    <w:rsid w:val="000E2E70"/>
    <w:rsid w:val="000E2FA5"/>
    <w:rsid w:val="000E40F6"/>
    <w:rsid w:val="000E41CA"/>
    <w:rsid w:val="000E46DE"/>
    <w:rsid w:val="000E4A83"/>
    <w:rsid w:val="000E5288"/>
    <w:rsid w:val="000E52AB"/>
    <w:rsid w:val="000E53B3"/>
    <w:rsid w:val="000E5B39"/>
    <w:rsid w:val="000E5C50"/>
    <w:rsid w:val="000E660C"/>
    <w:rsid w:val="000E66A9"/>
    <w:rsid w:val="000E673F"/>
    <w:rsid w:val="000E6EE8"/>
    <w:rsid w:val="000E71EC"/>
    <w:rsid w:val="000E7336"/>
    <w:rsid w:val="000E7852"/>
    <w:rsid w:val="000E7A28"/>
    <w:rsid w:val="000F020B"/>
    <w:rsid w:val="000F0657"/>
    <w:rsid w:val="000F145B"/>
    <w:rsid w:val="000F1873"/>
    <w:rsid w:val="000F1CD1"/>
    <w:rsid w:val="000F2B87"/>
    <w:rsid w:val="000F2E54"/>
    <w:rsid w:val="000F35FD"/>
    <w:rsid w:val="000F3705"/>
    <w:rsid w:val="000F37A0"/>
    <w:rsid w:val="000F4000"/>
    <w:rsid w:val="000F4C58"/>
    <w:rsid w:val="000F5151"/>
    <w:rsid w:val="000F5710"/>
    <w:rsid w:val="000F5A23"/>
    <w:rsid w:val="000F5C36"/>
    <w:rsid w:val="000F602E"/>
    <w:rsid w:val="000F603B"/>
    <w:rsid w:val="000F6A71"/>
    <w:rsid w:val="000F6ADF"/>
    <w:rsid w:val="000F74C8"/>
    <w:rsid w:val="000F7716"/>
    <w:rsid w:val="000F7814"/>
    <w:rsid w:val="000F78CB"/>
    <w:rsid w:val="000F7C9C"/>
    <w:rsid w:val="000F7E10"/>
    <w:rsid w:val="000F7F50"/>
    <w:rsid w:val="0010011F"/>
    <w:rsid w:val="00100C32"/>
    <w:rsid w:val="00100C45"/>
    <w:rsid w:val="00100CC5"/>
    <w:rsid w:val="00100D40"/>
    <w:rsid w:val="00100FD7"/>
    <w:rsid w:val="0010125C"/>
    <w:rsid w:val="001013DF"/>
    <w:rsid w:val="001015A0"/>
    <w:rsid w:val="00101684"/>
    <w:rsid w:val="001017E7"/>
    <w:rsid w:val="0010196A"/>
    <w:rsid w:val="001019F0"/>
    <w:rsid w:val="00101BBA"/>
    <w:rsid w:val="00101D3E"/>
    <w:rsid w:val="00101D96"/>
    <w:rsid w:val="0010226C"/>
    <w:rsid w:val="00102522"/>
    <w:rsid w:val="00103789"/>
    <w:rsid w:val="0010394F"/>
    <w:rsid w:val="00103D5E"/>
    <w:rsid w:val="001044EA"/>
    <w:rsid w:val="001049A1"/>
    <w:rsid w:val="00104CFA"/>
    <w:rsid w:val="001050CE"/>
    <w:rsid w:val="0010589E"/>
    <w:rsid w:val="00105E14"/>
    <w:rsid w:val="00105F3D"/>
    <w:rsid w:val="00106146"/>
    <w:rsid w:val="001062E5"/>
    <w:rsid w:val="00106B7C"/>
    <w:rsid w:val="00107CF7"/>
    <w:rsid w:val="0011013C"/>
    <w:rsid w:val="00110274"/>
    <w:rsid w:val="00110309"/>
    <w:rsid w:val="001103F4"/>
    <w:rsid w:val="001109D8"/>
    <w:rsid w:val="00110AAE"/>
    <w:rsid w:val="001116AA"/>
    <w:rsid w:val="00111C69"/>
    <w:rsid w:val="00111D98"/>
    <w:rsid w:val="00112271"/>
    <w:rsid w:val="00112647"/>
    <w:rsid w:val="00112705"/>
    <w:rsid w:val="0011314D"/>
    <w:rsid w:val="0011330C"/>
    <w:rsid w:val="001133B3"/>
    <w:rsid w:val="0011359E"/>
    <w:rsid w:val="0011391B"/>
    <w:rsid w:val="00113A88"/>
    <w:rsid w:val="00114916"/>
    <w:rsid w:val="00114997"/>
    <w:rsid w:val="00114E31"/>
    <w:rsid w:val="00114EFF"/>
    <w:rsid w:val="00114F07"/>
    <w:rsid w:val="001152AA"/>
    <w:rsid w:val="0011556E"/>
    <w:rsid w:val="00115973"/>
    <w:rsid w:val="00115C95"/>
    <w:rsid w:val="00115D30"/>
    <w:rsid w:val="00115D62"/>
    <w:rsid w:val="001160B1"/>
    <w:rsid w:val="00116986"/>
    <w:rsid w:val="00116E6E"/>
    <w:rsid w:val="001170BA"/>
    <w:rsid w:val="001171D7"/>
    <w:rsid w:val="00117668"/>
    <w:rsid w:val="00117F92"/>
    <w:rsid w:val="00120062"/>
    <w:rsid w:val="00120555"/>
    <w:rsid w:val="0012118F"/>
    <w:rsid w:val="001217BA"/>
    <w:rsid w:val="00121FD3"/>
    <w:rsid w:val="001224AE"/>
    <w:rsid w:val="001224F3"/>
    <w:rsid w:val="001228EF"/>
    <w:rsid w:val="00122E08"/>
    <w:rsid w:val="00122FED"/>
    <w:rsid w:val="001231CA"/>
    <w:rsid w:val="00123BE1"/>
    <w:rsid w:val="00123FB6"/>
    <w:rsid w:val="0012424A"/>
    <w:rsid w:val="0012436F"/>
    <w:rsid w:val="00124A9D"/>
    <w:rsid w:val="00124CFF"/>
    <w:rsid w:val="0012585F"/>
    <w:rsid w:val="00126295"/>
    <w:rsid w:val="001269D9"/>
    <w:rsid w:val="00126AF9"/>
    <w:rsid w:val="00126E82"/>
    <w:rsid w:val="00127276"/>
    <w:rsid w:val="001275FD"/>
    <w:rsid w:val="00127906"/>
    <w:rsid w:val="00127A3F"/>
    <w:rsid w:val="00127C9F"/>
    <w:rsid w:val="001300D3"/>
    <w:rsid w:val="001303DF"/>
    <w:rsid w:val="001303E4"/>
    <w:rsid w:val="00130447"/>
    <w:rsid w:val="00130B3A"/>
    <w:rsid w:val="00130DDD"/>
    <w:rsid w:val="001311E1"/>
    <w:rsid w:val="00131242"/>
    <w:rsid w:val="00131336"/>
    <w:rsid w:val="001314A4"/>
    <w:rsid w:val="00131715"/>
    <w:rsid w:val="00131DEC"/>
    <w:rsid w:val="00132E34"/>
    <w:rsid w:val="0013308F"/>
    <w:rsid w:val="001333F6"/>
    <w:rsid w:val="001334A9"/>
    <w:rsid w:val="001335DF"/>
    <w:rsid w:val="00133637"/>
    <w:rsid w:val="0013380A"/>
    <w:rsid w:val="00133A2B"/>
    <w:rsid w:val="00134736"/>
    <w:rsid w:val="00134B42"/>
    <w:rsid w:val="0013561F"/>
    <w:rsid w:val="001364E1"/>
    <w:rsid w:val="00136A24"/>
    <w:rsid w:val="001371EC"/>
    <w:rsid w:val="0013725F"/>
    <w:rsid w:val="00137680"/>
    <w:rsid w:val="00137A0D"/>
    <w:rsid w:val="00137D12"/>
    <w:rsid w:val="00137F4B"/>
    <w:rsid w:val="00140153"/>
    <w:rsid w:val="00140AE3"/>
    <w:rsid w:val="00140BD7"/>
    <w:rsid w:val="001413AB"/>
    <w:rsid w:val="0014179F"/>
    <w:rsid w:val="00141A87"/>
    <w:rsid w:val="00141FBC"/>
    <w:rsid w:val="001425B5"/>
    <w:rsid w:val="00142702"/>
    <w:rsid w:val="00142A8F"/>
    <w:rsid w:val="00142DDD"/>
    <w:rsid w:val="00143008"/>
    <w:rsid w:val="001431D7"/>
    <w:rsid w:val="00143B58"/>
    <w:rsid w:val="00143FD3"/>
    <w:rsid w:val="001441B3"/>
    <w:rsid w:val="00144233"/>
    <w:rsid w:val="001442EC"/>
    <w:rsid w:val="00144979"/>
    <w:rsid w:val="001449B2"/>
    <w:rsid w:val="001449DA"/>
    <w:rsid w:val="00145238"/>
    <w:rsid w:val="001454D3"/>
    <w:rsid w:val="00145683"/>
    <w:rsid w:val="0014580F"/>
    <w:rsid w:val="001465C1"/>
    <w:rsid w:val="001467B8"/>
    <w:rsid w:val="001469FF"/>
    <w:rsid w:val="00146C32"/>
    <w:rsid w:val="00146D5B"/>
    <w:rsid w:val="00146D74"/>
    <w:rsid w:val="001470F6"/>
    <w:rsid w:val="00147AD5"/>
    <w:rsid w:val="00147D97"/>
    <w:rsid w:val="00147F6D"/>
    <w:rsid w:val="001502E4"/>
    <w:rsid w:val="00150760"/>
    <w:rsid w:val="00150C8D"/>
    <w:rsid w:val="001511BF"/>
    <w:rsid w:val="0015150B"/>
    <w:rsid w:val="001519C4"/>
    <w:rsid w:val="00151FE4"/>
    <w:rsid w:val="0015207D"/>
    <w:rsid w:val="00152D0F"/>
    <w:rsid w:val="001531D1"/>
    <w:rsid w:val="0015376B"/>
    <w:rsid w:val="00153AE8"/>
    <w:rsid w:val="00153C0E"/>
    <w:rsid w:val="00153FD4"/>
    <w:rsid w:val="00154841"/>
    <w:rsid w:val="001548C2"/>
    <w:rsid w:val="001549C0"/>
    <w:rsid w:val="00155483"/>
    <w:rsid w:val="0015561D"/>
    <w:rsid w:val="00155975"/>
    <w:rsid w:val="00155A6C"/>
    <w:rsid w:val="0015672D"/>
    <w:rsid w:val="00156D60"/>
    <w:rsid w:val="00156FB7"/>
    <w:rsid w:val="00157C6D"/>
    <w:rsid w:val="0016043A"/>
    <w:rsid w:val="00160A2C"/>
    <w:rsid w:val="00160ED3"/>
    <w:rsid w:val="00160F34"/>
    <w:rsid w:val="00161325"/>
    <w:rsid w:val="00161447"/>
    <w:rsid w:val="00161900"/>
    <w:rsid w:val="00161B69"/>
    <w:rsid w:val="00161E34"/>
    <w:rsid w:val="0016325F"/>
    <w:rsid w:val="00164035"/>
    <w:rsid w:val="001654DB"/>
    <w:rsid w:val="0016554A"/>
    <w:rsid w:val="00165850"/>
    <w:rsid w:val="001658D3"/>
    <w:rsid w:val="00165A88"/>
    <w:rsid w:val="00165BA8"/>
    <w:rsid w:val="00165E96"/>
    <w:rsid w:val="00166E9D"/>
    <w:rsid w:val="0016741C"/>
    <w:rsid w:val="00167F25"/>
    <w:rsid w:val="00167F5B"/>
    <w:rsid w:val="001701D3"/>
    <w:rsid w:val="001703C4"/>
    <w:rsid w:val="00170E26"/>
    <w:rsid w:val="00171068"/>
    <w:rsid w:val="0017125D"/>
    <w:rsid w:val="00171283"/>
    <w:rsid w:val="00171818"/>
    <w:rsid w:val="00171B67"/>
    <w:rsid w:val="00171C14"/>
    <w:rsid w:val="00171C40"/>
    <w:rsid w:val="001723FB"/>
    <w:rsid w:val="0017249B"/>
    <w:rsid w:val="00172646"/>
    <w:rsid w:val="0017268D"/>
    <w:rsid w:val="001727A7"/>
    <w:rsid w:val="0017291C"/>
    <w:rsid w:val="00172CCD"/>
    <w:rsid w:val="00173011"/>
    <w:rsid w:val="001734D6"/>
    <w:rsid w:val="0017395E"/>
    <w:rsid w:val="00173C2D"/>
    <w:rsid w:val="00173E8F"/>
    <w:rsid w:val="0017400E"/>
    <w:rsid w:val="001740B7"/>
    <w:rsid w:val="001742B1"/>
    <w:rsid w:val="001742F1"/>
    <w:rsid w:val="00174BAB"/>
    <w:rsid w:val="00174C58"/>
    <w:rsid w:val="00175156"/>
    <w:rsid w:val="001756F9"/>
    <w:rsid w:val="00175BF6"/>
    <w:rsid w:val="00175E73"/>
    <w:rsid w:val="00175F95"/>
    <w:rsid w:val="00176253"/>
    <w:rsid w:val="0017684B"/>
    <w:rsid w:val="00176935"/>
    <w:rsid w:val="00176D59"/>
    <w:rsid w:val="00176E18"/>
    <w:rsid w:val="00177078"/>
    <w:rsid w:val="001770FF"/>
    <w:rsid w:val="001776AB"/>
    <w:rsid w:val="00180242"/>
    <w:rsid w:val="00180656"/>
    <w:rsid w:val="00180F64"/>
    <w:rsid w:val="00180F89"/>
    <w:rsid w:val="00181254"/>
    <w:rsid w:val="0018182B"/>
    <w:rsid w:val="00181AF8"/>
    <w:rsid w:val="00181CAA"/>
    <w:rsid w:val="001821A1"/>
    <w:rsid w:val="00182236"/>
    <w:rsid w:val="001827DF"/>
    <w:rsid w:val="00182C22"/>
    <w:rsid w:val="00182C5E"/>
    <w:rsid w:val="00182EB9"/>
    <w:rsid w:val="00182FA4"/>
    <w:rsid w:val="00183834"/>
    <w:rsid w:val="00183AD1"/>
    <w:rsid w:val="00183ED8"/>
    <w:rsid w:val="00184600"/>
    <w:rsid w:val="00184733"/>
    <w:rsid w:val="001848E5"/>
    <w:rsid w:val="00184A72"/>
    <w:rsid w:val="0018516B"/>
    <w:rsid w:val="00185693"/>
    <w:rsid w:val="001857E7"/>
    <w:rsid w:val="00185831"/>
    <w:rsid w:val="001860FB"/>
    <w:rsid w:val="0018778B"/>
    <w:rsid w:val="00187DB4"/>
    <w:rsid w:val="001908CF"/>
    <w:rsid w:val="00190BCE"/>
    <w:rsid w:val="00191DCA"/>
    <w:rsid w:val="00192139"/>
    <w:rsid w:val="0019246B"/>
    <w:rsid w:val="00192646"/>
    <w:rsid w:val="0019275E"/>
    <w:rsid w:val="00193ADC"/>
    <w:rsid w:val="00193D5A"/>
    <w:rsid w:val="001943C9"/>
    <w:rsid w:val="001945EB"/>
    <w:rsid w:val="001953C7"/>
    <w:rsid w:val="001955E1"/>
    <w:rsid w:val="0019625A"/>
    <w:rsid w:val="001966C0"/>
    <w:rsid w:val="0019674F"/>
    <w:rsid w:val="00196A8E"/>
    <w:rsid w:val="00197002"/>
    <w:rsid w:val="00197666"/>
    <w:rsid w:val="001A054D"/>
    <w:rsid w:val="001A05EE"/>
    <w:rsid w:val="001A0B88"/>
    <w:rsid w:val="001A13EC"/>
    <w:rsid w:val="001A19A3"/>
    <w:rsid w:val="001A1F4E"/>
    <w:rsid w:val="001A1FC9"/>
    <w:rsid w:val="001A203A"/>
    <w:rsid w:val="001A2281"/>
    <w:rsid w:val="001A2284"/>
    <w:rsid w:val="001A2317"/>
    <w:rsid w:val="001A2622"/>
    <w:rsid w:val="001A26EB"/>
    <w:rsid w:val="001A2C0E"/>
    <w:rsid w:val="001A376F"/>
    <w:rsid w:val="001A3CE8"/>
    <w:rsid w:val="001A3DCA"/>
    <w:rsid w:val="001A416C"/>
    <w:rsid w:val="001A41D0"/>
    <w:rsid w:val="001A4D23"/>
    <w:rsid w:val="001A5064"/>
    <w:rsid w:val="001A56AF"/>
    <w:rsid w:val="001A58BF"/>
    <w:rsid w:val="001A69C4"/>
    <w:rsid w:val="001A6B11"/>
    <w:rsid w:val="001A6B2B"/>
    <w:rsid w:val="001A71EC"/>
    <w:rsid w:val="001A7AE3"/>
    <w:rsid w:val="001A7F47"/>
    <w:rsid w:val="001B0374"/>
    <w:rsid w:val="001B0EC9"/>
    <w:rsid w:val="001B1073"/>
    <w:rsid w:val="001B1509"/>
    <w:rsid w:val="001B179D"/>
    <w:rsid w:val="001B1ADD"/>
    <w:rsid w:val="001B20C2"/>
    <w:rsid w:val="001B21CB"/>
    <w:rsid w:val="001B2347"/>
    <w:rsid w:val="001B25C1"/>
    <w:rsid w:val="001B2736"/>
    <w:rsid w:val="001B2CAD"/>
    <w:rsid w:val="001B3050"/>
    <w:rsid w:val="001B30AD"/>
    <w:rsid w:val="001B3138"/>
    <w:rsid w:val="001B337D"/>
    <w:rsid w:val="001B33F9"/>
    <w:rsid w:val="001B3480"/>
    <w:rsid w:val="001B3A8A"/>
    <w:rsid w:val="001B3F36"/>
    <w:rsid w:val="001B43D1"/>
    <w:rsid w:val="001B43EA"/>
    <w:rsid w:val="001B4C23"/>
    <w:rsid w:val="001B4E04"/>
    <w:rsid w:val="001B550A"/>
    <w:rsid w:val="001B5739"/>
    <w:rsid w:val="001B5A05"/>
    <w:rsid w:val="001B644F"/>
    <w:rsid w:val="001B6551"/>
    <w:rsid w:val="001B6949"/>
    <w:rsid w:val="001B6E34"/>
    <w:rsid w:val="001B7359"/>
    <w:rsid w:val="001B75C1"/>
    <w:rsid w:val="001B75FD"/>
    <w:rsid w:val="001B7F9B"/>
    <w:rsid w:val="001C0ABA"/>
    <w:rsid w:val="001C0D00"/>
    <w:rsid w:val="001C0E67"/>
    <w:rsid w:val="001C1095"/>
    <w:rsid w:val="001C111C"/>
    <w:rsid w:val="001C120A"/>
    <w:rsid w:val="001C1781"/>
    <w:rsid w:val="001C1A8A"/>
    <w:rsid w:val="001C1B0C"/>
    <w:rsid w:val="001C20E2"/>
    <w:rsid w:val="001C21A1"/>
    <w:rsid w:val="001C22F8"/>
    <w:rsid w:val="001C3D99"/>
    <w:rsid w:val="001C42E9"/>
    <w:rsid w:val="001C433C"/>
    <w:rsid w:val="001C439C"/>
    <w:rsid w:val="001C444A"/>
    <w:rsid w:val="001C49A4"/>
    <w:rsid w:val="001C4CDC"/>
    <w:rsid w:val="001C53FA"/>
    <w:rsid w:val="001C5AE7"/>
    <w:rsid w:val="001C5C86"/>
    <w:rsid w:val="001C5F83"/>
    <w:rsid w:val="001C755C"/>
    <w:rsid w:val="001C75FA"/>
    <w:rsid w:val="001C7BD0"/>
    <w:rsid w:val="001D0143"/>
    <w:rsid w:val="001D01B1"/>
    <w:rsid w:val="001D0856"/>
    <w:rsid w:val="001D085A"/>
    <w:rsid w:val="001D0AA1"/>
    <w:rsid w:val="001D1D1F"/>
    <w:rsid w:val="001D2048"/>
    <w:rsid w:val="001D20B8"/>
    <w:rsid w:val="001D21F0"/>
    <w:rsid w:val="001D265A"/>
    <w:rsid w:val="001D29D1"/>
    <w:rsid w:val="001D2CA2"/>
    <w:rsid w:val="001D35AA"/>
    <w:rsid w:val="001D3622"/>
    <w:rsid w:val="001D3AD5"/>
    <w:rsid w:val="001D4055"/>
    <w:rsid w:val="001D4096"/>
    <w:rsid w:val="001D4575"/>
    <w:rsid w:val="001D47A7"/>
    <w:rsid w:val="001D4A3E"/>
    <w:rsid w:val="001D54C5"/>
    <w:rsid w:val="001D59EE"/>
    <w:rsid w:val="001D5B95"/>
    <w:rsid w:val="001D60A7"/>
    <w:rsid w:val="001D60C8"/>
    <w:rsid w:val="001D6C35"/>
    <w:rsid w:val="001D6D12"/>
    <w:rsid w:val="001D7682"/>
    <w:rsid w:val="001D7864"/>
    <w:rsid w:val="001D7BC1"/>
    <w:rsid w:val="001E0168"/>
    <w:rsid w:val="001E02CC"/>
    <w:rsid w:val="001E057A"/>
    <w:rsid w:val="001E08C6"/>
    <w:rsid w:val="001E10A0"/>
    <w:rsid w:val="001E1AA3"/>
    <w:rsid w:val="001E1BEA"/>
    <w:rsid w:val="001E1F1E"/>
    <w:rsid w:val="001E2641"/>
    <w:rsid w:val="001E2724"/>
    <w:rsid w:val="001E35BC"/>
    <w:rsid w:val="001E35F9"/>
    <w:rsid w:val="001E3944"/>
    <w:rsid w:val="001E3CCF"/>
    <w:rsid w:val="001E3D73"/>
    <w:rsid w:val="001E4117"/>
    <w:rsid w:val="001E43FD"/>
    <w:rsid w:val="001E44A9"/>
    <w:rsid w:val="001E4BA8"/>
    <w:rsid w:val="001E54B3"/>
    <w:rsid w:val="001E55DF"/>
    <w:rsid w:val="001E5C59"/>
    <w:rsid w:val="001E5C8C"/>
    <w:rsid w:val="001E5D12"/>
    <w:rsid w:val="001E636E"/>
    <w:rsid w:val="001E6A68"/>
    <w:rsid w:val="001E7587"/>
    <w:rsid w:val="001E7AF1"/>
    <w:rsid w:val="001E7DE5"/>
    <w:rsid w:val="001E7E41"/>
    <w:rsid w:val="001F000E"/>
    <w:rsid w:val="001F0481"/>
    <w:rsid w:val="001F09FB"/>
    <w:rsid w:val="001F0DF0"/>
    <w:rsid w:val="001F1910"/>
    <w:rsid w:val="001F1A2C"/>
    <w:rsid w:val="001F1DE3"/>
    <w:rsid w:val="001F1F44"/>
    <w:rsid w:val="001F1F99"/>
    <w:rsid w:val="001F26D5"/>
    <w:rsid w:val="001F2AFF"/>
    <w:rsid w:val="001F2B04"/>
    <w:rsid w:val="001F2DD6"/>
    <w:rsid w:val="001F2E25"/>
    <w:rsid w:val="001F3011"/>
    <w:rsid w:val="001F33D9"/>
    <w:rsid w:val="001F3444"/>
    <w:rsid w:val="001F35F7"/>
    <w:rsid w:val="001F38BD"/>
    <w:rsid w:val="001F3A65"/>
    <w:rsid w:val="001F3FCA"/>
    <w:rsid w:val="001F413A"/>
    <w:rsid w:val="001F4F38"/>
    <w:rsid w:val="001F5933"/>
    <w:rsid w:val="001F5B27"/>
    <w:rsid w:val="001F73F7"/>
    <w:rsid w:val="001F7656"/>
    <w:rsid w:val="001F7C5C"/>
    <w:rsid w:val="001F7CCA"/>
    <w:rsid w:val="002005E3"/>
    <w:rsid w:val="00200B07"/>
    <w:rsid w:val="00201005"/>
    <w:rsid w:val="002010AF"/>
    <w:rsid w:val="002010C0"/>
    <w:rsid w:val="00201760"/>
    <w:rsid w:val="0020197B"/>
    <w:rsid w:val="00201AC6"/>
    <w:rsid w:val="00202FF4"/>
    <w:rsid w:val="00203353"/>
    <w:rsid w:val="002033EE"/>
    <w:rsid w:val="00203450"/>
    <w:rsid w:val="00203726"/>
    <w:rsid w:val="00203B51"/>
    <w:rsid w:val="00203B80"/>
    <w:rsid w:val="00203D68"/>
    <w:rsid w:val="002040ED"/>
    <w:rsid w:val="00204659"/>
    <w:rsid w:val="00204E5C"/>
    <w:rsid w:val="00205475"/>
    <w:rsid w:val="00205988"/>
    <w:rsid w:val="00205B5B"/>
    <w:rsid w:val="00205C35"/>
    <w:rsid w:val="00205D46"/>
    <w:rsid w:val="002061B0"/>
    <w:rsid w:val="002065D0"/>
    <w:rsid w:val="00206DBE"/>
    <w:rsid w:val="0020705F"/>
    <w:rsid w:val="0020719E"/>
    <w:rsid w:val="00207AA6"/>
    <w:rsid w:val="00207BB3"/>
    <w:rsid w:val="0021001A"/>
    <w:rsid w:val="00210943"/>
    <w:rsid w:val="00210D97"/>
    <w:rsid w:val="002118B4"/>
    <w:rsid w:val="00211E92"/>
    <w:rsid w:val="0021202E"/>
    <w:rsid w:val="0021204D"/>
    <w:rsid w:val="00212A3E"/>
    <w:rsid w:val="00212A4F"/>
    <w:rsid w:val="00212F62"/>
    <w:rsid w:val="0021333C"/>
    <w:rsid w:val="00213475"/>
    <w:rsid w:val="00213921"/>
    <w:rsid w:val="002139E4"/>
    <w:rsid w:val="00213CED"/>
    <w:rsid w:val="00213DA1"/>
    <w:rsid w:val="0021451D"/>
    <w:rsid w:val="00214A16"/>
    <w:rsid w:val="00214C13"/>
    <w:rsid w:val="002152FA"/>
    <w:rsid w:val="002154D4"/>
    <w:rsid w:val="0021551E"/>
    <w:rsid w:val="002156A6"/>
    <w:rsid w:val="00215A65"/>
    <w:rsid w:val="00215D99"/>
    <w:rsid w:val="00215EF3"/>
    <w:rsid w:val="00216387"/>
    <w:rsid w:val="00216792"/>
    <w:rsid w:val="0021719C"/>
    <w:rsid w:val="00217EBF"/>
    <w:rsid w:val="002205F2"/>
    <w:rsid w:val="002206FB"/>
    <w:rsid w:val="002207B9"/>
    <w:rsid w:val="002207CD"/>
    <w:rsid w:val="00220E11"/>
    <w:rsid w:val="002216D6"/>
    <w:rsid w:val="002219D7"/>
    <w:rsid w:val="00221BAD"/>
    <w:rsid w:val="00222160"/>
    <w:rsid w:val="002222F9"/>
    <w:rsid w:val="00223390"/>
    <w:rsid w:val="002235B4"/>
    <w:rsid w:val="0022393F"/>
    <w:rsid w:val="00223A5E"/>
    <w:rsid w:val="00223B68"/>
    <w:rsid w:val="00223C88"/>
    <w:rsid w:val="00223DAE"/>
    <w:rsid w:val="00224054"/>
    <w:rsid w:val="00224362"/>
    <w:rsid w:val="00224BE5"/>
    <w:rsid w:val="00224E08"/>
    <w:rsid w:val="002254CC"/>
    <w:rsid w:val="002255EB"/>
    <w:rsid w:val="002256DE"/>
    <w:rsid w:val="002257AF"/>
    <w:rsid w:val="002272B7"/>
    <w:rsid w:val="00227380"/>
    <w:rsid w:val="002273AF"/>
    <w:rsid w:val="002278C4"/>
    <w:rsid w:val="00230745"/>
    <w:rsid w:val="00230FC6"/>
    <w:rsid w:val="002311F8"/>
    <w:rsid w:val="002313AB"/>
    <w:rsid w:val="0023194E"/>
    <w:rsid w:val="00231EA6"/>
    <w:rsid w:val="00231FBE"/>
    <w:rsid w:val="00232379"/>
    <w:rsid w:val="00233864"/>
    <w:rsid w:val="00233965"/>
    <w:rsid w:val="00233D44"/>
    <w:rsid w:val="00233E66"/>
    <w:rsid w:val="002347FA"/>
    <w:rsid w:val="00234D8B"/>
    <w:rsid w:val="00235DC0"/>
    <w:rsid w:val="00236097"/>
    <w:rsid w:val="0023623D"/>
    <w:rsid w:val="00236812"/>
    <w:rsid w:val="00236D54"/>
    <w:rsid w:val="0023753F"/>
    <w:rsid w:val="00240881"/>
    <w:rsid w:val="002409F2"/>
    <w:rsid w:val="00240AD9"/>
    <w:rsid w:val="00240F90"/>
    <w:rsid w:val="0024148D"/>
    <w:rsid w:val="00241832"/>
    <w:rsid w:val="002419F1"/>
    <w:rsid w:val="00241F05"/>
    <w:rsid w:val="00242351"/>
    <w:rsid w:val="002429B7"/>
    <w:rsid w:val="00242A84"/>
    <w:rsid w:val="00242C6F"/>
    <w:rsid w:val="00242C71"/>
    <w:rsid w:val="00242C74"/>
    <w:rsid w:val="00242EF7"/>
    <w:rsid w:val="002432F0"/>
    <w:rsid w:val="002435DC"/>
    <w:rsid w:val="00243744"/>
    <w:rsid w:val="00243AC9"/>
    <w:rsid w:val="00243B8E"/>
    <w:rsid w:val="00243BF4"/>
    <w:rsid w:val="00243C14"/>
    <w:rsid w:val="002447F9"/>
    <w:rsid w:val="002447FE"/>
    <w:rsid w:val="00244B2B"/>
    <w:rsid w:val="00244C01"/>
    <w:rsid w:val="00244C25"/>
    <w:rsid w:val="00246C3F"/>
    <w:rsid w:val="00246F19"/>
    <w:rsid w:val="00247299"/>
    <w:rsid w:val="0024749E"/>
    <w:rsid w:val="002474A4"/>
    <w:rsid w:val="00247B0B"/>
    <w:rsid w:val="00247E9C"/>
    <w:rsid w:val="00250236"/>
    <w:rsid w:val="0025037E"/>
    <w:rsid w:val="002505CA"/>
    <w:rsid w:val="0025063E"/>
    <w:rsid w:val="00250714"/>
    <w:rsid w:val="002508C0"/>
    <w:rsid w:val="00250D9A"/>
    <w:rsid w:val="00250F5B"/>
    <w:rsid w:val="002512B1"/>
    <w:rsid w:val="00251360"/>
    <w:rsid w:val="002521B3"/>
    <w:rsid w:val="002521C1"/>
    <w:rsid w:val="002523D0"/>
    <w:rsid w:val="00252829"/>
    <w:rsid w:val="00252B40"/>
    <w:rsid w:val="00252BBE"/>
    <w:rsid w:val="00252BFC"/>
    <w:rsid w:val="0025313E"/>
    <w:rsid w:val="002532C9"/>
    <w:rsid w:val="00253479"/>
    <w:rsid w:val="00253DDB"/>
    <w:rsid w:val="00254046"/>
    <w:rsid w:val="00254520"/>
    <w:rsid w:val="002545D6"/>
    <w:rsid w:val="002546E6"/>
    <w:rsid w:val="00254957"/>
    <w:rsid w:val="00254B64"/>
    <w:rsid w:val="00254BCB"/>
    <w:rsid w:val="00254DDB"/>
    <w:rsid w:val="0025572F"/>
    <w:rsid w:val="002557D9"/>
    <w:rsid w:val="00255EB7"/>
    <w:rsid w:val="00255EC0"/>
    <w:rsid w:val="00255FF0"/>
    <w:rsid w:val="002561B7"/>
    <w:rsid w:val="00256569"/>
    <w:rsid w:val="00256F23"/>
    <w:rsid w:val="00257230"/>
    <w:rsid w:val="00257378"/>
    <w:rsid w:val="00257640"/>
    <w:rsid w:val="0025796A"/>
    <w:rsid w:val="00257E33"/>
    <w:rsid w:val="00260176"/>
    <w:rsid w:val="00260625"/>
    <w:rsid w:val="00260987"/>
    <w:rsid w:val="00260DCF"/>
    <w:rsid w:val="00261458"/>
    <w:rsid w:val="00261F80"/>
    <w:rsid w:val="002620D9"/>
    <w:rsid w:val="00262757"/>
    <w:rsid w:val="00262B14"/>
    <w:rsid w:val="00262B5E"/>
    <w:rsid w:val="00262DC9"/>
    <w:rsid w:val="00262FBF"/>
    <w:rsid w:val="00263275"/>
    <w:rsid w:val="002635F7"/>
    <w:rsid w:val="00263AB4"/>
    <w:rsid w:val="00263EEE"/>
    <w:rsid w:val="002649AF"/>
    <w:rsid w:val="00264CCC"/>
    <w:rsid w:val="00264DD7"/>
    <w:rsid w:val="00265339"/>
    <w:rsid w:val="0026577F"/>
    <w:rsid w:val="00265D8D"/>
    <w:rsid w:val="00265DB8"/>
    <w:rsid w:val="00266348"/>
    <w:rsid w:val="002669CA"/>
    <w:rsid w:val="00266D86"/>
    <w:rsid w:val="00267A55"/>
    <w:rsid w:val="00267DE0"/>
    <w:rsid w:val="00270648"/>
    <w:rsid w:val="00270782"/>
    <w:rsid w:val="00271589"/>
    <w:rsid w:val="00271630"/>
    <w:rsid w:val="0027188D"/>
    <w:rsid w:val="00271DA3"/>
    <w:rsid w:val="00272010"/>
    <w:rsid w:val="00272445"/>
    <w:rsid w:val="002729B1"/>
    <w:rsid w:val="00273A44"/>
    <w:rsid w:val="00273E67"/>
    <w:rsid w:val="00274064"/>
    <w:rsid w:val="0027432A"/>
    <w:rsid w:val="002745A1"/>
    <w:rsid w:val="00274BC2"/>
    <w:rsid w:val="00274C24"/>
    <w:rsid w:val="00274C6C"/>
    <w:rsid w:val="00274C88"/>
    <w:rsid w:val="0027535F"/>
    <w:rsid w:val="0027575A"/>
    <w:rsid w:val="00275F2A"/>
    <w:rsid w:val="002763A4"/>
    <w:rsid w:val="0027661C"/>
    <w:rsid w:val="00276A44"/>
    <w:rsid w:val="00276BB1"/>
    <w:rsid w:val="00276F62"/>
    <w:rsid w:val="002774D2"/>
    <w:rsid w:val="002774F2"/>
    <w:rsid w:val="0027788F"/>
    <w:rsid w:val="00277A0E"/>
    <w:rsid w:val="00277D6D"/>
    <w:rsid w:val="002813EF"/>
    <w:rsid w:val="0028165F"/>
    <w:rsid w:val="0028184B"/>
    <w:rsid w:val="0028184C"/>
    <w:rsid w:val="00282375"/>
    <w:rsid w:val="00282C5D"/>
    <w:rsid w:val="00282F4B"/>
    <w:rsid w:val="002833E6"/>
    <w:rsid w:val="00283757"/>
    <w:rsid w:val="00283879"/>
    <w:rsid w:val="00283964"/>
    <w:rsid w:val="00283CAA"/>
    <w:rsid w:val="00284E8A"/>
    <w:rsid w:val="00284F72"/>
    <w:rsid w:val="002855E8"/>
    <w:rsid w:val="0028591A"/>
    <w:rsid w:val="00285AB7"/>
    <w:rsid w:val="00285CA9"/>
    <w:rsid w:val="00286492"/>
    <w:rsid w:val="002868FE"/>
    <w:rsid w:val="00286916"/>
    <w:rsid w:val="0028731B"/>
    <w:rsid w:val="0028756C"/>
    <w:rsid w:val="002876C8"/>
    <w:rsid w:val="00287823"/>
    <w:rsid w:val="002902BD"/>
    <w:rsid w:val="00290369"/>
    <w:rsid w:val="0029041B"/>
    <w:rsid w:val="002905F9"/>
    <w:rsid w:val="00290D88"/>
    <w:rsid w:val="00290E25"/>
    <w:rsid w:val="0029124E"/>
    <w:rsid w:val="0029125C"/>
    <w:rsid w:val="0029199A"/>
    <w:rsid w:val="00291A6A"/>
    <w:rsid w:val="00291B7A"/>
    <w:rsid w:val="00291FDA"/>
    <w:rsid w:val="00292164"/>
    <w:rsid w:val="00292F13"/>
    <w:rsid w:val="002931E9"/>
    <w:rsid w:val="002939B1"/>
    <w:rsid w:val="00293B56"/>
    <w:rsid w:val="00294BFA"/>
    <w:rsid w:val="00294DCB"/>
    <w:rsid w:val="00295B77"/>
    <w:rsid w:val="00295F4F"/>
    <w:rsid w:val="00296066"/>
    <w:rsid w:val="0029645B"/>
    <w:rsid w:val="002966F8"/>
    <w:rsid w:val="00296C01"/>
    <w:rsid w:val="00297460"/>
    <w:rsid w:val="00297AB9"/>
    <w:rsid w:val="00297B1F"/>
    <w:rsid w:val="00297E6E"/>
    <w:rsid w:val="002A08B4"/>
    <w:rsid w:val="002A1179"/>
    <w:rsid w:val="002A1623"/>
    <w:rsid w:val="002A1882"/>
    <w:rsid w:val="002A1ADA"/>
    <w:rsid w:val="002A1B7B"/>
    <w:rsid w:val="002A1C22"/>
    <w:rsid w:val="002A1C6C"/>
    <w:rsid w:val="002A21EC"/>
    <w:rsid w:val="002A2249"/>
    <w:rsid w:val="002A225A"/>
    <w:rsid w:val="002A231C"/>
    <w:rsid w:val="002A271E"/>
    <w:rsid w:val="002A31EC"/>
    <w:rsid w:val="002A3306"/>
    <w:rsid w:val="002A33B7"/>
    <w:rsid w:val="002A36B9"/>
    <w:rsid w:val="002A36CD"/>
    <w:rsid w:val="002A3763"/>
    <w:rsid w:val="002A38F6"/>
    <w:rsid w:val="002A42CD"/>
    <w:rsid w:val="002A48B8"/>
    <w:rsid w:val="002A517D"/>
    <w:rsid w:val="002A6567"/>
    <w:rsid w:val="002A65CF"/>
    <w:rsid w:val="002A65D0"/>
    <w:rsid w:val="002A66A8"/>
    <w:rsid w:val="002A680F"/>
    <w:rsid w:val="002A6AAD"/>
    <w:rsid w:val="002A79F7"/>
    <w:rsid w:val="002A7F3B"/>
    <w:rsid w:val="002B02A9"/>
    <w:rsid w:val="002B0552"/>
    <w:rsid w:val="002B0573"/>
    <w:rsid w:val="002B0630"/>
    <w:rsid w:val="002B115F"/>
    <w:rsid w:val="002B177B"/>
    <w:rsid w:val="002B232B"/>
    <w:rsid w:val="002B259F"/>
    <w:rsid w:val="002B2692"/>
    <w:rsid w:val="002B2CFD"/>
    <w:rsid w:val="002B3123"/>
    <w:rsid w:val="002B3728"/>
    <w:rsid w:val="002B3ECE"/>
    <w:rsid w:val="002B403B"/>
    <w:rsid w:val="002B450D"/>
    <w:rsid w:val="002B50E5"/>
    <w:rsid w:val="002B5467"/>
    <w:rsid w:val="002B566C"/>
    <w:rsid w:val="002B5A4B"/>
    <w:rsid w:val="002B5E5C"/>
    <w:rsid w:val="002B60FC"/>
    <w:rsid w:val="002B6352"/>
    <w:rsid w:val="002B638B"/>
    <w:rsid w:val="002B6410"/>
    <w:rsid w:val="002B654C"/>
    <w:rsid w:val="002B6649"/>
    <w:rsid w:val="002B6F35"/>
    <w:rsid w:val="002B70AC"/>
    <w:rsid w:val="002C0D53"/>
    <w:rsid w:val="002C0F91"/>
    <w:rsid w:val="002C11CE"/>
    <w:rsid w:val="002C122B"/>
    <w:rsid w:val="002C1BD0"/>
    <w:rsid w:val="002C2345"/>
    <w:rsid w:val="002C2B1C"/>
    <w:rsid w:val="002C2B83"/>
    <w:rsid w:val="002C2D9E"/>
    <w:rsid w:val="002C3083"/>
    <w:rsid w:val="002C34B5"/>
    <w:rsid w:val="002C3762"/>
    <w:rsid w:val="002C3976"/>
    <w:rsid w:val="002C3DD6"/>
    <w:rsid w:val="002C409E"/>
    <w:rsid w:val="002C48AD"/>
    <w:rsid w:val="002C4A92"/>
    <w:rsid w:val="002C563D"/>
    <w:rsid w:val="002C5A14"/>
    <w:rsid w:val="002C6351"/>
    <w:rsid w:val="002C64BF"/>
    <w:rsid w:val="002C6769"/>
    <w:rsid w:val="002C67E0"/>
    <w:rsid w:val="002C6BE3"/>
    <w:rsid w:val="002C6D64"/>
    <w:rsid w:val="002C7066"/>
    <w:rsid w:val="002C72F0"/>
    <w:rsid w:val="002C7529"/>
    <w:rsid w:val="002C7699"/>
    <w:rsid w:val="002C76AE"/>
    <w:rsid w:val="002C7A23"/>
    <w:rsid w:val="002D009F"/>
    <w:rsid w:val="002D0331"/>
    <w:rsid w:val="002D05FB"/>
    <w:rsid w:val="002D0CBF"/>
    <w:rsid w:val="002D0CC1"/>
    <w:rsid w:val="002D12B3"/>
    <w:rsid w:val="002D21BC"/>
    <w:rsid w:val="002D2217"/>
    <w:rsid w:val="002D226B"/>
    <w:rsid w:val="002D281C"/>
    <w:rsid w:val="002D294C"/>
    <w:rsid w:val="002D3095"/>
    <w:rsid w:val="002D329A"/>
    <w:rsid w:val="002D33B5"/>
    <w:rsid w:val="002D3A75"/>
    <w:rsid w:val="002D3E72"/>
    <w:rsid w:val="002D42D6"/>
    <w:rsid w:val="002D44D6"/>
    <w:rsid w:val="002D4560"/>
    <w:rsid w:val="002D4D5F"/>
    <w:rsid w:val="002D51C3"/>
    <w:rsid w:val="002D5298"/>
    <w:rsid w:val="002D52C7"/>
    <w:rsid w:val="002D66BB"/>
    <w:rsid w:val="002D6716"/>
    <w:rsid w:val="002D6D05"/>
    <w:rsid w:val="002D6EFD"/>
    <w:rsid w:val="002D7913"/>
    <w:rsid w:val="002E01C0"/>
    <w:rsid w:val="002E02CB"/>
    <w:rsid w:val="002E02E9"/>
    <w:rsid w:val="002E058E"/>
    <w:rsid w:val="002E0627"/>
    <w:rsid w:val="002E0665"/>
    <w:rsid w:val="002E092C"/>
    <w:rsid w:val="002E0BB9"/>
    <w:rsid w:val="002E0E00"/>
    <w:rsid w:val="002E0E33"/>
    <w:rsid w:val="002E0F1D"/>
    <w:rsid w:val="002E1174"/>
    <w:rsid w:val="002E19FF"/>
    <w:rsid w:val="002E1ABE"/>
    <w:rsid w:val="002E2045"/>
    <w:rsid w:val="002E3200"/>
    <w:rsid w:val="002E3367"/>
    <w:rsid w:val="002E3627"/>
    <w:rsid w:val="002E3B88"/>
    <w:rsid w:val="002E44A5"/>
    <w:rsid w:val="002E48CE"/>
    <w:rsid w:val="002E4CE8"/>
    <w:rsid w:val="002E52A6"/>
    <w:rsid w:val="002E52BB"/>
    <w:rsid w:val="002E52EB"/>
    <w:rsid w:val="002E53AE"/>
    <w:rsid w:val="002E53CE"/>
    <w:rsid w:val="002E66AB"/>
    <w:rsid w:val="002E69D1"/>
    <w:rsid w:val="002E6DE8"/>
    <w:rsid w:val="002E7027"/>
    <w:rsid w:val="002E74EB"/>
    <w:rsid w:val="002E75DC"/>
    <w:rsid w:val="002F01AC"/>
    <w:rsid w:val="002F0414"/>
    <w:rsid w:val="002F0449"/>
    <w:rsid w:val="002F1219"/>
    <w:rsid w:val="002F13EE"/>
    <w:rsid w:val="002F1454"/>
    <w:rsid w:val="002F176D"/>
    <w:rsid w:val="002F24C1"/>
    <w:rsid w:val="002F25DC"/>
    <w:rsid w:val="002F2A74"/>
    <w:rsid w:val="002F2CB0"/>
    <w:rsid w:val="002F2E2A"/>
    <w:rsid w:val="002F35A8"/>
    <w:rsid w:val="002F3A9D"/>
    <w:rsid w:val="002F430A"/>
    <w:rsid w:val="002F44FF"/>
    <w:rsid w:val="002F4600"/>
    <w:rsid w:val="002F473E"/>
    <w:rsid w:val="002F52D3"/>
    <w:rsid w:val="002F55BF"/>
    <w:rsid w:val="002F574B"/>
    <w:rsid w:val="002F5EDF"/>
    <w:rsid w:val="002F760A"/>
    <w:rsid w:val="00300362"/>
    <w:rsid w:val="003005F4"/>
    <w:rsid w:val="00300FDC"/>
    <w:rsid w:val="0030127E"/>
    <w:rsid w:val="0030165C"/>
    <w:rsid w:val="00301804"/>
    <w:rsid w:val="00301CB5"/>
    <w:rsid w:val="0030237C"/>
    <w:rsid w:val="0030254D"/>
    <w:rsid w:val="0030280F"/>
    <w:rsid w:val="003028F6"/>
    <w:rsid w:val="003030F8"/>
    <w:rsid w:val="00303789"/>
    <w:rsid w:val="003038F7"/>
    <w:rsid w:val="003039C0"/>
    <w:rsid w:val="00303A24"/>
    <w:rsid w:val="00303B3D"/>
    <w:rsid w:val="00304259"/>
    <w:rsid w:val="00304749"/>
    <w:rsid w:val="00304848"/>
    <w:rsid w:val="003048CA"/>
    <w:rsid w:val="00305273"/>
    <w:rsid w:val="0030528B"/>
    <w:rsid w:val="00305578"/>
    <w:rsid w:val="003056F0"/>
    <w:rsid w:val="003058C6"/>
    <w:rsid w:val="00305D40"/>
    <w:rsid w:val="00305FE9"/>
    <w:rsid w:val="0030602A"/>
    <w:rsid w:val="003061AA"/>
    <w:rsid w:val="003061B6"/>
    <w:rsid w:val="0030651A"/>
    <w:rsid w:val="003065A7"/>
    <w:rsid w:val="003105E5"/>
    <w:rsid w:val="00311485"/>
    <w:rsid w:val="00311D23"/>
    <w:rsid w:val="00312568"/>
    <w:rsid w:val="00312874"/>
    <w:rsid w:val="003128BE"/>
    <w:rsid w:val="00312E3E"/>
    <w:rsid w:val="0031309D"/>
    <w:rsid w:val="003137B1"/>
    <w:rsid w:val="003139DA"/>
    <w:rsid w:val="00313F29"/>
    <w:rsid w:val="003141B0"/>
    <w:rsid w:val="00314395"/>
    <w:rsid w:val="00315253"/>
    <w:rsid w:val="00315401"/>
    <w:rsid w:val="00315B60"/>
    <w:rsid w:val="0031662D"/>
    <w:rsid w:val="003166FF"/>
    <w:rsid w:val="00316C26"/>
    <w:rsid w:val="00317BBD"/>
    <w:rsid w:val="00320A81"/>
    <w:rsid w:val="00320BE4"/>
    <w:rsid w:val="0032161B"/>
    <w:rsid w:val="00321F52"/>
    <w:rsid w:val="00322150"/>
    <w:rsid w:val="003223F1"/>
    <w:rsid w:val="00322484"/>
    <w:rsid w:val="00322666"/>
    <w:rsid w:val="00322964"/>
    <w:rsid w:val="00322BCF"/>
    <w:rsid w:val="003235F0"/>
    <w:rsid w:val="00323A2B"/>
    <w:rsid w:val="00323CDC"/>
    <w:rsid w:val="00323D6D"/>
    <w:rsid w:val="00323F72"/>
    <w:rsid w:val="00323FFE"/>
    <w:rsid w:val="00324267"/>
    <w:rsid w:val="003249D7"/>
    <w:rsid w:val="00324AA8"/>
    <w:rsid w:val="00324AD3"/>
    <w:rsid w:val="00324CB8"/>
    <w:rsid w:val="00324E87"/>
    <w:rsid w:val="00324EAE"/>
    <w:rsid w:val="00325009"/>
    <w:rsid w:val="003251E7"/>
    <w:rsid w:val="00325439"/>
    <w:rsid w:val="00326A3E"/>
    <w:rsid w:val="00326B5F"/>
    <w:rsid w:val="00326F82"/>
    <w:rsid w:val="0032785B"/>
    <w:rsid w:val="003278FF"/>
    <w:rsid w:val="0033021B"/>
    <w:rsid w:val="003307B8"/>
    <w:rsid w:val="00330FB4"/>
    <w:rsid w:val="00330FEC"/>
    <w:rsid w:val="003315B5"/>
    <w:rsid w:val="003316C7"/>
    <w:rsid w:val="00331D1C"/>
    <w:rsid w:val="003324D4"/>
    <w:rsid w:val="00332E2F"/>
    <w:rsid w:val="00333913"/>
    <w:rsid w:val="00333E94"/>
    <w:rsid w:val="00333F5A"/>
    <w:rsid w:val="00334060"/>
    <w:rsid w:val="00334293"/>
    <w:rsid w:val="0033436B"/>
    <w:rsid w:val="0033465C"/>
    <w:rsid w:val="00334A02"/>
    <w:rsid w:val="00334A48"/>
    <w:rsid w:val="00334A56"/>
    <w:rsid w:val="00334C99"/>
    <w:rsid w:val="00334D88"/>
    <w:rsid w:val="00334FE2"/>
    <w:rsid w:val="003350DF"/>
    <w:rsid w:val="00335ACE"/>
    <w:rsid w:val="00335B4A"/>
    <w:rsid w:val="00335D76"/>
    <w:rsid w:val="00335E5D"/>
    <w:rsid w:val="00335E7F"/>
    <w:rsid w:val="00336360"/>
    <w:rsid w:val="00336476"/>
    <w:rsid w:val="003365D6"/>
    <w:rsid w:val="003366F5"/>
    <w:rsid w:val="00336B49"/>
    <w:rsid w:val="003370AC"/>
    <w:rsid w:val="00337ACA"/>
    <w:rsid w:val="00337D15"/>
    <w:rsid w:val="00340084"/>
    <w:rsid w:val="00340CD5"/>
    <w:rsid w:val="00341089"/>
    <w:rsid w:val="00341122"/>
    <w:rsid w:val="00341AAF"/>
    <w:rsid w:val="00341C53"/>
    <w:rsid w:val="00341D31"/>
    <w:rsid w:val="003423B7"/>
    <w:rsid w:val="003423C1"/>
    <w:rsid w:val="00342575"/>
    <w:rsid w:val="00342730"/>
    <w:rsid w:val="0034293A"/>
    <w:rsid w:val="00342ACF"/>
    <w:rsid w:val="00342E9D"/>
    <w:rsid w:val="00342F59"/>
    <w:rsid w:val="00343A19"/>
    <w:rsid w:val="00343DDB"/>
    <w:rsid w:val="00343FDA"/>
    <w:rsid w:val="0034473B"/>
    <w:rsid w:val="00344C22"/>
    <w:rsid w:val="0034541A"/>
    <w:rsid w:val="00345512"/>
    <w:rsid w:val="003457FB"/>
    <w:rsid w:val="00345D21"/>
    <w:rsid w:val="00345F98"/>
    <w:rsid w:val="0034618C"/>
    <w:rsid w:val="003462C5"/>
    <w:rsid w:val="00346E79"/>
    <w:rsid w:val="00346EF7"/>
    <w:rsid w:val="00347075"/>
    <w:rsid w:val="003470FA"/>
    <w:rsid w:val="003472C9"/>
    <w:rsid w:val="00347392"/>
    <w:rsid w:val="00347FE5"/>
    <w:rsid w:val="003502D6"/>
    <w:rsid w:val="00351082"/>
    <w:rsid w:val="003512D5"/>
    <w:rsid w:val="003515FC"/>
    <w:rsid w:val="00351699"/>
    <w:rsid w:val="00351D03"/>
    <w:rsid w:val="00351DF4"/>
    <w:rsid w:val="00352779"/>
    <w:rsid w:val="00352BB9"/>
    <w:rsid w:val="00352D41"/>
    <w:rsid w:val="00353700"/>
    <w:rsid w:val="00354EDE"/>
    <w:rsid w:val="00354EDF"/>
    <w:rsid w:val="0035506C"/>
    <w:rsid w:val="00355499"/>
    <w:rsid w:val="003560DD"/>
    <w:rsid w:val="00356265"/>
    <w:rsid w:val="00356567"/>
    <w:rsid w:val="003566D6"/>
    <w:rsid w:val="00356B88"/>
    <w:rsid w:val="00357040"/>
    <w:rsid w:val="00357320"/>
    <w:rsid w:val="00357989"/>
    <w:rsid w:val="003600E8"/>
    <w:rsid w:val="003604BB"/>
    <w:rsid w:val="00360524"/>
    <w:rsid w:val="00360C2F"/>
    <w:rsid w:val="00360F67"/>
    <w:rsid w:val="00360FDD"/>
    <w:rsid w:val="00361664"/>
    <w:rsid w:val="003618F3"/>
    <w:rsid w:val="00361AE6"/>
    <w:rsid w:val="0036219C"/>
    <w:rsid w:val="003622FB"/>
    <w:rsid w:val="0036247B"/>
    <w:rsid w:val="0036272A"/>
    <w:rsid w:val="00362EF5"/>
    <w:rsid w:val="00362F62"/>
    <w:rsid w:val="00363A9C"/>
    <w:rsid w:val="003640E0"/>
    <w:rsid w:val="0036474D"/>
    <w:rsid w:val="00364B95"/>
    <w:rsid w:val="003653D2"/>
    <w:rsid w:val="0036547D"/>
    <w:rsid w:val="003655E2"/>
    <w:rsid w:val="00365B92"/>
    <w:rsid w:val="00365C65"/>
    <w:rsid w:val="00365F22"/>
    <w:rsid w:val="003664E1"/>
    <w:rsid w:val="003666BD"/>
    <w:rsid w:val="00366DE3"/>
    <w:rsid w:val="00366E71"/>
    <w:rsid w:val="0036701F"/>
    <w:rsid w:val="003671E7"/>
    <w:rsid w:val="003675A1"/>
    <w:rsid w:val="00367823"/>
    <w:rsid w:val="00367B06"/>
    <w:rsid w:val="003700AE"/>
    <w:rsid w:val="0037031D"/>
    <w:rsid w:val="00370430"/>
    <w:rsid w:val="003707D9"/>
    <w:rsid w:val="003709DF"/>
    <w:rsid w:val="00370D3F"/>
    <w:rsid w:val="0037108B"/>
    <w:rsid w:val="00371B5D"/>
    <w:rsid w:val="00372116"/>
    <w:rsid w:val="00372936"/>
    <w:rsid w:val="00373331"/>
    <w:rsid w:val="00373378"/>
    <w:rsid w:val="003736BE"/>
    <w:rsid w:val="00373B82"/>
    <w:rsid w:val="00374198"/>
    <w:rsid w:val="00374256"/>
    <w:rsid w:val="0037433F"/>
    <w:rsid w:val="0037435C"/>
    <w:rsid w:val="0037463C"/>
    <w:rsid w:val="003751BF"/>
    <w:rsid w:val="00375634"/>
    <w:rsid w:val="003758E1"/>
    <w:rsid w:val="00375AD4"/>
    <w:rsid w:val="00375C50"/>
    <w:rsid w:val="00375D3C"/>
    <w:rsid w:val="00376054"/>
    <w:rsid w:val="00376962"/>
    <w:rsid w:val="00376A07"/>
    <w:rsid w:val="0037738B"/>
    <w:rsid w:val="00377514"/>
    <w:rsid w:val="00377656"/>
    <w:rsid w:val="0038032A"/>
    <w:rsid w:val="00380333"/>
    <w:rsid w:val="0038073A"/>
    <w:rsid w:val="00380894"/>
    <w:rsid w:val="003808F6"/>
    <w:rsid w:val="00380C78"/>
    <w:rsid w:val="00380E50"/>
    <w:rsid w:val="003810A1"/>
    <w:rsid w:val="003811EA"/>
    <w:rsid w:val="00381FC8"/>
    <w:rsid w:val="00382160"/>
    <w:rsid w:val="00382B1C"/>
    <w:rsid w:val="00383320"/>
    <w:rsid w:val="00383D09"/>
    <w:rsid w:val="00383D17"/>
    <w:rsid w:val="0038407C"/>
    <w:rsid w:val="0038443C"/>
    <w:rsid w:val="00384CB3"/>
    <w:rsid w:val="00385BB6"/>
    <w:rsid w:val="003864BE"/>
    <w:rsid w:val="003866F9"/>
    <w:rsid w:val="003867B3"/>
    <w:rsid w:val="003868B3"/>
    <w:rsid w:val="00386D62"/>
    <w:rsid w:val="003873E4"/>
    <w:rsid w:val="00387663"/>
    <w:rsid w:val="00390046"/>
    <w:rsid w:val="003903A4"/>
    <w:rsid w:val="003909BA"/>
    <w:rsid w:val="00390ABF"/>
    <w:rsid w:val="003911EE"/>
    <w:rsid w:val="00391336"/>
    <w:rsid w:val="00391750"/>
    <w:rsid w:val="00391811"/>
    <w:rsid w:val="00391B4B"/>
    <w:rsid w:val="00391FED"/>
    <w:rsid w:val="00392693"/>
    <w:rsid w:val="003930C9"/>
    <w:rsid w:val="003931F6"/>
    <w:rsid w:val="0039405E"/>
    <w:rsid w:val="003941F6"/>
    <w:rsid w:val="0039429A"/>
    <w:rsid w:val="003942BC"/>
    <w:rsid w:val="0039442B"/>
    <w:rsid w:val="00394467"/>
    <w:rsid w:val="00394854"/>
    <w:rsid w:val="00394B9D"/>
    <w:rsid w:val="003950D8"/>
    <w:rsid w:val="003955E2"/>
    <w:rsid w:val="003958AC"/>
    <w:rsid w:val="00395963"/>
    <w:rsid w:val="00396770"/>
    <w:rsid w:val="00396924"/>
    <w:rsid w:val="00397535"/>
    <w:rsid w:val="00397644"/>
    <w:rsid w:val="00397B92"/>
    <w:rsid w:val="00397E16"/>
    <w:rsid w:val="00397FA4"/>
    <w:rsid w:val="003A00AE"/>
    <w:rsid w:val="003A010F"/>
    <w:rsid w:val="003A044D"/>
    <w:rsid w:val="003A068E"/>
    <w:rsid w:val="003A0904"/>
    <w:rsid w:val="003A1146"/>
    <w:rsid w:val="003A1628"/>
    <w:rsid w:val="003A166D"/>
    <w:rsid w:val="003A1B26"/>
    <w:rsid w:val="003A1BAB"/>
    <w:rsid w:val="003A20C7"/>
    <w:rsid w:val="003A29E1"/>
    <w:rsid w:val="003A2DAE"/>
    <w:rsid w:val="003A3049"/>
    <w:rsid w:val="003A31D1"/>
    <w:rsid w:val="003A34F8"/>
    <w:rsid w:val="003A375B"/>
    <w:rsid w:val="003A3A6A"/>
    <w:rsid w:val="003A40AF"/>
    <w:rsid w:val="003A46C2"/>
    <w:rsid w:val="003A48B6"/>
    <w:rsid w:val="003A4AAC"/>
    <w:rsid w:val="003A4B3E"/>
    <w:rsid w:val="003A5355"/>
    <w:rsid w:val="003A564C"/>
    <w:rsid w:val="003A59B8"/>
    <w:rsid w:val="003A5BE9"/>
    <w:rsid w:val="003A5DA0"/>
    <w:rsid w:val="003A5FB6"/>
    <w:rsid w:val="003A5FE3"/>
    <w:rsid w:val="003A6198"/>
    <w:rsid w:val="003A6ADA"/>
    <w:rsid w:val="003A7429"/>
    <w:rsid w:val="003A76DC"/>
    <w:rsid w:val="003B0261"/>
    <w:rsid w:val="003B07D7"/>
    <w:rsid w:val="003B132E"/>
    <w:rsid w:val="003B208C"/>
    <w:rsid w:val="003B23D0"/>
    <w:rsid w:val="003B24D8"/>
    <w:rsid w:val="003B2EB3"/>
    <w:rsid w:val="003B3B40"/>
    <w:rsid w:val="003B426C"/>
    <w:rsid w:val="003B481E"/>
    <w:rsid w:val="003B4932"/>
    <w:rsid w:val="003B4A01"/>
    <w:rsid w:val="003B4E74"/>
    <w:rsid w:val="003B5472"/>
    <w:rsid w:val="003B54CD"/>
    <w:rsid w:val="003B60E0"/>
    <w:rsid w:val="003B6237"/>
    <w:rsid w:val="003B6383"/>
    <w:rsid w:val="003B645F"/>
    <w:rsid w:val="003B6857"/>
    <w:rsid w:val="003B6A4E"/>
    <w:rsid w:val="003B6CC1"/>
    <w:rsid w:val="003B72F5"/>
    <w:rsid w:val="003B780A"/>
    <w:rsid w:val="003B7B9B"/>
    <w:rsid w:val="003B7DC5"/>
    <w:rsid w:val="003C027E"/>
    <w:rsid w:val="003C05AB"/>
    <w:rsid w:val="003C1768"/>
    <w:rsid w:val="003C230A"/>
    <w:rsid w:val="003C24CA"/>
    <w:rsid w:val="003C2502"/>
    <w:rsid w:val="003C284F"/>
    <w:rsid w:val="003C2A54"/>
    <w:rsid w:val="003C2CCA"/>
    <w:rsid w:val="003C2EDE"/>
    <w:rsid w:val="003C335E"/>
    <w:rsid w:val="003C3733"/>
    <w:rsid w:val="003C396F"/>
    <w:rsid w:val="003C3DCE"/>
    <w:rsid w:val="003C3F58"/>
    <w:rsid w:val="003C4C7C"/>
    <w:rsid w:val="003C52D8"/>
    <w:rsid w:val="003C552A"/>
    <w:rsid w:val="003C597A"/>
    <w:rsid w:val="003C5D3D"/>
    <w:rsid w:val="003C5DC4"/>
    <w:rsid w:val="003C5F54"/>
    <w:rsid w:val="003C6610"/>
    <w:rsid w:val="003C6717"/>
    <w:rsid w:val="003C702D"/>
    <w:rsid w:val="003C7681"/>
    <w:rsid w:val="003C7850"/>
    <w:rsid w:val="003C78F4"/>
    <w:rsid w:val="003C7AE8"/>
    <w:rsid w:val="003C7BC7"/>
    <w:rsid w:val="003C7CF3"/>
    <w:rsid w:val="003C7D39"/>
    <w:rsid w:val="003C7E2A"/>
    <w:rsid w:val="003C7F63"/>
    <w:rsid w:val="003D0088"/>
    <w:rsid w:val="003D01D8"/>
    <w:rsid w:val="003D1001"/>
    <w:rsid w:val="003D10C8"/>
    <w:rsid w:val="003D19EC"/>
    <w:rsid w:val="003D1FB6"/>
    <w:rsid w:val="003D21BE"/>
    <w:rsid w:val="003D23BF"/>
    <w:rsid w:val="003D244B"/>
    <w:rsid w:val="003D277E"/>
    <w:rsid w:val="003D2933"/>
    <w:rsid w:val="003D2C24"/>
    <w:rsid w:val="003D3467"/>
    <w:rsid w:val="003D384A"/>
    <w:rsid w:val="003D3AE4"/>
    <w:rsid w:val="003D3C74"/>
    <w:rsid w:val="003D3E6D"/>
    <w:rsid w:val="003D5193"/>
    <w:rsid w:val="003D586A"/>
    <w:rsid w:val="003D5ACC"/>
    <w:rsid w:val="003D6462"/>
    <w:rsid w:val="003D6BFC"/>
    <w:rsid w:val="003D6E34"/>
    <w:rsid w:val="003D6EC4"/>
    <w:rsid w:val="003D75B8"/>
    <w:rsid w:val="003D7CD3"/>
    <w:rsid w:val="003E00DF"/>
    <w:rsid w:val="003E0EA6"/>
    <w:rsid w:val="003E13D8"/>
    <w:rsid w:val="003E243D"/>
    <w:rsid w:val="003E2488"/>
    <w:rsid w:val="003E273A"/>
    <w:rsid w:val="003E2932"/>
    <w:rsid w:val="003E2E5F"/>
    <w:rsid w:val="003E3361"/>
    <w:rsid w:val="003E3367"/>
    <w:rsid w:val="003E40CF"/>
    <w:rsid w:val="003E4DA9"/>
    <w:rsid w:val="003E593F"/>
    <w:rsid w:val="003E5B3D"/>
    <w:rsid w:val="003E5B9D"/>
    <w:rsid w:val="003E673A"/>
    <w:rsid w:val="003E690F"/>
    <w:rsid w:val="003E6A1E"/>
    <w:rsid w:val="003E6D3F"/>
    <w:rsid w:val="003E7F86"/>
    <w:rsid w:val="003F0024"/>
    <w:rsid w:val="003F02EC"/>
    <w:rsid w:val="003F0428"/>
    <w:rsid w:val="003F06DF"/>
    <w:rsid w:val="003F13BB"/>
    <w:rsid w:val="003F145F"/>
    <w:rsid w:val="003F1913"/>
    <w:rsid w:val="003F19D5"/>
    <w:rsid w:val="003F1BF5"/>
    <w:rsid w:val="003F1CA5"/>
    <w:rsid w:val="003F226F"/>
    <w:rsid w:val="003F2764"/>
    <w:rsid w:val="003F27E1"/>
    <w:rsid w:val="003F2989"/>
    <w:rsid w:val="003F2C66"/>
    <w:rsid w:val="003F2F55"/>
    <w:rsid w:val="003F35E9"/>
    <w:rsid w:val="003F3CCD"/>
    <w:rsid w:val="003F3D78"/>
    <w:rsid w:val="003F3DA6"/>
    <w:rsid w:val="003F3EA0"/>
    <w:rsid w:val="003F45CC"/>
    <w:rsid w:val="003F4A7E"/>
    <w:rsid w:val="003F6298"/>
    <w:rsid w:val="003F636E"/>
    <w:rsid w:val="003F6756"/>
    <w:rsid w:val="003F6ED3"/>
    <w:rsid w:val="003F7393"/>
    <w:rsid w:val="003F7835"/>
    <w:rsid w:val="003F7B33"/>
    <w:rsid w:val="003F7DB1"/>
    <w:rsid w:val="0040006F"/>
    <w:rsid w:val="004001E2"/>
    <w:rsid w:val="004002D3"/>
    <w:rsid w:val="00400387"/>
    <w:rsid w:val="004006DB"/>
    <w:rsid w:val="00400D20"/>
    <w:rsid w:val="0040174E"/>
    <w:rsid w:val="00401BAC"/>
    <w:rsid w:val="00401E3E"/>
    <w:rsid w:val="0040254E"/>
    <w:rsid w:val="00402606"/>
    <w:rsid w:val="0040270A"/>
    <w:rsid w:val="00402CBA"/>
    <w:rsid w:val="004032B9"/>
    <w:rsid w:val="00403741"/>
    <w:rsid w:val="004038C0"/>
    <w:rsid w:val="00404AD7"/>
    <w:rsid w:val="00405A66"/>
    <w:rsid w:val="00405FBC"/>
    <w:rsid w:val="004062C2"/>
    <w:rsid w:val="00406426"/>
    <w:rsid w:val="0040663C"/>
    <w:rsid w:val="004070E6"/>
    <w:rsid w:val="00407548"/>
    <w:rsid w:val="004079F7"/>
    <w:rsid w:val="00407A25"/>
    <w:rsid w:val="00407A63"/>
    <w:rsid w:val="00407BF1"/>
    <w:rsid w:val="00407C15"/>
    <w:rsid w:val="00407D14"/>
    <w:rsid w:val="004109B3"/>
    <w:rsid w:val="00411660"/>
    <w:rsid w:val="00411992"/>
    <w:rsid w:val="00412F49"/>
    <w:rsid w:val="0041322E"/>
    <w:rsid w:val="004134A4"/>
    <w:rsid w:val="00413BB3"/>
    <w:rsid w:val="00413BBC"/>
    <w:rsid w:val="00413C3C"/>
    <w:rsid w:val="00413E99"/>
    <w:rsid w:val="00413E9C"/>
    <w:rsid w:val="004140FF"/>
    <w:rsid w:val="004149C2"/>
    <w:rsid w:val="00414B16"/>
    <w:rsid w:val="00414C30"/>
    <w:rsid w:val="00414D48"/>
    <w:rsid w:val="0041563B"/>
    <w:rsid w:val="00415860"/>
    <w:rsid w:val="00415E56"/>
    <w:rsid w:val="00415F34"/>
    <w:rsid w:val="00416051"/>
    <w:rsid w:val="0041628A"/>
    <w:rsid w:val="00416648"/>
    <w:rsid w:val="004169EB"/>
    <w:rsid w:val="00417509"/>
    <w:rsid w:val="0041762B"/>
    <w:rsid w:val="00417ADD"/>
    <w:rsid w:val="00417D81"/>
    <w:rsid w:val="00417F6D"/>
    <w:rsid w:val="004200CF"/>
    <w:rsid w:val="00420631"/>
    <w:rsid w:val="00420692"/>
    <w:rsid w:val="00420752"/>
    <w:rsid w:val="004208D2"/>
    <w:rsid w:val="00420AF0"/>
    <w:rsid w:val="00421CB6"/>
    <w:rsid w:val="00422800"/>
    <w:rsid w:val="00422B3D"/>
    <w:rsid w:val="00422BDB"/>
    <w:rsid w:val="00422CD0"/>
    <w:rsid w:val="00423286"/>
    <w:rsid w:val="0042345A"/>
    <w:rsid w:val="0042379B"/>
    <w:rsid w:val="004237E0"/>
    <w:rsid w:val="00423D6B"/>
    <w:rsid w:val="0042412F"/>
    <w:rsid w:val="0042418E"/>
    <w:rsid w:val="0042421A"/>
    <w:rsid w:val="0042427B"/>
    <w:rsid w:val="004243B0"/>
    <w:rsid w:val="004248A7"/>
    <w:rsid w:val="00424EC0"/>
    <w:rsid w:val="0042501D"/>
    <w:rsid w:val="004254FF"/>
    <w:rsid w:val="00425AE4"/>
    <w:rsid w:val="00425B94"/>
    <w:rsid w:val="00425BCB"/>
    <w:rsid w:val="00426216"/>
    <w:rsid w:val="0042650A"/>
    <w:rsid w:val="00426DC0"/>
    <w:rsid w:val="00427495"/>
    <w:rsid w:val="0042758F"/>
    <w:rsid w:val="00427751"/>
    <w:rsid w:val="0042798C"/>
    <w:rsid w:val="004279D3"/>
    <w:rsid w:val="00427AE4"/>
    <w:rsid w:val="00427BEB"/>
    <w:rsid w:val="00427D83"/>
    <w:rsid w:val="004301B4"/>
    <w:rsid w:val="0043031E"/>
    <w:rsid w:val="004308C0"/>
    <w:rsid w:val="004308CD"/>
    <w:rsid w:val="00430D3A"/>
    <w:rsid w:val="00430F7C"/>
    <w:rsid w:val="004311B9"/>
    <w:rsid w:val="004316BE"/>
    <w:rsid w:val="00431A20"/>
    <w:rsid w:val="004320AC"/>
    <w:rsid w:val="00432148"/>
    <w:rsid w:val="0043217D"/>
    <w:rsid w:val="0043267C"/>
    <w:rsid w:val="004336D7"/>
    <w:rsid w:val="004337B8"/>
    <w:rsid w:val="00433A49"/>
    <w:rsid w:val="00433BC1"/>
    <w:rsid w:val="00433DCB"/>
    <w:rsid w:val="00433E7F"/>
    <w:rsid w:val="004344B5"/>
    <w:rsid w:val="00434BFD"/>
    <w:rsid w:val="00434F84"/>
    <w:rsid w:val="00434FC3"/>
    <w:rsid w:val="004358E1"/>
    <w:rsid w:val="00435941"/>
    <w:rsid w:val="004359BC"/>
    <w:rsid w:val="00435A4E"/>
    <w:rsid w:val="00435DB5"/>
    <w:rsid w:val="004361A8"/>
    <w:rsid w:val="004363D2"/>
    <w:rsid w:val="0043670A"/>
    <w:rsid w:val="00436954"/>
    <w:rsid w:val="00436ACD"/>
    <w:rsid w:val="0043728C"/>
    <w:rsid w:val="004375BD"/>
    <w:rsid w:val="0044019E"/>
    <w:rsid w:val="0044034B"/>
    <w:rsid w:val="0044074E"/>
    <w:rsid w:val="0044129C"/>
    <w:rsid w:val="0044135A"/>
    <w:rsid w:val="00441779"/>
    <w:rsid w:val="00441885"/>
    <w:rsid w:val="004418A4"/>
    <w:rsid w:val="004419D0"/>
    <w:rsid w:val="00441E08"/>
    <w:rsid w:val="00441FB4"/>
    <w:rsid w:val="00441FC5"/>
    <w:rsid w:val="00442AEC"/>
    <w:rsid w:val="00443370"/>
    <w:rsid w:val="00443454"/>
    <w:rsid w:val="004438D3"/>
    <w:rsid w:val="00443EFE"/>
    <w:rsid w:val="00443F7E"/>
    <w:rsid w:val="004444C2"/>
    <w:rsid w:val="00444872"/>
    <w:rsid w:val="00444926"/>
    <w:rsid w:val="00444982"/>
    <w:rsid w:val="004449F4"/>
    <w:rsid w:val="00445869"/>
    <w:rsid w:val="00446618"/>
    <w:rsid w:val="00446749"/>
    <w:rsid w:val="00446AB4"/>
    <w:rsid w:val="00446C05"/>
    <w:rsid w:val="004470F7"/>
    <w:rsid w:val="00447293"/>
    <w:rsid w:val="004479FD"/>
    <w:rsid w:val="00447F0F"/>
    <w:rsid w:val="004506AA"/>
    <w:rsid w:val="00450AC0"/>
    <w:rsid w:val="00450C1D"/>
    <w:rsid w:val="00450FF9"/>
    <w:rsid w:val="0045121F"/>
    <w:rsid w:val="00451A9B"/>
    <w:rsid w:val="00451CC8"/>
    <w:rsid w:val="00451CE3"/>
    <w:rsid w:val="00452243"/>
    <w:rsid w:val="00452852"/>
    <w:rsid w:val="0045287F"/>
    <w:rsid w:val="004528B8"/>
    <w:rsid w:val="00452B7F"/>
    <w:rsid w:val="00452F3E"/>
    <w:rsid w:val="00453246"/>
    <w:rsid w:val="0045338D"/>
    <w:rsid w:val="004535EE"/>
    <w:rsid w:val="00453FDC"/>
    <w:rsid w:val="00454C57"/>
    <w:rsid w:val="00455E42"/>
    <w:rsid w:val="0045601F"/>
    <w:rsid w:val="004562DE"/>
    <w:rsid w:val="00456812"/>
    <w:rsid w:val="0045775A"/>
    <w:rsid w:val="004577FA"/>
    <w:rsid w:val="0046006C"/>
    <w:rsid w:val="004606AD"/>
    <w:rsid w:val="00460AF5"/>
    <w:rsid w:val="0046111D"/>
    <w:rsid w:val="0046117B"/>
    <w:rsid w:val="0046158C"/>
    <w:rsid w:val="0046180D"/>
    <w:rsid w:val="004619A4"/>
    <w:rsid w:val="00461C51"/>
    <w:rsid w:val="00462193"/>
    <w:rsid w:val="004621F1"/>
    <w:rsid w:val="00462415"/>
    <w:rsid w:val="0046245A"/>
    <w:rsid w:val="00462AFC"/>
    <w:rsid w:val="00462BAC"/>
    <w:rsid w:val="00462E46"/>
    <w:rsid w:val="00463122"/>
    <w:rsid w:val="0046340B"/>
    <w:rsid w:val="00463BB1"/>
    <w:rsid w:val="004648CD"/>
    <w:rsid w:val="00464EE2"/>
    <w:rsid w:val="00464EFC"/>
    <w:rsid w:val="0046543B"/>
    <w:rsid w:val="004657CF"/>
    <w:rsid w:val="004665A2"/>
    <w:rsid w:val="0046673F"/>
    <w:rsid w:val="00466FC5"/>
    <w:rsid w:val="0046710E"/>
    <w:rsid w:val="00467CC1"/>
    <w:rsid w:val="004707E5"/>
    <w:rsid w:val="00470CBB"/>
    <w:rsid w:val="00470D03"/>
    <w:rsid w:val="00470D11"/>
    <w:rsid w:val="00470D4F"/>
    <w:rsid w:val="00470ED3"/>
    <w:rsid w:val="00471406"/>
    <w:rsid w:val="004716B6"/>
    <w:rsid w:val="004718E8"/>
    <w:rsid w:val="00472485"/>
    <w:rsid w:val="00472864"/>
    <w:rsid w:val="004729BD"/>
    <w:rsid w:val="004731B4"/>
    <w:rsid w:val="00473DD6"/>
    <w:rsid w:val="004745F9"/>
    <w:rsid w:val="00474625"/>
    <w:rsid w:val="004747DE"/>
    <w:rsid w:val="0047489B"/>
    <w:rsid w:val="00474A6E"/>
    <w:rsid w:val="00474D59"/>
    <w:rsid w:val="00474FAD"/>
    <w:rsid w:val="0047526F"/>
    <w:rsid w:val="004753D5"/>
    <w:rsid w:val="004756D6"/>
    <w:rsid w:val="00475BD1"/>
    <w:rsid w:val="00477021"/>
    <w:rsid w:val="00477EC0"/>
    <w:rsid w:val="004805F8"/>
    <w:rsid w:val="00480618"/>
    <w:rsid w:val="00480B2B"/>
    <w:rsid w:val="00480D78"/>
    <w:rsid w:val="00481258"/>
    <w:rsid w:val="004818D9"/>
    <w:rsid w:val="00481AF7"/>
    <w:rsid w:val="00481B66"/>
    <w:rsid w:val="0048206F"/>
    <w:rsid w:val="00482141"/>
    <w:rsid w:val="004821C4"/>
    <w:rsid w:val="00482264"/>
    <w:rsid w:val="004827F5"/>
    <w:rsid w:val="00482CBF"/>
    <w:rsid w:val="004838DE"/>
    <w:rsid w:val="00483B5C"/>
    <w:rsid w:val="004848C2"/>
    <w:rsid w:val="00485236"/>
    <w:rsid w:val="00485B05"/>
    <w:rsid w:val="00485B6F"/>
    <w:rsid w:val="00485CD0"/>
    <w:rsid w:val="00486273"/>
    <w:rsid w:val="0048674A"/>
    <w:rsid w:val="00486758"/>
    <w:rsid w:val="004868AF"/>
    <w:rsid w:val="00486C41"/>
    <w:rsid w:val="00486E00"/>
    <w:rsid w:val="00487878"/>
    <w:rsid w:val="00487CF5"/>
    <w:rsid w:val="00490746"/>
    <w:rsid w:val="00490A5C"/>
    <w:rsid w:val="00490D19"/>
    <w:rsid w:val="0049126D"/>
    <w:rsid w:val="00491354"/>
    <w:rsid w:val="004913D2"/>
    <w:rsid w:val="00491725"/>
    <w:rsid w:val="00492A34"/>
    <w:rsid w:val="00492EF0"/>
    <w:rsid w:val="004931D9"/>
    <w:rsid w:val="0049334B"/>
    <w:rsid w:val="004933F2"/>
    <w:rsid w:val="004934E2"/>
    <w:rsid w:val="00493FD6"/>
    <w:rsid w:val="004941A3"/>
    <w:rsid w:val="00494665"/>
    <w:rsid w:val="004947B5"/>
    <w:rsid w:val="004951D9"/>
    <w:rsid w:val="00495D19"/>
    <w:rsid w:val="00495D46"/>
    <w:rsid w:val="00495F6C"/>
    <w:rsid w:val="004965AC"/>
    <w:rsid w:val="00497118"/>
    <w:rsid w:val="00497A26"/>
    <w:rsid w:val="00497D7D"/>
    <w:rsid w:val="004A0860"/>
    <w:rsid w:val="004A0D38"/>
    <w:rsid w:val="004A0FB4"/>
    <w:rsid w:val="004A1116"/>
    <w:rsid w:val="004A1CC2"/>
    <w:rsid w:val="004A1FF3"/>
    <w:rsid w:val="004A213C"/>
    <w:rsid w:val="004A25FD"/>
    <w:rsid w:val="004A2904"/>
    <w:rsid w:val="004A3F8A"/>
    <w:rsid w:val="004A43FF"/>
    <w:rsid w:val="004A49F3"/>
    <w:rsid w:val="004A4F1D"/>
    <w:rsid w:val="004A503F"/>
    <w:rsid w:val="004A5158"/>
    <w:rsid w:val="004A5443"/>
    <w:rsid w:val="004A5649"/>
    <w:rsid w:val="004A5BB0"/>
    <w:rsid w:val="004A5DC1"/>
    <w:rsid w:val="004A5F5E"/>
    <w:rsid w:val="004A6590"/>
    <w:rsid w:val="004A65DB"/>
    <w:rsid w:val="004A6B53"/>
    <w:rsid w:val="004A7410"/>
    <w:rsid w:val="004B030F"/>
    <w:rsid w:val="004B08E7"/>
    <w:rsid w:val="004B0BA2"/>
    <w:rsid w:val="004B0D2D"/>
    <w:rsid w:val="004B0DFE"/>
    <w:rsid w:val="004B107E"/>
    <w:rsid w:val="004B171A"/>
    <w:rsid w:val="004B1793"/>
    <w:rsid w:val="004B1AF1"/>
    <w:rsid w:val="004B1AF2"/>
    <w:rsid w:val="004B2240"/>
    <w:rsid w:val="004B22FC"/>
    <w:rsid w:val="004B2877"/>
    <w:rsid w:val="004B28B3"/>
    <w:rsid w:val="004B2C7A"/>
    <w:rsid w:val="004B2CA1"/>
    <w:rsid w:val="004B305F"/>
    <w:rsid w:val="004B31CF"/>
    <w:rsid w:val="004B3B0C"/>
    <w:rsid w:val="004B3B9E"/>
    <w:rsid w:val="004B3BB6"/>
    <w:rsid w:val="004B3D4D"/>
    <w:rsid w:val="004B4036"/>
    <w:rsid w:val="004B4111"/>
    <w:rsid w:val="004B4135"/>
    <w:rsid w:val="004B4539"/>
    <w:rsid w:val="004B4792"/>
    <w:rsid w:val="004B4B6A"/>
    <w:rsid w:val="004B50D7"/>
    <w:rsid w:val="004B5AE1"/>
    <w:rsid w:val="004B5BAE"/>
    <w:rsid w:val="004B5E95"/>
    <w:rsid w:val="004B63D6"/>
    <w:rsid w:val="004B778B"/>
    <w:rsid w:val="004B7881"/>
    <w:rsid w:val="004B79D5"/>
    <w:rsid w:val="004C0206"/>
    <w:rsid w:val="004C04F9"/>
    <w:rsid w:val="004C05FF"/>
    <w:rsid w:val="004C0932"/>
    <w:rsid w:val="004C1345"/>
    <w:rsid w:val="004C1620"/>
    <w:rsid w:val="004C164C"/>
    <w:rsid w:val="004C1A9D"/>
    <w:rsid w:val="004C2003"/>
    <w:rsid w:val="004C282D"/>
    <w:rsid w:val="004C2E5A"/>
    <w:rsid w:val="004C3116"/>
    <w:rsid w:val="004C3BF0"/>
    <w:rsid w:val="004C43D5"/>
    <w:rsid w:val="004C465A"/>
    <w:rsid w:val="004C4F86"/>
    <w:rsid w:val="004C56CE"/>
    <w:rsid w:val="004C57D7"/>
    <w:rsid w:val="004C5F49"/>
    <w:rsid w:val="004C6492"/>
    <w:rsid w:val="004C64C9"/>
    <w:rsid w:val="004C7050"/>
    <w:rsid w:val="004C723C"/>
    <w:rsid w:val="004C731A"/>
    <w:rsid w:val="004C7637"/>
    <w:rsid w:val="004C79CE"/>
    <w:rsid w:val="004C7E08"/>
    <w:rsid w:val="004D0396"/>
    <w:rsid w:val="004D06CF"/>
    <w:rsid w:val="004D0814"/>
    <w:rsid w:val="004D096A"/>
    <w:rsid w:val="004D141F"/>
    <w:rsid w:val="004D14DC"/>
    <w:rsid w:val="004D1692"/>
    <w:rsid w:val="004D30C9"/>
    <w:rsid w:val="004D3189"/>
    <w:rsid w:val="004D323F"/>
    <w:rsid w:val="004D372C"/>
    <w:rsid w:val="004D4081"/>
    <w:rsid w:val="004D41A0"/>
    <w:rsid w:val="004D5638"/>
    <w:rsid w:val="004D58E3"/>
    <w:rsid w:val="004D5C41"/>
    <w:rsid w:val="004D649B"/>
    <w:rsid w:val="004D653C"/>
    <w:rsid w:val="004D671E"/>
    <w:rsid w:val="004D6E87"/>
    <w:rsid w:val="004D705B"/>
    <w:rsid w:val="004D741A"/>
    <w:rsid w:val="004D74DF"/>
    <w:rsid w:val="004D7BDF"/>
    <w:rsid w:val="004E088D"/>
    <w:rsid w:val="004E10E7"/>
    <w:rsid w:val="004E15CA"/>
    <w:rsid w:val="004E1B0A"/>
    <w:rsid w:val="004E1E1C"/>
    <w:rsid w:val="004E1F84"/>
    <w:rsid w:val="004E2175"/>
    <w:rsid w:val="004E2572"/>
    <w:rsid w:val="004E274E"/>
    <w:rsid w:val="004E2A5E"/>
    <w:rsid w:val="004E2C7C"/>
    <w:rsid w:val="004E347F"/>
    <w:rsid w:val="004E367D"/>
    <w:rsid w:val="004E41D6"/>
    <w:rsid w:val="004E4510"/>
    <w:rsid w:val="004E48DB"/>
    <w:rsid w:val="004E5100"/>
    <w:rsid w:val="004E5690"/>
    <w:rsid w:val="004E6393"/>
    <w:rsid w:val="004E6857"/>
    <w:rsid w:val="004E7074"/>
    <w:rsid w:val="004E70D3"/>
    <w:rsid w:val="004E765C"/>
    <w:rsid w:val="004E7B12"/>
    <w:rsid w:val="004E7B71"/>
    <w:rsid w:val="004F01EA"/>
    <w:rsid w:val="004F09CA"/>
    <w:rsid w:val="004F0A13"/>
    <w:rsid w:val="004F1CC1"/>
    <w:rsid w:val="004F1D2D"/>
    <w:rsid w:val="004F20B0"/>
    <w:rsid w:val="004F20B9"/>
    <w:rsid w:val="004F220A"/>
    <w:rsid w:val="004F2341"/>
    <w:rsid w:val="004F360B"/>
    <w:rsid w:val="004F36DA"/>
    <w:rsid w:val="004F3721"/>
    <w:rsid w:val="004F3E42"/>
    <w:rsid w:val="004F45AD"/>
    <w:rsid w:val="004F4616"/>
    <w:rsid w:val="004F4706"/>
    <w:rsid w:val="004F47DE"/>
    <w:rsid w:val="004F48B4"/>
    <w:rsid w:val="004F4C86"/>
    <w:rsid w:val="004F5345"/>
    <w:rsid w:val="004F538D"/>
    <w:rsid w:val="004F598D"/>
    <w:rsid w:val="004F6746"/>
    <w:rsid w:val="004F6811"/>
    <w:rsid w:val="004F6820"/>
    <w:rsid w:val="004F7095"/>
    <w:rsid w:val="004F7696"/>
    <w:rsid w:val="004F7909"/>
    <w:rsid w:val="004F7EF7"/>
    <w:rsid w:val="00500194"/>
    <w:rsid w:val="00500244"/>
    <w:rsid w:val="005004CB"/>
    <w:rsid w:val="00500622"/>
    <w:rsid w:val="00500BFB"/>
    <w:rsid w:val="0050143E"/>
    <w:rsid w:val="0050242D"/>
    <w:rsid w:val="00502BF1"/>
    <w:rsid w:val="00502C9E"/>
    <w:rsid w:val="00502F9E"/>
    <w:rsid w:val="005034FD"/>
    <w:rsid w:val="00503621"/>
    <w:rsid w:val="005037B5"/>
    <w:rsid w:val="0050383B"/>
    <w:rsid w:val="005038D5"/>
    <w:rsid w:val="00503E1A"/>
    <w:rsid w:val="005049E9"/>
    <w:rsid w:val="00504D7A"/>
    <w:rsid w:val="00505462"/>
    <w:rsid w:val="00505600"/>
    <w:rsid w:val="005059CD"/>
    <w:rsid w:val="00506260"/>
    <w:rsid w:val="00506340"/>
    <w:rsid w:val="00506A7F"/>
    <w:rsid w:val="00506EDF"/>
    <w:rsid w:val="0050761E"/>
    <w:rsid w:val="00507B1E"/>
    <w:rsid w:val="00507EDB"/>
    <w:rsid w:val="00510231"/>
    <w:rsid w:val="00510964"/>
    <w:rsid w:val="00510A36"/>
    <w:rsid w:val="00511380"/>
    <w:rsid w:val="00511C98"/>
    <w:rsid w:val="005123E3"/>
    <w:rsid w:val="005124DD"/>
    <w:rsid w:val="005126CA"/>
    <w:rsid w:val="00512AE2"/>
    <w:rsid w:val="00512EB7"/>
    <w:rsid w:val="00513EB1"/>
    <w:rsid w:val="00514212"/>
    <w:rsid w:val="005147BC"/>
    <w:rsid w:val="00514989"/>
    <w:rsid w:val="00515570"/>
    <w:rsid w:val="0051557E"/>
    <w:rsid w:val="00515789"/>
    <w:rsid w:val="00515EC3"/>
    <w:rsid w:val="00516B1B"/>
    <w:rsid w:val="00516D61"/>
    <w:rsid w:val="00517530"/>
    <w:rsid w:val="00517601"/>
    <w:rsid w:val="005179A9"/>
    <w:rsid w:val="00517E6E"/>
    <w:rsid w:val="00520498"/>
    <w:rsid w:val="005204F5"/>
    <w:rsid w:val="00520A74"/>
    <w:rsid w:val="00520B74"/>
    <w:rsid w:val="0052113E"/>
    <w:rsid w:val="00521251"/>
    <w:rsid w:val="00521516"/>
    <w:rsid w:val="0052176D"/>
    <w:rsid w:val="00521F23"/>
    <w:rsid w:val="005223E1"/>
    <w:rsid w:val="0052244C"/>
    <w:rsid w:val="00522EC4"/>
    <w:rsid w:val="00523211"/>
    <w:rsid w:val="00523868"/>
    <w:rsid w:val="00523891"/>
    <w:rsid w:val="005241C0"/>
    <w:rsid w:val="005249C8"/>
    <w:rsid w:val="00524D98"/>
    <w:rsid w:val="00524EFD"/>
    <w:rsid w:val="00525566"/>
    <w:rsid w:val="00525841"/>
    <w:rsid w:val="00525C98"/>
    <w:rsid w:val="00525ECE"/>
    <w:rsid w:val="00526199"/>
    <w:rsid w:val="00526334"/>
    <w:rsid w:val="0052679B"/>
    <w:rsid w:val="0052679F"/>
    <w:rsid w:val="00526D3B"/>
    <w:rsid w:val="00526F81"/>
    <w:rsid w:val="0052719B"/>
    <w:rsid w:val="00527338"/>
    <w:rsid w:val="00527494"/>
    <w:rsid w:val="00527A8D"/>
    <w:rsid w:val="0053005E"/>
    <w:rsid w:val="00530810"/>
    <w:rsid w:val="00530A03"/>
    <w:rsid w:val="00530AF4"/>
    <w:rsid w:val="00530CEC"/>
    <w:rsid w:val="00531603"/>
    <w:rsid w:val="0053278C"/>
    <w:rsid w:val="00532D1B"/>
    <w:rsid w:val="00532D21"/>
    <w:rsid w:val="005330D0"/>
    <w:rsid w:val="005335A4"/>
    <w:rsid w:val="00534F16"/>
    <w:rsid w:val="00534FEE"/>
    <w:rsid w:val="005358CC"/>
    <w:rsid w:val="00535938"/>
    <w:rsid w:val="00535B4E"/>
    <w:rsid w:val="0053637D"/>
    <w:rsid w:val="005364FC"/>
    <w:rsid w:val="005371FC"/>
    <w:rsid w:val="005375F3"/>
    <w:rsid w:val="00537D8C"/>
    <w:rsid w:val="00540AF6"/>
    <w:rsid w:val="0054136B"/>
    <w:rsid w:val="0054158B"/>
    <w:rsid w:val="00542306"/>
    <w:rsid w:val="00542589"/>
    <w:rsid w:val="00542749"/>
    <w:rsid w:val="00542B51"/>
    <w:rsid w:val="00542BAE"/>
    <w:rsid w:val="00543555"/>
    <w:rsid w:val="005437AD"/>
    <w:rsid w:val="005438A5"/>
    <w:rsid w:val="00543B54"/>
    <w:rsid w:val="00543EF0"/>
    <w:rsid w:val="00543F4A"/>
    <w:rsid w:val="005441A8"/>
    <w:rsid w:val="00544D08"/>
    <w:rsid w:val="005456BA"/>
    <w:rsid w:val="005458B3"/>
    <w:rsid w:val="00545D3B"/>
    <w:rsid w:val="005460AB"/>
    <w:rsid w:val="005467A6"/>
    <w:rsid w:val="005467E3"/>
    <w:rsid w:val="005468FB"/>
    <w:rsid w:val="00546971"/>
    <w:rsid w:val="00546987"/>
    <w:rsid w:val="005469CA"/>
    <w:rsid w:val="00547244"/>
    <w:rsid w:val="00547675"/>
    <w:rsid w:val="00547729"/>
    <w:rsid w:val="005477FC"/>
    <w:rsid w:val="00547F2A"/>
    <w:rsid w:val="0055058B"/>
    <w:rsid w:val="0055066E"/>
    <w:rsid w:val="00550740"/>
    <w:rsid w:val="00551042"/>
    <w:rsid w:val="00551043"/>
    <w:rsid w:val="0055253F"/>
    <w:rsid w:val="005529C2"/>
    <w:rsid w:val="005531DA"/>
    <w:rsid w:val="00553294"/>
    <w:rsid w:val="00553868"/>
    <w:rsid w:val="005539F4"/>
    <w:rsid w:val="00553A74"/>
    <w:rsid w:val="005542BD"/>
    <w:rsid w:val="005542F8"/>
    <w:rsid w:val="00554470"/>
    <w:rsid w:val="00554663"/>
    <w:rsid w:val="005547DF"/>
    <w:rsid w:val="005549B8"/>
    <w:rsid w:val="005549DF"/>
    <w:rsid w:val="00554AD2"/>
    <w:rsid w:val="00554CA5"/>
    <w:rsid w:val="005552D5"/>
    <w:rsid w:val="00555444"/>
    <w:rsid w:val="0055550A"/>
    <w:rsid w:val="00555555"/>
    <w:rsid w:val="00555D76"/>
    <w:rsid w:val="00556613"/>
    <w:rsid w:val="00556C9A"/>
    <w:rsid w:val="0055769E"/>
    <w:rsid w:val="00557901"/>
    <w:rsid w:val="00557990"/>
    <w:rsid w:val="005602E3"/>
    <w:rsid w:val="005603E5"/>
    <w:rsid w:val="00560625"/>
    <w:rsid w:val="005606DB"/>
    <w:rsid w:val="00561179"/>
    <w:rsid w:val="00561555"/>
    <w:rsid w:val="005615BF"/>
    <w:rsid w:val="00561C33"/>
    <w:rsid w:val="0056202D"/>
    <w:rsid w:val="005620CB"/>
    <w:rsid w:val="0056211E"/>
    <w:rsid w:val="00562A59"/>
    <w:rsid w:val="00562B4A"/>
    <w:rsid w:val="00562EA3"/>
    <w:rsid w:val="00563221"/>
    <w:rsid w:val="00563E05"/>
    <w:rsid w:val="00563E68"/>
    <w:rsid w:val="005645C8"/>
    <w:rsid w:val="00564C8C"/>
    <w:rsid w:val="005655CB"/>
    <w:rsid w:val="00565A38"/>
    <w:rsid w:val="0056605E"/>
    <w:rsid w:val="005664B4"/>
    <w:rsid w:val="005666F0"/>
    <w:rsid w:val="00566D67"/>
    <w:rsid w:val="00567530"/>
    <w:rsid w:val="005677EB"/>
    <w:rsid w:val="00567C20"/>
    <w:rsid w:val="00570143"/>
    <w:rsid w:val="00570191"/>
    <w:rsid w:val="005703AE"/>
    <w:rsid w:val="00570A54"/>
    <w:rsid w:val="00570CDD"/>
    <w:rsid w:val="00570DCE"/>
    <w:rsid w:val="00570E8A"/>
    <w:rsid w:val="00571533"/>
    <w:rsid w:val="0057166A"/>
    <w:rsid w:val="00571798"/>
    <w:rsid w:val="00571C6D"/>
    <w:rsid w:val="00571E31"/>
    <w:rsid w:val="00571EEA"/>
    <w:rsid w:val="00571F66"/>
    <w:rsid w:val="00572110"/>
    <w:rsid w:val="00572237"/>
    <w:rsid w:val="005725D4"/>
    <w:rsid w:val="00572746"/>
    <w:rsid w:val="00572847"/>
    <w:rsid w:val="00572947"/>
    <w:rsid w:val="00572A15"/>
    <w:rsid w:val="00572BCE"/>
    <w:rsid w:val="00572ECA"/>
    <w:rsid w:val="0057312A"/>
    <w:rsid w:val="0057315D"/>
    <w:rsid w:val="005733C0"/>
    <w:rsid w:val="00573408"/>
    <w:rsid w:val="00573469"/>
    <w:rsid w:val="00573DCA"/>
    <w:rsid w:val="00574086"/>
    <w:rsid w:val="005749D0"/>
    <w:rsid w:val="0057514A"/>
    <w:rsid w:val="00575311"/>
    <w:rsid w:val="00575668"/>
    <w:rsid w:val="00575F65"/>
    <w:rsid w:val="00576243"/>
    <w:rsid w:val="00576753"/>
    <w:rsid w:val="0057678F"/>
    <w:rsid w:val="00576E3C"/>
    <w:rsid w:val="00577692"/>
    <w:rsid w:val="005800DD"/>
    <w:rsid w:val="005805B6"/>
    <w:rsid w:val="00580620"/>
    <w:rsid w:val="00580741"/>
    <w:rsid w:val="005817F7"/>
    <w:rsid w:val="00581A87"/>
    <w:rsid w:val="005821C1"/>
    <w:rsid w:val="005823E3"/>
    <w:rsid w:val="00582AE5"/>
    <w:rsid w:val="00582CF7"/>
    <w:rsid w:val="00583777"/>
    <w:rsid w:val="005839D7"/>
    <w:rsid w:val="00583F67"/>
    <w:rsid w:val="005842F4"/>
    <w:rsid w:val="0058449F"/>
    <w:rsid w:val="00584F02"/>
    <w:rsid w:val="0058534B"/>
    <w:rsid w:val="005857A4"/>
    <w:rsid w:val="005859B4"/>
    <w:rsid w:val="00585F6D"/>
    <w:rsid w:val="00585F96"/>
    <w:rsid w:val="00586190"/>
    <w:rsid w:val="0058697F"/>
    <w:rsid w:val="00587020"/>
    <w:rsid w:val="00587C96"/>
    <w:rsid w:val="00587E6A"/>
    <w:rsid w:val="00590315"/>
    <w:rsid w:val="00590326"/>
    <w:rsid w:val="0059098A"/>
    <w:rsid w:val="005911C3"/>
    <w:rsid w:val="00591DF3"/>
    <w:rsid w:val="00592238"/>
    <w:rsid w:val="0059246F"/>
    <w:rsid w:val="00592646"/>
    <w:rsid w:val="005928D1"/>
    <w:rsid w:val="00592CE0"/>
    <w:rsid w:val="00592F42"/>
    <w:rsid w:val="005930A4"/>
    <w:rsid w:val="00593656"/>
    <w:rsid w:val="0059397C"/>
    <w:rsid w:val="005948B1"/>
    <w:rsid w:val="00594B82"/>
    <w:rsid w:val="0059502F"/>
    <w:rsid w:val="00595438"/>
    <w:rsid w:val="0059574B"/>
    <w:rsid w:val="0059583D"/>
    <w:rsid w:val="0059588A"/>
    <w:rsid w:val="00595B22"/>
    <w:rsid w:val="00595E59"/>
    <w:rsid w:val="0059619B"/>
    <w:rsid w:val="00596DFA"/>
    <w:rsid w:val="0059722E"/>
    <w:rsid w:val="005976F2"/>
    <w:rsid w:val="00597757"/>
    <w:rsid w:val="005977A6"/>
    <w:rsid w:val="00597FEB"/>
    <w:rsid w:val="005A047A"/>
    <w:rsid w:val="005A04B9"/>
    <w:rsid w:val="005A06F3"/>
    <w:rsid w:val="005A0A5D"/>
    <w:rsid w:val="005A0AA3"/>
    <w:rsid w:val="005A143A"/>
    <w:rsid w:val="005A162F"/>
    <w:rsid w:val="005A1D5E"/>
    <w:rsid w:val="005A2CB8"/>
    <w:rsid w:val="005A308E"/>
    <w:rsid w:val="005A323A"/>
    <w:rsid w:val="005A3752"/>
    <w:rsid w:val="005A452C"/>
    <w:rsid w:val="005A4619"/>
    <w:rsid w:val="005A5022"/>
    <w:rsid w:val="005A56F1"/>
    <w:rsid w:val="005A5E5B"/>
    <w:rsid w:val="005A6082"/>
    <w:rsid w:val="005A60E9"/>
    <w:rsid w:val="005A62BF"/>
    <w:rsid w:val="005A67C6"/>
    <w:rsid w:val="005A69E6"/>
    <w:rsid w:val="005A6E4D"/>
    <w:rsid w:val="005A71D7"/>
    <w:rsid w:val="005A74B8"/>
    <w:rsid w:val="005A74E8"/>
    <w:rsid w:val="005A79BC"/>
    <w:rsid w:val="005A7A8B"/>
    <w:rsid w:val="005A7CED"/>
    <w:rsid w:val="005A7E8E"/>
    <w:rsid w:val="005B03D1"/>
    <w:rsid w:val="005B040C"/>
    <w:rsid w:val="005B0DE5"/>
    <w:rsid w:val="005B0F80"/>
    <w:rsid w:val="005B111E"/>
    <w:rsid w:val="005B1F32"/>
    <w:rsid w:val="005B2018"/>
    <w:rsid w:val="005B2169"/>
    <w:rsid w:val="005B2320"/>
    <w:rsid w:val="005B2720"/>
    <w:rsid w:val="005B2AA1"/>
    <w:rsid w:val="005B2ADD"/>
    <w:rsid w:val="005B2D0E"/>
    <w:rsid w:val="005B3099"/>
    <w:rsid w:val="005B3454"/>
    <w:rsid w:val="005B34C1"/>
    <w:rsid w:val="005B3708"/>
    <w:rsid w:val="005B3788"/>
    <w:rsid w:val="005B39DB"/>
    <w:rsid w:val="005B40EF"/>
    <w:rsid w:val="005B4126"/>
    <w:rsid w:val="005B4635"/>
    <w:rsid w:val="005B51D3"/>
    <w:rsid w:val="005B5695"/>
    <w:rsid w:val="005B5DA6"/>
    <w:rsid w:val="005B5DAA"/>
    <w:rsid w:val="005B60D9"/>
    <w:rsid w:val="005B6393"/>
    <w:rsid w:val="005B63EC"/>
    <w:rsid w:val="005B6629"/>
    <w:rsid w:val="005B69D2"/>
    <w:rsid w:val="005B6C24"/>
    <w:rsid w:val="005B6F6F"/>
    <w:rsid w:val="005B70F9"/>
    <w:rsid w:val="005B7470"/>
    <w:rsid w:val="005B79D0"/>
    <w:rsid w:val="005B79FA"/>
    <w:rsid w:val="005B7E73"/>
    <w:rsid w:val="005C00CB"/>
    <w:rsid w:val="005C07DE"/>
    <w:rsid w:val="005C0B2D"/>
    <w:rsid w:val="005C0C3C"/>
    <w:rsid w:val="005C11C7"/>
    <w:rsid w:val="005C13D7"/>
    <w:rsid w:val="005C1850"/>
    <w:rsid w:val="005C1EA3"/>
    <w:rsid w:val="005C20FD"/>
    <w:rsid w:val="005C3532"/>
    <w:rsid w:val="005C37E2"/>
    <w:rsid w:val="005C3821"/>
    <w:rsid w:val="005C458A"/>
    <w:rsid w:val="005C4721"/>
    <w:rsid w:val="005C4CBA"/>
    <w:rsid w:val="005C4DBE"/>
    <w:rsid w:val="005C4F6A"/>
    <w:rsid w:val="005C5839"/>
    <w:rsid w:val="005C5C10"/>
    <w:rsid w:val="005C612A"/>
    <w:rsid w:val="005C619E"/>
    <w:rsid w:val="005C641B"/>
    <w:rsid w:val="005C6701"/>
    <w:rsid w:val="005C6B8B"/>
    <w:rsid w:val="005C727F"/>
    <w:rsid w:val="005C7645"/>
    <w:rsid w:val="005D01AC"/>
    <w:rsid w:val="005D05F1"/>
    <w:rsid w:val="005D071E"/>
    <w:rsid w:val="005D0E4F"/>
    <w:rsid w:val="005D11A2"/>
    <w:rsid w:val="005D1AA9"/>
    <w:rsid w:val="005D1AE3"/>
    <w:rsid w:val="005D1B82"/>
    <w:rsid w:val="005D1E8B"/>
    <w:rsid w:val="005D22B5"/>
    <w:rsid w:val="005D289B"/>
    <w:rsid w:val="005D2F75"/>
    <w:rsid w:val="005D30D7"/>
    <w:rsid w:val="005D3275"/>
    <w:rsid w:val="005D346B"/>
    <w:rsid w:val="005D38F8"/>
    <w:rsid w:val="005D3A90"/>
    <w:rsid w:val="005D3AE4"/>
    <w:rsid w:val="005D3DA3"/>
    <w:rsid w:val="005D4408"/>
    <w:rsid w:val="005D44BB"/>
    <w:rsid w:val="005D49FD"/>
    <w:rsid w:val="005D516E"/>
    <w:rsid w:val="005D53C4"/>
    <w:rsid w:val="005D5708"/>
    <w:rsid w:val="005D5744"/>
    <w:rsid w:val="005D583A"/>
    <w:rsid w:val="005D5B0B"/>
    <w:rsid w:val="005D5D69"/>
    <w:rsid w:val="005D5F4F"/>
    <w:rsid w:val="005D6058"/>
    <w:rsid w:val="005D64A2"/>
    <w:rsid w:val="005D6AB4"/>
    <w:rsid w:val="005D6D97"/>
    <w:rsid w:val="005D6F97"/>
    <w:rsid w:val="005D735E"/>
    <w:rsid w:val="005E01C7"/>
    <w:rsid w:val="005E050D"/>
    <w:rsid w:val="005E0775"/>
    <w:rsid w:val="005E0B2E"/>
    <w:rsid w:val="005E1BEA"/>
    <w:rsid w:val="005E1E2C"/>
    <w:rsid w:val="005E1F4C"/>
    <w:rsid w:val="005E2713"/>
    <w:rsid w:val="005E2853"/>
    <w:rsid w:val="005E2867"/>
    <w:rsid w:val="005E2B4F"/>
    <w:rsid w:val="005E2C49"/>
    <w:rsid w:val="005E3065"/>
    <w:rsid w:val="005E35E1"/>
    <w:rsid w:val="005E42A0"/>
    <w:rsid w:val="005E4AE0"/>
    <w:rsid w:val="005E4F57"/>
    <w:rsid w:val="005E5215"/>
    <w:rsid w:val="005E6021"/>
    <w:rsid w:val="005E6177"/>
    <w:rsid w:val="005E622F"/>
    <w:rsid w:val="005E6230"/>
    <w:rsid w:val="005E625F"/>
    <w:rsid w:val="005E699F"/>
    <w:rsid w:val="005E6AF6"/>
    <w:rsid w:val="005E7FC6"/>
    <w:rsid w:val="005F0188"/>
    <w:rsid w:val="005F044F"/>
    <w:rsid w:val="005F07B0"/>
    <w:rsid w:val="005F0ECE"/>
    <w:rsid w:val="005F1131"/>
    <w:rsid w:val="005F1A11"/>
    <w:rsid w:val="005F1C39"/>
    <w:rsid w:val="005F1D71"/>
    <w:rsid w:val="005F1E74"/>
    <w:rsid w:val="005F2243"/>
    <w:rsid w:val="005F2A02"/>
    <w:rsid w:val="005F2AD3"/>
    <w:rsid w:val="005F3748"/>
    <w:rsid w:val="005F3A51"/>
    <w:rsid w:val="005F3ADB"/>
    <w:rsid w:val="005F42B1"/>
    <w:rsid w:val="005F43C4"/>
    <w:rsid w:val="005F4987"/>
    <w:rsid w:val="005F5793"/>
    <w:rsid w:val="005F5E06"/>
    <w:rsid w:val="005F648C"/>
    <w:rsid w:val="005F6759"/>
    <w:rsid w:val="005F68B9"/>
    <w:rsid w:val="005F7060"/>
    <w:rsid w:val="005F75B8"/>
    <w:rsid w:val="005F76E1"/>
    <w:rsid w:val="005F7867"/>
    <w:rsid w:val="005F7B9B"/>
    <w:rsid w:val="00600880"/>
    <w:rsid w:val="006008DA"/>
    <w:rsid w:val="00601ABD"/>
    <w:rsid w:val="00601BA7"/>
    <w:rsid w:val="00601FB0"/>
    <w:rsid w:val="00602AAB"/>
    <w:rsid w:val="00602BDC"/>
    <w:rsid w:val="006037CE"/>
    <w:rsid w:val="00603B1B"/>
    <w:rsid w:val="006041ED"/>
    <w:rsid w:val="00604B57"/>
    <w:rsid w:val="00604C15"/>
    <w:rsid w:val="0060514D"/>
    <w:rsid w:val="00605223"/>
    <w:rsid w:val="006053E4"/>
    <w:rsid w:val="00605E19"/>
    <w:rsid w:val="00606101"/>
    <w:rsid w:val="006067B9"/>
    <w:rsid w:val="006067D0"/>
    <w:rsid w:val="00606B1B"/>
    <w:rsid w:val="00606C42"/>
    <w:rsid w:val="00607184"/>
    <w:rsid w:val="0060754C"/>
    <w:rsid w:val="0060756F"/>
    <w:rsid w:val="006076F5"/>
    <w:rsid w:val="0060782E"/>
    <w:rsid w:val="006078B0"/>
    <w:rsid w:val="00607F5C"/>
    <w:rsid w:val="0061008D"/>
    <w:rsid w:val="0061051C"/>
    <w:rsid w:val="00610B5D"/>
    <w:rsid w:val="00610BE7"/>
    <w:rsid w:val="00610D74"/>
    <w:rsid w:val="00610EF1"/>
    <w:rsid w:val="00611C9D"/>
    <w:rsid w:val="006122C6"/>
    <w:rsid w:val="00612353"/>
    <w:rsid w:val="00612770"/>
    <w:rsid w:val="00612B71"/>
    <w:rsid w:val="006133C5"/>
    <w:rsid w:val="006135A3"/>
    <w:rsid w:val="00613D33"/>
    <w:rsid w:val="00614180"/>
    <w:rsid w:val="0061431A"/>
    <w:rsid w:val="00614641"/>
    <w:rsid w:val="006146BD"/>
    <w:rsid w:val="0061492B"/>
    <w:rsid w:val="00614A11"/>
    <w:rsid w:val="00614AA9"/>
    <w:rsid w:val="00614DD1"/>
    <w:rsid w:val="00615772"/>
    <w:rsid w:val="00615820"/>
    <w:rsid w:val="00616075"/>
    <w:rsid w:val="00616120"/>
    <w:rsid w:val="00616438"/>
    <w:rsid w:val="00616A17"/>
    <w:rsid w:val="00616DE6"/>
    <w:rsid w:val="00617651"/>
    <w:rsid w:val="00617B8C"/>
    <w:rsid w:val="00617DF3"/>
    <w:rsid w:val="00620732"/>
    <w:rsid w:val="00620C3F"/>
    <w:rsid w:val="00620D4F"/>
    <w:rsid w:val="006215A5"/>
    <w:rsid w:val="00621D93"/>
    <w:rsid w:val="00622D3C"/>
    <w:rsid w:val="00622E16"/>
    <w:rsid w:val="00623314"/>
    <w:rsid w:val="00623C3A"/>
    <w:rsid w:val="00623FEA"/>
    <w:rsid w:val="0062449D"/>
    <w:rsid w:val="006244B3"/>
    <w:rsid w:val="00624DDD"/>
    <w:rsid w:val="00624EF2"/>
    <w:rsid w:val="00624F27"/>
    <w:rsid w:val="00624FEE"/>
    <w:rsid w:val="00625492"/>
    <w:rsid w:val="00625C65"/>
    <w:rsid w:val="006263BB"/>
    <w:rsid w:val="006268CC"/>
    <w:rsid w:val="00626988"/>
    <w:rsid w:val="00626DBA"/>
    <w:rsid w:val="006276A1"/>
    <w:rsid w:val="00627963"/>
    <w:rsid w:val="00627BFA"/>
    <w:rsid w:val="00630198"/>
    <w:rsid w:val="0063033D"/>
    <w:rsid w:val="00630452"/>
    <w:rsid w:val="00631837"/>
    <w:rsid w:val="00631A4D"/>
    <w:rsid w:val="00631C16"/>
    <w:rsid w:val="006325D9"/>
    <w:rsid w:val="00632638"/>
    <w:rsid w:val="00632773"/>
    <w:rsid w:val="00632837"/>
    <w:rsid w:val="00632D3F"/>
    <w:rsid w:val="00633376"/>
    <w:rsid w:val="006334CE"/>
    <w:rsid w:val="006341EF"/>
    <w:rsid w:val="0063424A"/>
    <w:rsid w:val="006347A7"/>
    <w:rsid w:val="00634EE9"/>
    <w:rsid w:val="00635532"/>
    <w:rsid w:val="00635DF7"/>
    <w:rsid w:val="00636094"/>
    <w:rsid w:val="00636263"/>
    <w:rsid w:val="00636368"/>
    <w:rsid w:val="0063696A"/>
    <w:rsid w:val="00637131"/>
    <w:rsid w:val="006372F7"/>
    <w:rsid w:val="00637474"/>
    <w:rsid w:val="00637695"/>
    <w:rsid w:val="006377B8"/>
    <w:rsid w:val="00637A44"/>
    <w:rsid w:val="00637B1F"/>
    <w:rsid w:val="00637C95"/>
    <w:rsid w:val="00637E34"/>
    <w:rsid w:val="00640731"/>
    <w:rsid w:val="00640A02"/>
    <w:rsid w:val="006413BF"/>
    <w:rsid w:val="00641860"/>
    <w:rsid w:val="006418C1"/>
    <w:rsid w:val="006420B5"/>
    <w:rsid w:val="006421F7"/>
    <w:rsid w:val="00642228"/>
    <w:rsid w:val="006423A2"/>
    <w:rsid w:val="0064244E"/>
    <w:rsid w:val="00642485"/>
    <w:rsid w:val="0064253F"/>
    <w:rsid w:val="0064258A"/>
    <w:rsid w:val="006425EA"/>
    <w:rsid w:val="00642A78"/>
    <w:rsid w:val="006434F0"/>
    <w:rsid w:val="00643660"/>
    <w:rsid w:val="00643716"/>
    <w:rsid w:val="006437BA"/>
    <w:rsid w:val="00643DD1"/>
    <w:rsid w:val="00644117"/>
    <w:rsid w:val="006442B8"/>
    <w:rsid w:val="00644526"/>
    <w:rsid w:val="006450EB"/>
    <w:rsid w:val="0064542F"/>
    <w:rsid w:val="006454C9"/>
    <w:rsid w:val="00645A47"/>
    <w:rsid w:val="00646275"/>
    <w:rsid w:val="00646CF2"/>
    <w:rsid w:val="006471EC"/>
    <w:rsid w:val="00647267"/>
    <w:rsid w:val="0064743B"/>
    <w:rsid w:val="00647650"/>
    <w:rsid w:val="00647A31"/>
    <w:rsid w:val="00647B57"/>
    <w:rsid w:val="0065044A"/>
    <w:rsid w:val="006505F6"/>
    <w:rsid w:val="00650929"/>
    <w:rsid w:val="006509E5"/>
    <w:rsid w:val="00650C22"/>
    <w:rsid w:val="00650E5F"/>
    <w:rsid w:val="0065123A"/>
    <w:rsid w:val="0065135F"/>
    <w:rsid w:val="006516B6"/>
    <w:rsid w:val="006516EF"/>
    <w:rsid w:val="00652080"/>
    <w:rsid w:val="006521E7"/>
    <w:rsid w:val="00653051"/>
    <w:rsid w:val="006532B9"/>
    <w:rsid w:val="0065342A"/>
    <w:rsid w:val="00653B0F"/>
    <w:rsid w:val="0065450A"/>
    <w:rsid w:val="006546CD"/>
    <w:rsid w:val="006548D8"/>
    <w:rsid w:val="00654A1F"/>
    <w:rsid w:val="0065509E"/>
    <w:rsid w:val="006550DD"/>
    <w:rsid w:val="006554CD"/>
    <w:rsid w:val="00655572"/>
    <w:rsid w:val="00655D1D"/>
    <w:rsid w:val="00655F07"/>
    <w:rsid w:val="00656A07"/>
    <w:rsid w:val="00656CF4"/>
    <w:rsid w:val="00656E8E"/>
    <w:rsid w:val="00660038"/>
    <w:rsid w:val="006601BB"/>
    <w:rsid w:val="006613B9"/>
    <w:rsid w:val="006616BA"/>
    <w:rsid w:val="006619BF"/>
    <w:rsid w:val="00661E64"/>
    <w:rsid w:val="0066222C"/>
    <w:rsid w:val="0066233F"/>
    <w:rsid w:val="00662587"/>
    <w:rsid w:val="00662895"/>
    <w:rsid w:val="00662903"/>
    <w:rsid w:val="00662FF8"/>
    <w:rsid w:val="0066408D"/>
    <w:rsid w:val="006641AE"/>
    <w:rsid w:val="006645CD"/>
    <w:rsid w:val="0066477F"/>
    <w:rsid w:val="00664A48"/>
    <w:rsid w:val="00664F1B"/>
    <w:rsid w:val="00665311"/>
    <w:rsid w:val="0066548E"/>
    <w:rsid w:val="00665F04"/>
    <w:rsid w:val="00666707"/>
    <w:rsid w:val="00666B20"/>
    <w:rsid w:val="00666FDA"/>
    <w:rsid w:val="0066713F"/>
    <w:rsid w:val="0066761B"/>
    <w:rsid w:val="00667817"/>
    <w:rsid w:val="00667E46"/>
    <w:rsid w:val="006703A9"/>
    <w:rsid w:val="006703DC"/>
    <w:rsid w:val="00670A77"/>
    <w:rsid w:val="00671887"/>
    <w:rsid w:val="00671ADA"/>
    <w:rsid w:val="00671DB3"/>
    <w:rsid w:val="006720B0"/>
    <w:rsid w:val="00672297"/>
    <w:rsid w:val="00672D57"/>
    <w:rsid w:val="00672F76"/>
    <w:rsid w:val="00673D2F"/>
    <w:rsid w:val="006744D3"/>
    <w:rsid w:val="0067462A"/>
    <w:rsid w:val="006749A3"/>
    <w:rsid w:val="00674D4B"/>
    <w:rsid w:val="00675140"/>
    <w:rsid w:val="00675358"/>
    <w:rsid w:val="00675F41"/>
    <w:rsid w:val="00676189"/>
    <w:rsid w:val="006761D9"/>
    <w:rsid w:val="006764F7"/>
    <w:rsid w:val="0067676B"/>
    <w:rsid w:val="00676C1D"/>
    <w:rsid w:val="00677AC3"/>
    <w:rsid w:val="00677C18"/>
    <w:rsid w:val="00677EA6"/>
    <w:rsid w:val="00680678"/>
    <w:rsid w:val="006809F4"/>
    <w:rsid w:val="00680DEA"/>
    <w:rsid w:val="00681662"/>
    <w:rsid w:val="006818A5"/>
    <w:rsid w:val="00681AA0"/>
    <w:rsid w:val="0068280B"/>
    <w:rsid w:val="00682DFD"/>
    <w:rsid w:val="00682F56"/>
    <w:rsid w:val="0068364C"/>
    <w:rsid w:val="006841C9"/>
    <w:rsid w:val="00684251"/>
    <w:rsid w:val="00685629"/>
    <w:rsid w:val="0068565E"/>
    <w:rsid w:val="00685E71"/>
    <w:rsid w:val="0068618D"/>
    <w:rsid w:val="006866B2"/>
    <w:rsid w:val="00686D40"/>
    <w:rsid w:val="00687389"/>
    <w:rsid w:val="006877F6"/>
    <w:rsid w:val="006900BF"/>
    <w:rsid w:val="00690120"/>
    <w:rsid w:val="00690AAA"/>
    <w:rsid w:val="00690B4C"/>
    <w:rsid w:val="00690BC9"/>
    <w:rsid w:val="00690D3B"/>
    <w:rsid w:val="00690EF8"/>
    <w:rsid w:val="00691090"/>
    <w:rsid w:val="0069138A"/>
    <w:rsid w:val="006915B3"/>
    <w:rsid w:val="00691B77"/>
    <w:rsid w:val="00691BAB"/>
    <w:rsid w:val="00691C9E"/>
    <w:rsid w:val="006927A8"/>
    <w:rsid w:val="0069296C"/>
    <w:rsid w:val="00693539"/>
    <w:rsid w:val="006941EB"/>
    <w:rsid w:val="00694272"/>
    <w:rsid w:val="00694592"/>
    <w:rsid w:val="00694772"/>
    <w:rsid w:val="0069571C"/>
    <w:rsid w:val="00695BE6"/>
    <w:rsid w:val="00696829"/>
    <w:rsid w:val="00696BA8"/>
    <w:rsid w:val="00697132"/>
    <w:rsid w:val="00697283"/>
    <w:rsid w:val="006A03DF"/>
    <w:rsid w:val="006A0BFF"/>
    <w:rsid w:val="006A0DDB"/>
    <w:rsid w:val="006A102F"/>
    <w:rsid w:val="006A139A"/>
    <w:rsid w:val="006A1E59"/>
    <w:rsid w:val="006A1F95"/>
    <w:rsid w:val="006A2092"/>
    <w:rsid w:val="006A228B"/>
    <w:rsid w:val="006A33B1"/>
    <w:rsid w:val="006A358D"/>
    <w:rsid w:val="006A3A57"/>
    <w:rsid w:val="006A3FB1"/>
    <w:rsid w:val="006A434C"/>
    <w:rsid w:val="006A4869"/>
    <w:rsid w:val="006A48DA"/>
    <w:rsid w:val="006A5022"/>
    <w:rsid w:val="006A5787"/>
    <w:rsid w:val="006A585A"/>
    <w:rsid w:val="006A6092"/>
    <w:rsid w:val="006A668A"/>
    <w:rsid w:val="006A66D4"/>
    <w:rsid w:val="006A7151"/>
    <w:rsid w:val="006A75AF"/>
    <w:rsid w:val="006A7B83"/>
    <w:rsid w:val="006B0043"/>
    <w:rsid w:val="006B1CBA"/>
    <w:rsid w:val="006B21BE"/>
    <w:rsid w:val="006B25ED"/>
    <w:rsid w:val="006B2881"/>
    <w:rsid w:val="006B2AF7"/>
    <w:rsid w:val="006B2C95"/>
    <w:rsid w:val="006B33BD"/>
    <w:rsid w:val="006B3776"/>
    <w:rsid w:val="006B3C5A"/>
    <w:rsid w:val="006B440E"/>
    <w:rsid w:val="006B45EA"/>
    <w:rsid w:val="006B4C20"/>
    <w:rsid w:val="006B4CFF"/>
    <w:rsid w:val="006B50D8"/>
    <w:rsid w:val="006B59DD"/>
    <w:rsid w:val="006B5F8F"/>
    <w:rsid w:val="006B604A"/>
    <w:rsid w:val="006B6A65"/>
    <w:rsid w:val="006B7106"/>
    <w:rsid w:val="006B746B"/>
    <w:rsid w:val="006B7883"/>
    <w:rsid w:val="006B79A3"/>
    <w:rsid w:val="006C0014"/>
    <w:rsid w:val="006C00C0"/>
    <w:rsid w:val="006C02F7"/>
    <w:rsid w:val="006C047E"/>
    <w:rsid w:val="006C087B"/>
    <w:rsid w:val="006C0E43"/>
    <w:rsid w:val="006C0F0C"/>
    <w:rsid w:val="006C1630"/>
    <w:rsid w:val="006C1BF4"/>
    <w:rsid w:val="006C1E7F"/>
    <w:rsid w:val="006C2128"/>
    <w:rsid w:val="006C22C0"/>
    <w:rsid w:val="006C24D4"/>
    <w:rsid w:val="006C28A4"/>
    <w:rsid w:val="006C2A07"/>
    <w:rsid w:val="006C2B9F"/>
    <w:rsid w:val="006C2C9C"/>
    <w:rsid w:val="006C2DE3"/>
    <w:rsid w:val="006C2E52"/>
    <w:rsid w:val="006C33AE"/>
    <w:rsid w:val="006C35B7"/>
    <w:rsid w:val="006C3C0F"/>
    <w:rsid w:val="006C3C64"/>
    <w:rsid w:val="006C3E79"/>
    <w:rsid w:val="006C4578"/>
    <w:rsid w:val="006C4671"/>
    <w:rsid w:val="006C4EA0"/>
    <w:rsid w:val="006C5185"/>
    <w:rsid w:val="006C51C0"/>
    <w:rsid w:val="006C5241"/>
    <w:rsid w:val="006C57B8"/>
    <w:rsid w:val="006C5A35"/>
    <w:rsid w:val="006C5EB0"/>
    <w:rsid w:val="006C684B"/>
    <w:rsid w:val="006C6CA6"/>
    <w:rsid w:val="006C706A"/>
    <w:rsid w:val="006C7402"/>
    <w:rsid w:val="006C7417"/>
    <w:rsid w:val="006C7E23"/>
    <w:rsid w:val="006C7F1F"/>
    <w:rsid w:val="006C7FD4"/>
    <w:rsid w:val="006D00B7"/>
    <w:rsid w:val="006D0AC4"/>
    <w:rsid w:val="006D0CD5"/>
    <w:rsid w:val="006D1046"/>
    <w:rsid w:val="006D109F"/>
    <w:rsid w:val="006D17D6"/>
    <w:rsid w:val="006D18B1"/>
    <w:rsid w:val="006D1E21"/>
    <w:rsid w:val="006D20E3"/>
    <w:rsid w:val="006D222A"/>
    <w:rsid w:val="006D279D"/>
    <w:rsid w:val="006D2922"/>
    <w:rsid w:val="006D296F"/>
    <w:rsid w:val="006D301A"/>
    <w:rsid w:val="006D304A"/>
    <w:rsid w:val="006D330F"/>
    <w:rsid w:val="006D3ECE"/>
    <w:rsid w:val="006D4128"/>
    <w:rsid w:val="006D4416"/>
    <w:rsid w:val="006D46AC"/>
    <w:rsid w:val="006D4968"/>
    <w:rsid w:val="006D4C21"/>
    <w:rsid w:val="006D5021"/>
    <w:rsid w:val="006D52F2"/>
    <w:rsid w:val="006D5684"/>
    <w:rsid w:val="006D5CDD"/>
    <w:rsid w:val="006D5D81"/>
    <w:rsid w:val="006D5DB1"/>
    <w:rsid w:val="006D632C"/>
    <w:rsid w:val="006D7243"/>
    <w:rsid w:val="006D751F"/>
    <w:rsid w:val="006D7686"/>
    <w:rsid w:val="006D7B09"/>
    <w:rsid w:val="006D7C1F"/>
    <w:rsid w:val="006D7DC7"/>
    <w:rsid w:val="006E0092"/>
    <w:rsid w:val="006E0502"/>
    <w:rsid w:val="006E06CE"/>
    <w:rsid w:val="006E0C53"/>
    <w:rsid w:val="006E0FEA"/>
    <w:rsid w:val="006E12F7"/>
    <w:rsid w:val="006E156B"/>
    <w:rsid w:val="006E18F1"/>
    <w:rsid w:val="006E26EC"/>
    <w:rsid w:val="006E2732"/>
    <w:rsid w:val="006E2C37"/>
    <w:rsid w:val="006E2F89"/>
    <w:rsid w:val="006E35A9"/>
    <w:rsid w:val="006E4C33"/>
    <w:rsid w:val="006E4CA7"/>
    <w:rsid w:val="006E589E"/>
    <w:rsid w:val="006E5F16"/>
    <w:rsid w:val="006E6033"/>
    <w:rsid w:val="006E707F"/>
    <w:rsid w:val="006E70CB"/>
    <w:rsid w:val="006E749F"/>
    <w:rsid w:val="006F00E8"/>
    <w:rsid w:val="006F00EE"/>
    <w:rsid w:val="006F0B6F"/>
    <w:rsid w:val="006F0BC2"/>
    <w:rsid w:val="006F0C6F"/>
    <w:rsid w:val="006F1A9D"/>
    <w:rsid w:val="006F1ADC"/>
    <w:rsid w:val="006F1B88"/>
    <w:rsid w:val="006F1CBB"/>
    <w:rsid w:val="006F277D"/>
    <w:rsid w:val="006F281A"/>
    <w:rsid w:val="006F2831"/>
    <w:rsid w:val="006F2B80"/>
    <w:rsid w:val="006F2CDE"/>
    <w:rsid w:val="006F2D26"/>
    <w:rsid w:val="006F2D6C"/>
    <w:rsid w:val="006F3000"/>
    <w:rsid w:val="006F36C2"/>
    <w:rsid w:val="006F3936"/>
    <w:rsid w:val="006F3960"/>
    <w:rsid w:val="006F3971"/>
    <w:rsid w:val="006F39CB"/>
    <w:rsid w:val="006F4A79"/>
    <w:rsid w:val="006F4EB8"/>
    <w:rsid w:val="006F58AF"/>
    <w:rsid w:val="006F5B38"/>
    <w:rsid w:val="006F5F68"/>
    <w:rsid w:val="006F5FC2"/>
    <w:rsid w:val="006F61C0"/>
    <w:rsid w:val="006F6214"/>
    <w:rsid w:val="006F62D1"/>
    <w:rsid w:val="006F6713"/>
    <w:rsid w:val="006F6D89"/>
    <w:rsid w:val="006F7623"/>
    <w:rsid w:val="006F76A2"/>
    <w:rsid w:val="006F7ED5"/>
    <w:rsid w:val="00700606"/>
    <w:rsid w:val="00700649"/>
    <w:rsid w:val="00700DEB"/>
    <w:rsid w:val="007011CE"/>
    <w:rsid w:val="0070170A"/>
    <w:rsid w:val="00701DAD"/>
    <w:rsid w:val="00701E89"/>
    <w:rsid w:val="0070202A"/>
    <w:rsid w:val="00702282"/>
    <w:rsid w:val="0070234E"/>
    <w:rsid w:val="007023A3"/>
    <w:rsid w:val="00702EE4"/>
    <w:rsid w:val="00702FF4"/>
    <w:rsid w:val="00703154"/>
    <w:rsid w:val="0070338C"/>
    <w:rsid w:val="007035AF"/>
    <w:rsid w:val="00703ADA"/>
    <w:rsid w:val="00703E0D"/>
    <w:rsid w:val="00703F46"/>
    <w:rsid w:val="0070461B"/>
    <w:rsid w:val="007048C9"/>
    <w:rsid w:val="00704980"/>
    <w:rsid w:val="00704D05"/>
    <w:rsid w:val="00705A15"/>
    <w:rsid w:val="00705F6E"/>
    <w:rsid w:val="00706190"/>
    <w:rsid w:val="0070675A"/>
    <w:rsid w:val="00706ACB"/>
    <w:rsid w:val="007074AA"/>
    <w:rsid w:val="00707564"/>
    <w:rsid w:val="00707B51"/>
    <w:rsid w:val="00707B65"/>
    <w:rsid w:val="00707CFA"/>
    <w:rsid w:val="00707D38"/>
    <w:rsid w:val="0071077F"/>
    <w:rsid w:val="007109CB"/>
    <w:rsid w:val="007114E7"/>
    <w:rsid w:val="00711A31"/>
    <w:rsid w:val="007124C8"/>
    <w:rsid w:val="007125AC"/>
    <w:rsid w:val="00712667"/>
    <w:rsid w:val="00712BE4"/>
    <w:rsid w:val="00712C32"/>
    <w:rsid w:val="00712E51"/>
    <w:rsid w:val="00712EAB"/>
    <w:rsid w:val="00713094"/>
    <w:rsid w:val="00713427"/>
    <w:rsid w:val="00713CB3"/>
    <w:rsid w:val="00713EB5"/>
    <w:rsid w:val="007140DA"/>
    <w:rsid w:val="00714879"/>
    <w:rsid w:val="00714EA9"/>
    <w:rsid w:val="007153F4"/>
    <w:rsid w:val="00715B4F"/>
    <w:rsid w:val="007168C9"/>
    <w:rsid w:val="007172A8"/>
    <w:rsid w:val="007172D3"/>
    <w:rsid w:val="007173F5"/>
    <w:rsid w:val="007175F5"/>
    <w:rsid w:val="00717768"/>
    <w:rsid w:val="00717AEE"/>
    <w:rsid w:val="00717CD4"/>
    <w:rsid w:val="007204B9"/>
    <w:rsid w:val="00720926"/>
    <w:rsid w:val="00721597"/>
    <w:rsid w:val="00722209"/>
    <w:rsid w:val="007223CD"/>
    <w:rsid w:val="0072295A"/>
    <w:rsid w:val="00722AC3"/>
    <w:rsid w:val="00722C03"/>
    <w:rsid w:val="00722C4C"/>
    <w:rsid w:val="00722DEC"/>
    <w:rsid w:val="007232C6"/>
    <w:rsid w:val="007233D4"/>
    <w:rsid w:val="00723BDB"/>
    <w:rsid w:val="00723D19"/>
    <w:rsid w:val="0072478D"/>
    <w:rsid w:val="007247B9"/>
    <w:rsid w:val="00724C12"/>
    <w:rsid w:val="00725597"/>
    <w:rsid w:val="00725986"/>
    <w:rsid w:val="0072603F"/>
    <w:rsid w:val="007262EE"/>
    <w:rsid w:val="007263A3"/>
    <w:rsid w:val="00726C56"/>
    <w:rsid w:val="00726EBC"/>
    <w:rsid w:val="007272A9"/>
    <w:rsid w:val="007278C2"/>
    <w:rsid w:val="00727A38"/>
    <w:rsid w:val="00727E44"/>
    <w:rsid w:val="00730582"/>
    <w:rsid w:val="007307F8"/>
    <w:rsid w:val="00730D85"/>
    <w:rsid w:val="00730E04"/>
    <w:rsid w:val="0073134A"/>
    <w:rsid w:val="007314DF"/>
    <w:rsid w:val="00731505"/>
    <w:rsid w:val="00731FA5"/>
    <w:rsid w:val="0073246D"/>
    <w:rsid w:val="00732791"/>
    <w:rsid w:val="00732880"/>
    <w:rsid w:val="0073378F"/>
    <w:rsid w:val="00733B1B"/>
    <w:rsid w:val="007340DF"/>
    <w:rsid w:val="0073414E"/>
    <w:rsid w:val="007341EB"/>
    <w:rsid w:val="007344BA"/>
    <w:rsid w:val="007353C0"/>
    <w:rsid w:val="00735AB2"/>
    <w:rsid w:val="00735AF8"/>
    <w:rsid w:val="00735C15"/>
    <w:rsid w:val="007361C1"/>
    <w:rsid w:val="007363E1"/>
    <w:rsid w:val="007368FA"/>
    <w:rsid w:val="00736AB1"/>
    <w:rsid w:val="00736CF8"/>
    <w:rsid w:val="0073775E"/>
    <w:rsid w:val="00737A68"/>
    <w:rsid w:val="00737CC0"/>
    <w:rsid w:val="00737D89"/>
    <w:rsid w:val="00740350"/>
    <w:rsid w:val="0074092F"/>
    <w:rsid w:val="00740A2B"/>
    <w:rsid w:val="00740B30"/>
    <w:rsid w:val="00740BAD"/>
    <w:rsid w:val="00740E19"/>
    <w:rsid w:val="00740E81"/>
    <w:rsid w:val="00740F51"/>
    <w:rsid w:val="00741443"/>
    <w:rsid w:val="00741991"/>
    <w:rsid w:val="00741AF8"/>
    <w:rsid w:val="00741CDE"/>
    <w:rsid w:val="00742206"/>
    <w:rsid w:val="00742704"/>
    <w:rsid w:val="0074314E"/>
    <w:rsid w:val="00743306"/>
    <w:rsid w:val="0074344D"/>
    <w:rsid w:val="007435D3"/>
    <w:rsid w:val="00743CAA"/>
    <w:rsid w:val="00744BD6"/>
    <w:rsid w:val="00744EF6"/>
    <w:rsid w:val="00744F1D"/>
    <w:rsid w:val="007454ED"/>
    <w:rsid w:val="0074582B"/>
    <w:rsid w:val="0074599F"/>
    <w:rsid w:val="00745EC1"/>
    <w:rsid w:val="00746358"/>
    <w:rsid w:val="007464DB"/>
    <w:rsid w:val="0074671F"/>
    <w:rsid w:val="00746A58"/>
    <w:rsid w:val="00746FB6"/>
    <w:rsid w:val="00747288"/>
    <w:rsid w:val="00747A25"/>
    <w:rsid w:val="00747AEC"/>
    <w:rsid w:val="00747F9D"/>
    <w:rsid w:val="00750244"/>
    <w:rsid w:val="00750609"/>
    <w:rsid w:val="00750683"/>
    <w:rsid w:val="00750FE2"/>
    <w:rsid w:val="0075102F"/>
    <w:rsid w:val="0075197B"/>
    <w:rsid w:val="00751E9B"/>
    <w:rsid w:val="0075231A"/>
    <w:rsid w:val="00752F2E"/>
    <w:rsid w:val="0075309C"/>
    <w:rsid w:val="007532FC"/>
    <w:rsid w:val="00753977"/>
    <w:rsid w:val="00753A24"/>
    <w:rsid w:val="00753B84"/>
    <w:rsid w:val="00753E96"/>
    <w:rsid w:val="0075457F"/>
    <w:rsid w:val="007546A3"/>
    <w:rsid w:val="007546FF"/>
    <w:rsid w:val="00754ABC"/>
    <w:rsid w:val="00754C21"/>
    <w:rsid w:val="00754E68"/>
    <w:rsid w:val="007551F1"/>
    <w:rsid w:val="00755220"/>
    <w:rsid w:val="0075530C"/>
    <w:rsid w:val="007568E8"/>
    <w:rsid w:val="00756924"/>
    <w:rsid w:val="00756AA6"/>
    <w:rsid w:val="0075732E"/>
    <w:rsid w:val="007605F2"/>
    <w:rsid w:val="00760A09"/>
    <w:rsid w:val="007611FA"/>
    <w:rsid w:val="00761217"/>
    <w:rsid w:val="00761242"/>
    <w:rsid w:val="007612A4"/>
    <w:rsid w:val="0076137A"/>
    <w:rsid w:val="00761A9B"/>
    <w:rsid w:val="00761C7C"/>
    <w:rsid w:val="00762456"/>
    <w:rsid w:val="00762B81"/>
    <w:rsid w:val="00763493"/>
    <w:rsid w:val="007634B5"/>
    <w:rsid w:val="00763A68"/>
    <w:rsid w:val="00764152"/>
    <w:rsid w:val="0076440A"/>
    <w:rsid w:val="00764DA7"/>
    <w:rsid w:val="00764F27"/>
    <w:rsid w:val="00765A8C"/>
    <w:rsid w:val="00765BCC"/>
    <w:rsid w:val="00766102"/>
    <w:rsid w:val="0076611B"/>
    <w:rsid w:val="00766156"/>
    <w:rsid w:val="00766160"/>
    <w:rsid w:val="007664D3"/>
    <w:rsid w:val="0076691C"/>
    <w:rsid w:val="0076750D"/>
    <w:rsid w:val="0077084E"/>
    <w:rsid w:val="0077086E"/>
    <w:rsid w:val="00770A52"/>
    <w:rsid w:val="00770CFE"/>
    <w:rsid w:val="00770DA8"/>
    <w:rsid w:val="00770DD2"/>
    <w:rsid w:val="00771A9B"/>
    <w:rsid w:val="00772A1E"/>
    <w:rsid w:val="00772C74"/>
    <w:rsid w:val="00772E19"/>
    <w:rsid w:val="0077303A"/>
    <w:rsid w:val="0077336B"/>
    <w:rsid w:val="007738D8"/>
    <w:rsid w:val="0077399F"/>
    <w:rsid w:val="007739A9"/>
    <w:rsid w:val="00773A17"/>
    <w:rsid w:val="00773BE6"/>
    <w:rsid w:val="00773C1D"/>
    <w:rsid w:val="00773F6C"/>
    <w:rsid w:val="00774063"/>
    <w:rsid w:val="00774649"/>
    <w:rsid w:val="0077509B"/>
    <w:rsid w:val="00775353"/>
    <w:rsid w:val="00775CB8"/>
    <w:rsid w:val="007760ED"/>
    <w:rsid w:val="00776435"/>
    <w:rsid w:val="00776E98"/>
    <w:rsid w:val="0077713E"/>
    <w:rsid w:val="00777373"/>
    <w:rsid w:val="007776C4"/>
    <w:rsid w:val="00777E0D"/>
    <w:rsid w:val="00780638"/>
    <w:rsid w:val="0078072B"/>
    <w:rsid w:val="00780AF4"/>
    <w:rsid w:val="00780AFB"/>
    <w:rsid w:val="00780CFD"/>
    <w:rsid w:val="007813DF"/>
    <w:rsid w:val="007814F0"/>
    <w:rsid w:val="0078179C"/>
    <w:rsid w:val="00781881"/>
    <w:rsid w:val="00781988"/>
    <w:rsid w:val="00781BA3"/>
    <w:rsid w:val="00781E73"/>
    <w:rsid w:val="007824BF"/>
    <w:rsid w:val="00782566"/>
    <w:rsid w:val="00782764"/>
    <w:rsid w:val="007828BE"/>
    <w:rsid w:val="00783134"/>
    <w:rsid w:val="00783210"/>
    <w:rsid w:val="0078368E"/>
    <w:rsid w:val="00783ACC"/>
    <w:rsid w:val="00783AD9"/>
    <w:rsid w:val="00784183"/>
    <w:rsid w:val="00784193"/>
    <w:rsid w:val="007846B7"/>
    <w:rsid w:val="007850DF"/>
    <w:rsid w:val="00785FD4"/>
    <w:rsid w:val="00785FF7"/>
    <w:rsid w:val="00786693"/>
    <w:rsid w:val="00786884"/>
    <w:rsid w:val="0078698E"/>
    <w:rsid w:val="00786AA5"/>
    <w:rsid w:val="00787213"/>
    <w:rsid w:val="007874F7"/>
    <w:rsid w:val="0079046C"/>
    <w:rsid w:val="007909A8"/>
    <w:rsid w:val="00790AD9"/>
    <w:rsid w:val="00790CB4"/>
    <w:rsid w:val="00792C2E"/>
    <w:rsid w:val="00792C42"/>
    <w:rsid w:val="0079315F"/>
    <w:rsid w:val="007937B9"/>
    <w:rsid w:val="00794797"/>
    <w:rsid w:val="00794954"/>
    <w:rsid w:val="007949C5"/>
    <w:rsid w:val="00794F51"/>
    <w:rsid w:val="00794F63"/>
    <w:rsid w:val="00794FA2"/>
    <w:rsid w:val="0079550B"/>
    <w:rsid w:val="00795EEA"/>
    <w:rsid w:val="0079602D"/>
    <w:rsid w:val="00796147"/>
    <w:rsid w:val="007967A9"/>
    <w:rsid w:val="00796A83"/>
    <w:rsid w:val="00796DAB"/>
    <w:rsid w:val="0079712F"/>
    <w:rsid w:val="0079773D"/>
    <w:rsid w:val="00797AAC"/>
    <w:rsid w:val="00797D8B"/>
    <w:rsid w:val="007A0245"/>
    <w:rsid w:val="007A05F0"/>
    <w:rsid w:val="007A0BA1"/>
    <w:rsid w:val="007A1062"/>
    <w:rsid w:val="007A120C"/>
    <w:rsid w:val="007A131B"/>
    <w:rsid w:val="007A133E"/>
    <w:rsid w:val="007A1826"/>
    <w:rsid w:val="007A1ED0"/>
    <w:rsid w:val="007A239F"/>
    <w:rsid w:val="007A2D6B"/>
    <w:rsid w:val="007A2DDC"/>
    <w:rsid w:val="007A33CE"/>
    <w:rsid w:val="007A3822"/>
    <w:rsid w:val="007A390F"/>
    <w:rsid w:val="007A3A54"/>
    <w:rsid w:val="007A3CD6"/>
    <w:rsid w:val="007A3DA3"/>
    <w:rsid w:val="007A40F0"/>
    <w:rsid w:val="007A445B"/>
    <w:rsid w:val="007A49E4"/>
    <w:rsid w:val="007A4A45"/>
    <w:rsid w:val="007A4A94"/>
    <w:rsid w:val="007A4D71"/>
    <w:rsid w:val="007A4F61"/>
    <w:rsid w:val="007A53B2"/>
    <w:rsid w:val="007A5758"/>
    <w:rsid w:val="007A5B49"/>
    <w:rsid w:val="007A5DB6"/>
    <w:rsid w:val="007A5E40"/>
    <w:rsid w:val="007A5FD6"/>
    <w:rsid w:val="007A5FFA"/>
    <w:rsid w:val="007A607E"/>
    <w:rsid w:val="007A6B9F"/>
    <w:rsid w:val="007A71BA"/>
    <w:rsid w:val="007A724D"/>
    <w:rsid w:val="007A740B"/>
    <w:rsid w:val="007A7EBA"/>
    <w:rsid w:val="007B0081"/>
    <w:rsid w:val="007B0881"/>
    <w:rsid w:val="007B0DFC"/>
    <w:rsid w:val="007B10FC"/>
    <w:rsid w:val="007B1751"/>
    <w:rsid w:val="007B1998"/>
    <w:rsid w:val="007B1B4A"/>
    <w:rsid w:val="007B247A"/>
    <w:rsid w:val="007B25C0"/>
    <w:rsid w:val="007B2603"/>
    <w:rsid w:val="007B2A9F"/>
    <w:rsid w:val="007B3371"/>
    <w:rsid w:val="007B3AA9"/>
    <w:rsid w:val="007B3B61"/>
    <w:rsid w:val="007B3EC4"/>
    <w:rsid w:val="007B44C7"/>
    <w:rsid w:val="007B4774"/>
    <w:rsid w:val="007B496A"/>
    <w:rsid w:val="007B4DBB"/>
    <w:rsid w:val="007B4EA7"/>
    <w:rsid w:val="007B55B0"/>
    <w:rsid w:val="007B55FF"/>
    <w:rsid w:val="007B5802"/>
    <w:rsid w:val="007B5D97"/>
    <w:rsid w:val="007B630B"/>
    <w:rsid w:val="007B6458"/>
    <w:rsid w:val="007B69DC"/>
    <w:rsid w:val="007B6DA4"/>
    <w:rsid w:val="007B6EBC"/>
    <w:rsid w:val="007C00A6"/>
    <w:rsid w:val="007C0174"/>
    <w:rsid w:val="007C0843"/>
    <w:rsid w:val="007C0879"/>
    <w:rsid w:val="007C0AB3"/>
    <w:rsid w:val="007C0B09"/>
    <w:rsid w:val="007C0C4A"/>
    <w:rsid w:val="007C0EDD"/>
    <w:rsid w:val="007C2981"/>
    <w:rsid w:val="007C29CC"/>
    <w:rsid w:val="007C2C99"/>
    <w:rsid w:val="007C302A"/>
    <w:rsid w:val="007C33C2"/>
    <w:rsid w:val="007C3492"/>
    <w:rsid w:val="007C37AC"/>
    <w:rsid w:val="007C468B"/>
    <w:rsid w:val="007C5118"/>
    <w:rsid w:val="007C5305"/>
    <w:rsid w:val="007C5759"/>
    <w:rsid w:val="007C5B95"/>
    <w:rsid w:val="007C682E"/>
    <w:rsid w:val="007C6B6A"/>
    <w:rsid w:val="007C6FEA"/>
    <w:rsid w:val="007C752B"/>
    <w:rsid w:val="007C7584"/>
    <w:rsid w:val="007C7627"/>
    <w:rsid w:val="007C762B"/>
    <w:rsid w:val="007C764A"/>
    <w:rsid w:val="007C78A8"/>
    <w:rsid w:val="007C7C53"/>
    <w:rsid w:val="007C7D2F"/>
    <w:rsid w:val="007D003A"/>
    <w:rsid w:val="007D0191"/>
    <w:rsid w:val="007D024E"/>
    <w:rsid w:val="007D0A9D"/>
    <w:rsid w:val="007D2283"/>
    <w:rsid w:val="007D2E4B"/>
    <w:rsid w:val="007D2E96"/>
    <w:rsid w:val="007D2F05"/>
    <w:rsid w:val="007D3CB8"/>
    <w:rsid w:val="007D3F05"/>
    <w:rsid w:val="007D4447"/>
    <w:rsid w:val="007D4491"/>
    <w:rsid w:val="007D4654"/>
    <w:rsid w:val="007D46D4"/>
    <w:rsid w:val="007D4D94"/>
    <w:rsid w:val="007D4FA5"/>
    <w:rsid w:val="007D593D"/>
    <w:rsid w:val="007D5F76"/>
    <w:rsid w:val="007D64A3"/>
    <w:rsid w:val="007D65B4"/>
    <w:rsid w:val="007D6C0F"/>
    <w:rsid w:val="007D711C"/>
    <w:rsid w:val="007D7187"/>
    <w:rsid w:val="007D74FF"/>
    <w:rsid w:val="007D759F"/>
    <w:rsid w:val="007D7749"/>
    <w:rsid w:val="007D7F12"/>
    <w:rsid w:val="007D7F44"/>
    <w:rsid w:val="007E0253"/>
    <w:rsid w:val="007E03C6"/>
    <w:rsid w:val="007E08D4"/>
    <w:rsid w:val="007E0A73"/>
    <w:rsid w:val="007E0F22"/>
    <w:rsid w:val="007E11CF"/>
    <w:rsid w:val="007E15EB"/>
    <w:rsid w:val="007E1786"/>
    <w:rsid w:val="007E1934"/>
    <w:rsid w:val="007E2296"/>
    <w:rsid w:val="007E2536"/>
    <w:rsid w:val="007E2F54"/>
    <w:rsid w:val="007E2F90"/>
    <w:rsid w:val="007E3206"/>
    <w:rsid w:val="007E35A5"/>
    <w:rsid w:val="007E3CF2"/>
    <w:rsid w:val="007E3CF3"/>
    <w:rsid w:val="007E3DB0"/>
    <w:rsid w:val="007E3E85"/>
    <w:rsid w:val="007E3FA2"/>
    <w:rsid w:val="007E427E"/>
    <w:rsid w:val="007E47C4"/>
    <w:rsid w:val="007E5295"/>
    <w:rsid w:val="007E5ADE"/>
    <w:rsid w:val="007E63B2"/>
    <w:rsid w:val="007E676E"/>
    <w:rsid w:val="007E68B2"/>
    <w:rsid w:val="007E6C9D"/>
    <w:rsid w:val="007E6CC9"/>
    <w:rsid w:val="007E76E8"/>
    <w:rsid w:val="007E7705"/>
    <w:rsid w:val="007E7C8D"/>
    <w:rsid w:val="007F021E"/>
    <w:rsid w:val="007F0909"/>
    <w:rsid w:val="007F14D5"/>
    <w:rsid w:val="007F17D1"/>
    <w:rsid w:val="007F2276"/>
    <w:rsid w:val="007F22A9"/>
    <w:rsid w:val="007F27FE"/>
    <w:rsid w:val="007F28B8"/>
    <w:rsid w:val="007F2B17"/>
    <w:rsid w:val="007F38BA"/>
    <w:rsid w:val="007F4296"/>
    <w:rsid w:val="007F4431"/>
    <w:rsid w:val="007F448D"/>
    <w:rsid w:val="007F4568"/>
    <w:rsid w:val="007F4780"/>
    <w:rsid w:val="007F4D22"/>
    <w:rsid w:val="007F4EE7"/>
    <w:rsid w:val="007F4F45"/>
    <w:rsid w:val="007F4FFA"/>
    <w:rsid w:val="007F59D6"/>
    <w:rsid w:val="007F5F99"/>
    <w:rsid w:val="007F6F69"/>
    <w:rsid w:val="007F7163"/>
    <w:rsid w:val="007F7654"/>
    <w:rsid w:val="007F785D"/>
    <w:rsid w:val="007F78A1"/>
    <w:rsid w:val="007F7ABC"/>
    <w:rsid w:val="008008D2"/>
    <w:rsid w:val="00800A25"/>
    <w:rsid w:val="00800C18"/>
    <w:rsid w:val="008016A9"/>
    <w:rsid w:val="00801B70"/>
    <w:rsid w:val="00801B71"/>
    <w:rsid w:val="008020BE"/>
    <w:rsid w:val="00802461"/>
    <w:rsid w:val="00802D2F"/>
    <w:rsid w:val="008030A4"/>
    <w:rsid w:val="0080360D"/>
    <w:rsid w:val="00803A7D"/>
    <w:rsid w:val="00804030"/>
    <w:rsid w:val="00804082"/>
    <w:rsid w:val="008044F4"/>
    <w:rsid w:val="008045A4"/>
    <w:rsid w:val="00804E39"/>
    <w:rsid w:val="008051C8"/>
    <w:rsid w:val="008053B0"/>
    <w:rsid w:val="008053D2"/>
    <w:rsid w:val="0080547D"/>
    <w:rsid w:val="00805619"/>
    <w:rsid w:val="00805D9A"/>
    <w:rsid w:val="00806232"/>
    <w:rsid w:val="0080662B"/>
    <w:rsid w:val="00806700"/>
    <w:rsid w:val="00806E28"/>
    <w:rsid w:val="00807276"/>
    <w:rsid w:val="008074D4"/>
    <w:rsid w:val="008077BB"/>
    <w:rsid w:val="008079DA"/>
    <w:rsid w:val="00810239"/>
    <w:rsid w:val="0081035F"/>
    <w:rsid w:val="00810433"/>
    <w:rsid w:val="008105D6"/>
    <w:rsid w:val="0081072B"/>
    <w:rsid w:val="00811468"/>
    <w:rsid w:val="00811567"/>
    <w:rsid w:val="008115A1"/>
    <w:rsid w:val="0081210C"/>
    <w:rsid w:val="00812164"/>
    <w:rsid w:val="00812494"/>
    <w:rsid w:val="008125E1"/>
    <w:rsid w:val="00812BC4"/>
    <w:rsid w:val="00812CDD"/>
    <w:rsid w:val="008131C3"/>
    <w:rsid w:val="0081329F"/>
    <w:rsid w:val="0081353D"/>
    <w:rsid w:val="0081371A"/>
    <w:rsid w:val="00813AB7"/>
    <w:rsid w:val="00813BE1"/>
    <w:rsid w:val="00814352"/>
    <w:rsid w:val="00814BC8"/>
    <w:rsid w:val="00814CA9"/>
    <w:rsid w:val="00814EBA"/>
    <w:rsid w:val="00815236"/>
    <w:rsid w:val="0081525C"/>
    <w:rsid w:val="00815312"/>
    <w:rsid w:val="0081532C"/>
    <w:rsid w:val="008153AD"/>
    <w:rsid w:val="0081541A"/>
    <w:rsid w:val="00815667"/>
    <w:rsid w:val="0081574B"/>
    <w:rsid w:val="00815F6E"/>
    <w:rsid w:val="008161B0"/>
    <w:rsid w:val="0081690F"/>
    <w:rsid w:val="008169A9"/>
    <w:rsid w:val="00816A64"/>
    <w:rsid w:val="0081733D"/>
    <w:rsid w:val="00817553"/>
    <w:rsid w:val="00817847"/>
    <w:rsid w:val="00817B16"/>
    <w:rsid w:val="00817FF8"/>
    <w:rsid w:val="0082002F"/>
    <w:rsid w:val="0082019E"/>
    <w:rsid w:val="008204B5"/>
    <w:rsid w:val="00820641"/>
    <w:rsid w:val="00820974"/>
    <w:rsid w:val="00820BF7"/>
    <w:rsid w:val="00820E42"/>
    <w:rsid w:val="00820E9A"/>
    <w:rsid w:val="00820ED5"/>
    <w:rsid w:val="008217D1"/>
    <w:rsid w:val="00821A8F"/>
    <w:rsid w:val="00821E2D"/>
    <w:rsid w:val="008220CF"/>
    <w:rsid w:val="0082219B"/>
    <w:rsid w:val="00822973"/>
    <w:rsid w:val="00822D94"/>
    <w:rsid w:val="008232D7"/>
    <w:rsid w:val="00823DA2"/>
    <w:rsid w:val="00824543"/>
    <w:rsid w:val="008245E8"/>
    <w:rsid w:val="00825C6D"/>
    <w:rsid w:val="00825E96"/>
    <w:rsid w:val="00825F81"/>
    <w:rsid w:val="008263C3"/>
    <w:rsid w:val="00826581"/>
    <w:rsid w:val="0082664F"/>
    <w:rsid w:val="00826A15"/>
    <w:rsid w:val="00826E69"/>
    <w:rsid w:val="008270BC"/>
    <w:rsid w:val="00827117"/>
    <w:rsid w:val="008272C2"/>
    <w:rsid w:val="00827E12"/>
    <w:rsid w:val="00830A31"/>
    <w:rsid w:val="00830E89"/>
    <w:rsid w:val="008311C6"/>
    <w:rsid w:val="008313CC"/>
    <w:rsid w:val="00831A3C"/>
    <w:rsid w:val="00831A40"/>
    <w:rsid w:val="00832149"/>
    <w:rsid w:val="008324D7"/>
    <w:rsid w:val="00832716"/>
    <w:rsid w:val="0083279D"/>
    <w:rsid w:val="00833002"/>
    <w:rsid w:val="0083345D"/>
    <w:rsid w:val="00833558"/>
    <w:rsid w:val="00833BA0"/>
    <w:rsid w:val="00833C1F"/>
    <w:rsid w:val="008345EF"/>
    <w:rsid w:val="008349AA"/>
    <w:rsid w:val="00834F05"/>
    <w:rsid w:val="00835318"/>
    <w:rsid w:val="0083545E"/>
    <w:rsid w:val="008358E6"/>
    <w:rsid w:val="00835BB4"/>
    <w:rsid w:val="00835D4E"/>
    <w:rsid w:val="00835FA6"/>
    <w:rsid w:val="00836778"/>
    <w:rsid w:val="00837075"/>
    <w:rsid w:val="00837417"/>
    <w:rsid w:val="00837583"/>
    <w:rsid w:val="00837590"/>
    <w:rsid w:val="00837B02"/>
    <w:rsid w:val="0084093F"/>
    <w:rsid w:val="008409F8"/>
    <w:rsid w:val="00840D34"/>
    <w:rsid w:val="00840D36"/>
    <w:rsid w:val="008411EA"/>
    <w:rsid w:val="0084133A"/>
    <w:rsid w:val="008415E0"/>
    <w:rsid w:val="00841826"/>
    <w:rsid w:val="00842191"/>
    <w:rsid w:val="00842766"/>
    <w:rsid w:val="00842B97"/>
    <w:rsid w:val="00842E5A"/>
    <w:rsid w:val="00842F26"/>
    <w:rsid w:val="00842F2D"/>
    <w:rsid w:val="008434BD"/>
    <w:rsid w:val="00843C73"/>
    <w:rsid w:val="00843E12"/>
    <w:rsid w:val="00843E1A"/>
    <w:rsid w:val="00843E4A"/>
    <w:rsid w:val="0084432E"/>
    <w:rsid w:val="00844431"/>
    <w:rsid w:val="0084450E"/>
    <w:rsid w:val="00844F4F"/>
    <w:rsid w:val="00845845"/>
    <w:rsid w:val="00846181"/>
    <w:rsid w:val="00846625"/>
    <w:rsid w:val="00846691"/>
    <w:rsid w:val="00846B8B"/>
    <w:rsid w:val="00846DE1"/>
    <w:rsid w:val="00846F07"/>
    <w:rsid w:val="008470C8"/>
    <w:rsid w:val="008471A3"/>
    <w:rsid w:val="00847390"/>
    <w:rsid w:val="00847478"/>
    <w:rsid w:val="0084781E"/>
    <w:rsid w:val="00847C30"/>
    <w:rsid w:val="00850234"/>
    <w:rsid w:val="008502B6"/>
    <w:rsid w:val="00850439"/>
    <w:rsid w:val="0085059A"/>
    <w:rsid w:val="00850A88"/>
    <w:rsid w:val="00851131"/>
    <w:rsid w:val="008516BB"/>
    <w:rsid w:val="008521BD"/>
    <w:rsid w:val="008525E6"/>
    <w:rsid w:val="008527CB"/>
    <w:rsid w:val="00852956"/>
    <w:rsid w:val="00852D5A"/>
    <w:rsid w:val="00852DA4"/>
    <w:rsid w:val="00852E48"/>
    <w:rsid w:val="00853212"/>
    <w:rsid w:val="0085397A"/>
    <w:rsid w:val="008543D7"/>
    <w:rsid w:val="008545CD"/>
    <w:rsid w:val="00854842"/>
    <w:rsid w:val="00854F45"/>
    <w:rsid w:val="008554BA"/>
    <w:rsid w:val="008554DB"/>
    <w:rsid w:val="00855770"/>
    <w:rsid w:val="008559C7"/>
    <w:rsid w:val="00855A3F"/>
    <w:rsid w:val="00855FE9"/>
    <w:rsid w:val="00856071"/>
    <w:rsid w:val="008564E8"/>
    <w:rsid w:val="00856762"/>
    <w:rsid w:val="00856C10"/>
    <w:rsid w:val="008570B0"/>
    <w:rsid w:val="00857188"/>
    <w:rsid w:val="008575EE"/>
    <w:rsid w:val="0085770C"/>
    <w:rsid w:val="008578C5"/>
    <w:rsid w:val="00857988"/>
    <w:rsid w:val="00857C06"/>
    <w:rsid w:val="00857E66"/>
    <w:rsid w:val="00857F27"/>
    <w:rsid w:val="00860153"/>
    <w:rsid w:val="00860706"/>
    <w:rsid w:val="00860725"/>
    <w:rsid w:val="0086075B"/>
    <w:rsid w:val="00860943"/>
    <w:rsid w:val="00861018"/>
    <w:rsid w:val="008610FB"/>
    <w:rsid w:val="008612EF"/>
    <w:rsid w:val="00861E1C"/>
    <w:rsid w:val="00861FDC"/>
    <w:rsid w:val="008622B0"/>
    <w:rsid w:val="00862324"/>
    <w:rsid w:val="00862A2E"/>
    <w:rsid w:val="00862CCD"/>
    <w:rsid w:val="00862F46"/>
    <w:rsid w:val="00862FA7"/>
    <w:rsid w:val="008632C8"/>
    <w:rsid w:val="00863C56"/>
    <w:rsid w:val="00863CDA"/>
    <w:rsid w:val="00863FF8"/>
    <w:rsid w:val="0086435D"/>
    <w:rsid w:val="00864376"/>
    <w:rsid w:val="00864A2A"/>
    <w:rsid w:val="00865533"/>
    <w:rsid w:val="00865960"/>
    <w:rsid w:val="00865EB0"/>
    <w:rsid w:val="008668CE"/>
    <w:rsid w:val="008668D9"/>
    <w:rsid w:val="00866A4C"/>
    <w:rsid w:val="00866A73"/>
    <w:rsid w:val="00866F31"/>
    <w:rsid w:val="00867669"/>
    <w:rsid w:val="00867CC6"/>
    <w:rsid w:val="00867D30"/>
    <w:rsid w:val="00870559"/>
    <w:rsid w:val="008709D1"/>
    <w:rsid w:val="00870F8C"/>
    <w:rsid w:val="00871028"/>
    <w:rsid w:val="00871E9B"/>
    <w:rsid w:val="00871F0F"/>
    <w:rsid w:val="0087210F"/>
    <w:rsid w:val="00872EC7"/>
    <w:rsid w:val="0087301C"/>
    <w:rsid w:val="00873603"/>
    <w:rsid w:val="00873749"/>
    <w:rsid w:val="00873C6B"/>
    <w:rsid w:val="00873DD2"/>
    <w:rsid w:val="008742A1"/>
    <w:rsid w:val="00875298"/>
    <w:rsid w:val="008754F5"/>
    <w:rsid w:val="00875640"/>
    <w:rsid w:val="0087582C"/>
    <w:rsid w:val="00875EC0"/>
    <w:rsid w:val="00876031"/>
    <w:rsid w:val="0087632F"/>
    <w:rsid w:val="0087653E"/>
    <w:rsid w:val="00876AE3"/>
    <w:rsid w:val="00876F2A"/>
    <w:rsid w:val="00877362"/>
    <w:rsid w:val="00877620"/>
    <w:rsid w:val="00877682"/>
    <w:rsid w:val="00877E6F"/>
    <w:rsid w:val="0088017E"/>
    <w:rsid w:val="00880672"/>
    <w:rsid w:val="00880890"/>
    <w:rsid w:val="008808DD"/>
    <w:rsid w:val="00880B57"/>
    <w:rsid w:val="00880B9F"/>
    <w:rsid w:val="00880D1B"/>
    <w:rsid w:val="00880DC2"/>
    <w:rsid w:val="00880FB4"/>
    <w:rsid w:val="00881B45"/>
    <w:rsid w:val="00881B98"/>
    <w:rsid w:val="008820CE"/>
    <w:rsid w:val="00882177"/>
    <w:rsid w:val="0088238C"/>
    <w:rsid w:val="00882BCA"/>
    <w:rsid w:val="00882DDC"/>
    <w:rsid w:val="00883185"/>
    <w:rsid w:val="0088354D"/>
    <w:rsid w:val="008838F3"/>
    <w:rsid w:val="00883BB5"/>
    <w:rsid w:val="00883E62"/>
    <w:rsid w:val="0088430C"/>
    <w:rsid w:val="0088477E"/>
    <w:rsid w:val="00884BAC"/>
    <w:rsid w:val="00884D1B"/>
    <w:rsid w:val="00884E58"/>
    <w:rsid w:val="00884ECC"/>
    <w:rsid w:val="00885713"/>
    <w:rsid w:val="00885BDA"/>
    <w:rsid w:val="00885F2B"/>
    <w:rsid w:val="0088603B"/>
    <w:rsid w:val="00886071"/>
    <w:rsid w:val="00886334"/>
    <w:rsid w:val="00886917"/>
    <w:rsid w:val="00886B97"/>
    <w:rsid w:val="00886BD3"/>
    <w:rsid w:val="008871CA"/>
    <w:rsid w:val="00887234"/>
    <w:rsid w:val="0088740C"/>
    <w:rsid w:val="00887447"/>
    <w:rsid w:val="008874D7"/>
    <w:rsid w:val="00887DA3"/>
    <w:rsid w:val="00890964"/>
    <w:rsid w:val="00890BDC"/>
    <w:rsid w:val="0089132D"/>
    <w:rsid w:val="00891F48"/>
    <w:rsid w:val="00892A1D"/>
    <w:rsid w:val="00892D88"/>
    <w:rsid w:val="00893038"/>
    <w:rsid w:val="008935AD"/>
    <w:rsid w:val="00893641"/>
    <w:rsid w:val="00893971"/>
    <w:rsid w:val="00894690"/>
    <w:rsid w:val="008949B5"/>
    <w:rsid w:val="00894E0A"/>
    <w:rsid w:val="0089513A"/>
    <w:rsid w:val="0089518F"/>
    <w:rsid w:val="0089604B"/>
    <w:rsid w:val="0089618A"/>
    <w:rsid w:val="008961D3"/>
    <w:rsid w:val="00896499"/>
    <w:rsid w:val="00896754"/>
    <w:rsid w:val="00896888"/>
    <w:rsid w:val="00896C5B"/>
    <w:rsid w:val="00897261"/>
    <w:rsid w:val="0089769D"/>
    <w:rsid w:val="008976FB"/>
    <w:rsid w:val="00897927"/>
    <w:rsid w:val="00897D18"/>
    <w:rsid w:val="008A04C5"/>
    <w:rsid w:val="008A08BC"/>
    <w:rsid w:val="008A0959"/>
    <w:rsid w:val="008A0A66"/>
    <w:rsid w:val="008A0A73"/>
    <w:rsid w:val="008A0E3D"/>
    <w:rsid w:val="008A1130"/>
    <w:rsid w:val="008A162C"/>
    <w:rsid w:val="008A170D"/>
    <w:rsid w:val="008A1B0F"/>
    <w:rsid w:val="008A1B88"/>
    <w:rsid w:val="008A2550"/>
    <w:rsid w:val="008A2872"/>
    <w:rsid w:val="008A2D27"/>
    <w:rsid w:val="008A3816"/>
    <w:rsid w:val="008A3C15"/>
    <w:rsid w:val="008A3E1A"/>
    <w:rsid w:val="008A4859"/>
    <w:rsid w:val="008A4D0D"/>
    <w:rsid w:val="008A4D7F"/>
    <w:rsid w:val="008A5467"/>
    <w:rsid w:val="008A5611"/>
    <w:rsid w:val="008A58B8"/>
    <w:rsid w:val="008A58C6"/>
    <w:rsid w:val="008A6372"/>
    <w:rsid w:val="008A67E7"/>
    <w:rsid w:val="008A72F0"/>
    <w:rsid w:val="008A7B2A"/>
    <w:rsid w:val="008B01D0"/>
    <w:rsid w:val="008B05AF"/>
    <w:rsid w:val="008B14F4"/>
    <w:rsid w:val="008B1845"/>
    <w:rsid w:val="008B1A31"/>
    <w:rsid w:val="008B1CCA"/>
    <w:rsid w:val="008B2948"/>
    <w:rsid w:val="008B3107"/>
    <w:rsid w:val="008B332B"/>
    <w:rsid w:val="008B3A2F"/>
    <w:rsid w:val="008B4272"/>
    <w:rsid w:val="008B42EA"/>
    <w:rsid w:val="008B4416"/>
    <w:rsid w:val="008B4788"/>
    <w:rsid w:val="008B4B39"/>
    <w:rsid w:val="008B5B1D"/>
    <w:rsid w:val="008B614F"/>
    <w:rsid w:val="008B654F"/>
    <w:rsid w:val="008B685F"/>
    <w:rsid w:val="008B68BE"/>
    <w:rsid w:val="008B69CB"/>
    <w:rsid w:val="008B6A7C"/>
    <w:rsid w:val="008B6AD8"/>
    <w:rsid w:val="008B6D09"/>
    <w:rsid w:val="008B6F58"/>
    <w:rsid w:val="008B7321"/>
    <w:rsid w:val="008B74DA"/>
    <w:rsid w:val="008B7AC0"/>
    <w:rsid w:val="008C0406"/>
    <w:rsid w:val="008C0588"/>
    <w:rsid w:val="008C15FE"/>
    <w:rsid w:val="008C1686"/>
    <w:rsid w:val="008C16BB"/>
    <w:rsid w:val="008C170F"/>
    <w:rsid w:val="008C1871"/>
    <w:rsid w:val="008C202E"/>
    <w:rsid w:val="008C2200"/>
    <w:rsid w:val="008C2377"/>
    <w:rsid w:val="008C2518"/>
    <w:rsid w:val="008C3012"/>
    <w:rsid w:val="008C32C5"/>
    <w:rsid w:val="008C37C7"/>
    <w:rsid w:val="008C38E4"/>
    <w:rsid w:val="008C3F7C"/>
    <w:rsid w:val="008C5466"/>
    <w:rsid w:val="008C588B"/>
    <w:rsid w:val="008C5CE9"/>
    <w:rsid w:val="008C5D52"/>
    <w:rsid w:val="008C6C3B"/>
    <w:rsid w:val="008C6EE6"/>
    <w:rsid w:val="008C70BE"/>
    <w:rsid w:val="008C72FD"/>
    <w:rsid w:val="008C79DA"/>
    <w:rsid w:val="008C7FA3"/>
    <w:rsid w:val="008D0137"/>
    <w:rsid w:val="008D0C69"/>
    <w:rsid w:val="008D1187"/>
    <w:rsid w:val="008D139F"/>
    <w:rsid w:val="008D189A"/>
    <w:rsid w:val="008D1D23"/>
    <w:rsid w:val="008D1F8D"/>
    <w:rsid w:val="008D1FBC"/>
    <w:rsid w:val="008D219E"/>
    <w:rsid w:val="008D3243"/>
    <w:rsid w:val="008D394D"/>
    <w:rsid w:val="008D399B"/>
    <w:rsid w:val="008D39B2"/>
    <w:rsid w:val="008D39E6"/>
    <w:rsid w:val="008D3DBB"/>
    <w:rsid w:val="008D3F94"/>
    <w:rsid w:val="008D41EF"/>
    <w:rsid w:val="008D450B"/>
    <w:rsid w:val="008D47E5"/>
    <w:rsid w:val="008D4D0C"/>
    <w:rsid w:val="008D4D28"/>
    <w:rsid w:val="008D4DE8"/>
    <w:rsid w:val="008D4E5F"/>
    <w:rsid w:val="008D4ED0"/>
    <w:rsid w:val="008D4FAC"/>
    <w:rsid w:val="008D51E1"/>
    <w:rsid w:val="008D589C"/>
    <w:rsid w:val="008D59E4"/>
    <w:rsid w:val="008D5A92"/>
    <w:rsid w:val="008D5F63"/>
    <w:rsid w:val="008D6DA8"/>
    <w:rsid w:val="008D6DF6"/>
    <w:rsid w:val="008D71F4"/>
    <w:rsid w:val="008D7277"/>
    <w:rsid w:val="008D758D"/>
    <w:rsid w:val="008D7590"/>
    <w:rsid w:val="008D77FB"/>
    <w:rsid w:val="008E0AB1"/>
    <w:rsid w:val="008E16C0"/>
    <w:rsid w:val="008E18C1"/>
    <w:rsid w:val="008E19C6"/>
    <w:rsid w:val="008E1B3B"/>
    <w:rsid w:val="008E1C48"/>
    <w:rsid w:val="008E1CC3"/>
    <w:rsid w:val="008E1CDE"/>
    <w:rsid w:val="008E29F1"/>
    <w:rsid w:val="008E2F73"/>
    <w:rsid w:val="008E3F18"/>
    <w:rsid w:val="008E3FA3"/>
    <w:rsid w:val="008E4A8F"/>
    <w:rsid w:val="008E4C7E"/>
    <w:rsid w:val="008E4EC0"/>
    <w:rsid w:val="008E4F27"/>
    <w:rsid w:val="008E53B1"/>
    <w:rsid w:val="008E6854"/>
    <w:rsid w:val="008E6953"/>
    <w:rsid w:val="008E6960"/>
    <w:rsid w:val="008E6A29"/>
    <w:rsid w:val="008E6B20"/>
    <w:rsid w:val="008E6B51"/>
    <w:rsid w:val="008E6C89"/>
    <w:rsid w:val="008E6EDD"/>
    <w:rsid w:val="008E70CB"/>
    <w:rsid w:val="008E76FC"/>
    <w:rsid w:val="008E78C5"/>
    <w:rsid w:val="008E7D86"/>
    <w:rsid w:val="008F1338"/>
    <w:rsid w:val="008F15F0"/>
    <w:rsid w:val="008F22F9"/>
    <w:rsid w:val="008F23DC"/>
    <w:rsid w:val="008F2537"/>
    <w:rsid w:val="008F253C"/>
    <w:rsid w:val="008F2F51"/>
    <w:rsid w:val="008F31A0"/>
    <w:rsid w:val="008F354F"/>
    <w:rsid w:val="008F387E"/>
    <w:rsid w:val="008F3A51"/>
    <w:rsid w:val="008F3D60"/>
    <w:rsid w:val="008F438D"/>
    <w:rsid w:val="008F44FB"/>
    <w:rsid w:val="008F4711"/>
    <w:rsid w:val="008F4CFF"/>
    <w:rsid w:val="008F4DFD"/>
    <w:rsid w:val="008F50C0"/>
    <w:rsid w:val="008F51AB"/>
    <w:rsid w:val="008F53D5"/>
    <w:rsid w:val="008F53FD"/>
    <w:rsid w:val="008F5576"/>
    <w:rsid w:val="008F5739"/>
    <w:rsid w:val="008F57A3"/>
    <w:rsid w:val="008F5801"/>
    <w:rsid w:val="008F584B"/>
    <w:rsid w:val="008F5A7D"/>
    <w:rsid w:val="008F5AA7"/>
    <w:rsid w:val="008F62CC"/>
    <w:rsid w:val="008F69E2"/>
    <w:rsid w:val="008F6CDB"/>
    <w:rsid w:val="008F6EB9"/>
    <w:rsid w:val="008F70A7"/>
    <w:rsid w:val="008F75B7"/>
    <w:rsid w:val="008F7708"/>
    <w:rsid w:val="00900467"/>
    <w:rsid w:val="0090077B"/>
    <w:rsid w:val="009008B5"/>
    <w:rsid w:val="00900ED0"/>
    <w:rsid w:val="009012DB"/>
    <w:rsid w:val="0090143C"/>
    <w:rsid w:val="00901B5B"/>
    <w:rsid w:val="009020E8"/>
    <w:rsid w:val="009023AF"/>
    <w:rsid w:val="009024A8"/>
    <w:rsid w:val="00902731"/>
    <w:rsid w:val="00902803"/>
    <w:rsid w:val="00902C1D"/>
    <w:rsid w:val="009038CF"/>
    <w:rsid w:val="00903A1B"/>
    <w:rsid w:val="00903B3D"/>
    <w:rsid w:val="00903B4C"/>
    <w:rsid w:val="00903D30"/>
    <w:rsid w:val="00903E1F"/>
    <w:rsid w:val="00903E39"/>
    <w:rsid w:val="009050AD"/>
    <w:rsid w:val="009053B5"/>
    <w:rsid w:val="009055EA"/>
    <w:rsid w:val="0090615E"/>
    <w:rsid w:val="009061BB"/>
    <w:rsid w:val="009061F1"/>
    <w:rsid w:val="0090682D"/>
    <w:rsid w:val="00906BF2"/>
    <w:rsid w:val="0090739C"/>
    <w:rsid w:val="00907996"/>
    <w:rsid w:val="009100C8"/>
    <w:rsid w:val="00910985"/>
    <w:rsid w:val="00911735"/>
    <w:rsid w:val="00911932"/>
    <w:rsid w:val="00911B76"/>
    <w:rsid w:val="00911C03"/>
    <w:rsid w:val="00911CD3"/>
    <w:rsid w:val="00911E2E"/>
    <w:rsid w:val="0091230F"/>
    <w:rsid w:val="00912B18"/>
    <w:rsid w:val="00912EE1"/>
    <w:rsid w:val="00913718"/>
    <w:rsid w:val="0091371A"/>
    <w:rsid w:val="0091444C"/>
    <w:rsid w:val="009146C1"/>
    <w:rsid w:val="0091476B"/>
    <w:rsid w:val="0091482E"/>
    <w:rsid w:val="009148B6"/>
    <w:rsid w:val="009148F0"/>
    <w:rsid w:val="00914B8F"/>
    <w:rsid w:val="00914C42"/>
    <w:rsid w:val="009161AD"/>
    <w:rsid w:val="009162FD"/>
    <w:rsid w:val="00916320"/>
    <w:rsid w:val="00916489"/>
    <w:rsid w:val="009167C9"/>
    <w:rsid w:val="009168FC"/>
    <w:rsid w:val="00916A57"/>
    <w:rsid w:val="00916FE5"/>
    <w:rsid w:val="0091723E"/>
    <w:rsid w:val="00917564"/>
    <w:rsid w:val="00917922"/>
    <w:rsid w:val="00917CD4"/>
    <w:rsid w:val="00917D99"/>
    <w:rsid w:val="009201EA"/>
    <w:rsid w:val="009203AB"/>
    <w:rsid w:val="0092075E"/>
    <w:rsid w:val="00920764"/>
    <w:rsid w:val="00920B9D"/>
    <w:rsid w:val="00920D1A"/>
    <w:rsid w:val="009214D8"/>
    <w:rsid w:val="0092175D"/>
    <w:rsid w:val="009219F2"/>
    <w:rsid w:val="00921E80"/>
    <w:rsid w:val="009220A4"/>
    <w:rsid w:val="00922148"/>
    <w:rsid w:val="0092214D"/>
    <w:rsid w:val="009225C8"/>
    <w:rsid w:val="00922B98"/>
    <w:rsid w:val="00923757"/>
    <w:rsid w:val="00923C3C"/>
    <w:rsid w:val="00923E95"/>
    <w:rsid w:val="0092417B"/>
    <w:rsid w:val="00924822"/>
    <w:rsid w:val="00924BAB"/>
    <w:rsid w:val="009255CD"/>
    <w:rsid w:val="009256F0"/>
    <w:rsid w:val="0092601A"/>
    <w:rsid w:val="0092610D"/>
    <w:rsid w:val="00926761"/>
    <w:rsid w:val="009267EE"/>
    <w:rsid w:val="00926865"/>
    <w:rsid w:val="00926FDA"/>
    <w:rsid w:val="009278DB"/>
    <w:rsid w:val="00927976"/>
    <w:rsid w:val="0093048D"/>
    <w:rsid w:val="009307E0"/>
    <w:rsid w:val="00930804"/>
    <w:rsid w:val="00930A11"/>
    <w:rsid w:val="00930EC5"/>
    <w:rsid w:val="0093106F"/>
    <w:rsid w:val="009311BA"/>
    <w:rsid w:val="009311D7"/>
    <w:rsid w:val="0093143D"/>
    <w:rsid w:val="00931C38"/>
    <w:rsid w:val="00932611"/>
    <w:rsid w:val="00932741"/>
    <w:rsid w:val="0093294C"/>
    <w:rsid w:val="00932B41"/>
    <w:rsid w:val="00932EB4"/>
    <w:rsid w:val="00933590"/>
    <w:rsid w:val="00933655"/>
    <w:rsid w:val="009337F8"/>
    <w:rsid w:val="00933E54"/>
    <w:rsid w:val="00933FA3"/>
    <w:rsid w:val="0093440A"/>
    <w:rsid w:val="00934E8D"/>
    <w:rsid w:val="009350F1"/>
    <w:rsid w:val="00935425"/>
    <w:rsid w:val="0093574C"/>
    <w:rsid w:val="00935C17"/>
    <w:rsid w:val="00935D16"/>
    <w:rsid w:val="00935D18"/>
    <w:rsid w:val="00935E64"/>
    <w:rsid w:val="00935ED2"/>
    <w:rsid w:val="00936043"/>
    <w:rsid w:val="009360BB"/>
    <w:rsid w:val="00936D35"/>
    <w:rsid w:val="00936E1B"/>
    <w:rsid w:val="009371A6"/>
    <w:rsid w:val="009374B4"/>
    <w:rsid w:val="009374E8"/>
    <w:rsid w:val="00937852"/>
    <w:rsid w:val="009378AA"/>
    <w:rsid w:val="00937A9E"/>
    <w:rsid w:val="00937BAC"/>
    <w:rsid w:val="00937F6C"/>
    <w:rsid w:val="009403AD"/>
    <w:rsid w:val="009408F9"/>
    <w:rsid w:val="00940A60"/>
    <w:rsid w:val="00940C96"/>
    <w:rsid w:val="00940E28"/>
    <w:rsid w:val="0094139B"/>
    <w:rsid w:val="0094227B"/>
    <w:rsid w:val="00942A98"/>
    <w:rsid w:val="00942AD7"/>
    <w:rsid w:val="00942B7F"/>
    <w:rsid w:val="00942E00"/>
    <w:rsid w:val="009431D0"/>
    <w:rsid w:val="009431D2"/>
    <w:rsid w:val="00943379"/>
    <w:rsid w:val="0094363E"/>
    <w:rsid w:val="00943995"/>
    <w:rsid w:val="009440F6"/>
    <w:rsid w:val="009441DA"/>
    <w:rsid w:val="009446F2"/>
    <w:rsid w:val="00944834"/>
    <w:rsid w:val="0094484A"/>
    <w:rsid w:val="00944EFE"/>
    <w:rsid w:val="0094505E"/>
    <w:rsid w:val="00946099"/>
    <w:rsid w:val="00946474"/>
    <w:rsid w:val="009468DB"/>
    <w:rsid w:val="00946A1A"/>
    <w:rsid w:val="00946DD7"/>
    <w:rsid w:val="0094722C"/>
    <w:rsid w:val="009501FA"/>
    <w:rsid w:val="00950C31"/>
    <w:rsid w:val="0095104D"/>
    <w:rsid w:val="00952606"/>
    <w:rsid w:val="00952AC7"/>
    <w:rsid w:val="00952B92"/>
    <w:rsid w:val="00952D13"/>
    <w:rsid w:val="00954191"/>
    <w:rsid w:val="009543E9"/>
    <w:rsid w:val="00954949"/>
    <w:rsid w:val="00954A45"/>
    <w:rsid w:val="0095521B"/>
    <w:rsid w:val="009554CF"/>
    <w:rsid w:val="00955786"/>
    <w:rsid w:val="0095596C"/>
    <w:rsid w:val="009562FA"/>
    <w:rsid w:val="009563DE"/>
    <w:rsid w:val="00956493"/>
    <w:rsid w:val="0095702D"/>
    <w:rsid w:val="00957120"/>
    <w:rsid w:val="00957286"/>
    <w:rsid w:val="009573EF"/>
    <w:rsid w:val="0095747D"/>
    <w:rsid w:val="009576C6"/>
    <w:rsid w:val="009577F1"/>
    <w:rsid w:val="0095781D"/>
    <w:rsid w:val="00957A82"/>
    <w:rsid w:val="009606D4"/>
    <w:rsid w:val="00960F16"/>
    <w:rsid w:val="00961A88"/>
    <w:rsid w:val="00961E97"/>
    <w:rsid w:val="009626BC"/>
    <w:rsid w:val="00962936"/>
    <w:rsid w:val="009629DF"/>
    <w:rsid w:val="00962A8D"/>
    <w:rsid w:val="00962B18"/>
    <w:rsid w:val="00962EB8"/>
    <w:rsid w:val="00963113"/>
    <w:rsid w:val="00963233"/>
    <w:rsid w:val="009637C5"/>
    <w:rsid w:val="00963894"/>
    <w:rsid w:val="00963A2F"/>
    <w:rsid w:val="00963B5E"/>
    <w:rsid w:val="00963B9D"/>
    <w:rsid w:val="00963D14"/>
    <w:rsid w:val="00963F4B"/>
    <w:rsid w:val="00964002"/>
    <w:rsid w:val="009644EA"/>
    <w:rsid w:val="00964A7B"/>
    <w:rsid w:val="0096512B"/>
    <w:rsid w:val="00965143"/>
    <w:rsid w:val="00965357"/>
    <w:rsid w:val="00965C8E"/>
    <w:rsid w:val="00965F18"/>
    <w:rsid w:val="00966477"/>
    <w:rsid w:val="009670F3"/>
    <w:rsid w:val="00967106"/>
    <w:rsid w:val="00967122"/>
    <w:rsid w:val="00967187"/>
    <w:rsid w:val="0096748E"/>
    <w:rsid w:val="00967AF4"/>
    <w:rsid w:val="00967CDF"/>
    <w:rsid w:val="009701B5"/>
    <w:rsid w:val="009701E5"/>
    <w:rsid w:val="00970256"/>
    <w:rsid w:val="00970869"/>
    <w:rsid w:val="00970C14"/>
    <w:rsid w:val="00970C40"/>
    <w:rsid w:val="00970D69"/>
    <w:rsid w:val="00971683"/>
    <w:rsid w:val="00971940"/>
    <w:rsid w:val="00971AE4"/>
    <w:rsid w:val="00972448"/>
    <w:rsid w:val="00972588"/>
    <w:rsid w:val="00972F5C"/>
    <w:rsid w:val="009733BA"/>
    <w:rsid w:val="00973992"/>
    <w:rsid w:val="009746A0"/>
    <w:rsid w:val="00974814"/>
    <w:rsid w:val="0097482E"/>
    <w:rsid w:val="00974A2E"/>
    <w:rsid w:val="00974C61"/>
    <w:rsid w:val="00974E2D"/>
    <w:rsid w:val="00974EB2"/>
    <w:rsid w:val="009750D0"/>
    <w:rsid w:val="0097520B"/>
    <w:rsid w:val="00975281"/>
    <w:rsid w:val="009755B6"/>
    <w:rsid w:val="00975AE1"/>
    <w:rsid w:val="00975B6B"/>
    <w:rsid w:val="00975B70"/>
    <w:rsid w:val="00975F54"/>
    <w:rsid w:val="00976216"/>
    <w:rsid w:val="00976589"/>
    <w:rsid w:val="00976B8B"/>
    <w:rsid w:val="009772AF"/>
    <w:rsid w:val="009775A5"/>
    <w:rsid w:val="00977B1F"/>
    <w:rsid w:val="009801BE"/>
    <w:rsid w:val="009809E6"/>
    <w:rsid w:val="00980CDC"/>
    <w:rsid w:val="00980F4E"/>
    <w:rsid w:val="009813A6"/>
    <w:rsid w:val="009816B5"/>
    <w:rsid w:val="00981809"/>
    <w:rsid w:val="00981C0C"/>
    <w:rsid w:val="00981F0B"/>
    <w:rsid w:val="00981FF9"/>
    <w:rsid w:val="00982799"/>
    <w:rsid w:val="00983591"/>
    <w:rsid w:val="00983A40"/>
    <w:rsid w:val="00983A64"/>
    <w:rsid w:val="00983B97"/>
    <w:rsid w:val="00983D2A"/>
    <w:rsid w:val="009846E7"/>
    <w:rsid w:val="00984709"/>
    <w:rsid w:val="00984CED"/>
    <w:rsid w:val="00984D0C"/>
    <w:rsid w:val="00984D52"/>
    <w:rsid w:val="00985096"/>
    <w:rsid w:val="009855B6"/>
    <w:rsid w:val="00985B83"/>
    <w:rsid w:val="009865D1"/>
    <w:rsid w:val="009868CD"/>
    <w:rsid w:val="0098706D"/>
    <w:rsid w:val="0098721E"/>
    <w:rsid w:val="00987F4E"/>
    <w:rsid w:val="00990798"/>
    <w:rsid w:val="00990854"/>
    <w:rsid w:val="00990C1A"/>
    <w:rsid w:val="00990C2C"/>
    <w:rsid w:val="00990E95"/>
    <w:rsid w:val="00990F3D"/>
    <w:rsid w:val="009913C3"/>
    <w:rsid w:val="00991FE3"/>
    <w:rsid w:val="009921E3"/>
    <w:rsid w:val="009922F6"/>
    <w:rsid w:val="009925F2"/>
    <w:rsid w:val="00992BF8"/>
    <w:rsid w:val="00993478"/>
    <w:rsid w:val="00993542"/>
    <w:rsid w:val="009939EA"/>
    <w:rsid w:val="00993DE9"/>
    <w:rsid w:val="009940A4"/>
    <w:rsid w:val="00994532"/>
    <w:rsid w:val="0099482D"/>
    <w:rsid w:val="00994C85"/>
    <w:rsid w:val="00994ED4"/>
    <w:rsid w:val="0099554D"/>
    <w:rsid w:val="009955C0"/>
    <w:rsid w:val="0099575B"/>
    <w:rsid w:val="0099639D"/>
    <w:rsid w:val="009963AA"/>
    <w:rsid w:val="00996FC1"/>
    <w:rsid w:val="009970FB"/>
    <w:rsid w:val="00997DDE"/>
    <w:rsid w:val="00997E05"/>
    <w:rsid w:val="00997EBA"/>
    <w:rsid w:val="009A0131"/>
    <w:rsid w:val="009A018A"/>
    <w:rsid w:val="009A0E5E"/>
    <w:rsid w:val="009A0EB3"/>
    <w:rsid w:val="009A14E0"/>
    <w:rsid w:val="009A1506"/>
    <w:rsid w:val="009A172C"/>
    <w:rsid w:val="009A1766"/>
    <w:rsid w:val="009A1EE0"/>
    <w:rsid w:val="009A1EF0"/>
    <w:rsid w:val="009A23E9"/>
    <w:rsid w:val="009A2568"/>
    <w:rsid w:val="009A27C8"/>
    <w:rsid w:val="009A29DD"/>
    <w:rsid w:val="009A39A5"/>
    <w:rsid w:val="009A3BEC"/>
    <w:rsid w:val="009A3DB9"/>
    <w:rsid w:val="009A3EC7"/>
    <w:rsid w:val="009A4CED"/>
    <w:rsid w:val="009A4DC8"/>
    <w:rsid w:val="009A5B7D"/>
    <w:rsid w:val="009A62D5"/>
    <w:rsid w:val="009A6398"/>
    <w:rsid w:val="009A6425"/>
    <w:rsid w:val="009A6A82"/>
    <w:rsid w:val="009A740D"/>
    <w:rsid w:val="009A746A"/>
    <w:rsid w:val="009A784B"/>
    <w:rsid w:val="009A7B41"/>
    <w:rsid w:val="009A7B52"/>
    <w:rsid w:val="009A7E2B"/>
    <w:rsid w:val="009B0145"/>
    <w:rsid w:val="009B033B"/>
    <w:rsid w:val="009B0607"/>
    <w:rsid w:val="009B0B30"/>
    <w:rsid w:val="009B10CC"/>
    <w:rsid w:val="009B11F1"/>
    <w:rsid w:val="009B16A3"/>
    <w:rsid w:val="009B17EE"/>
    <w:rsid w:val="009B1968"/>
    <w:rsid w:val="009B1A6C"/>
    <w:rsid w:val="009B22A5"/>
    <w:rsid w:val="009B27A2"/>
    <w:rsid w:val="009B2876"/>
    <w:rsid w:val="009B2951"/>
    <w:rsid w:val="009B3AE6"/>
    <w:rsid w:val="009B3D0E"/>
    <w:rsid w:val="009B40BF"/>
    <w:rsid w:val="009B449B"/>
    <w:rsid w:val="009B4C7E"/>
    <w:rsid w:val="009B5821"/>
    <w:rsid w:val="009B589A"/>
    <w:rsid w:val="009B6B3C"/>
    <w:rsid w:val="009B6D14"/>
    <w:rsid w:val="009B6E8A"/>
    <w:rsid w:val="009B7330"/>
    <w:rsid w:val="009B7832"/>
    <w:rsid w:val="009B7AD3"/>
    <w:rsid w:val="009C03A5"/>
    <w:rsid w:val="009C0443"/>
    <w:rsid w:val="009C0791"/>
    <w:rsid w:val="009C08AE"/>
    <w:rsid w:val="009C0E21"/>
    <w:rsid w:val="009C11C1"/>
    <w:rsid w:val="009C258D"/>
    <w:rsid w:val="009C2652"/>
    <w:rsid w:val="009C28C8"/>
    <w:rsid w:val="009C2DBB"/>
    <w:rsid w:val="009C2DDB"/>
    <w:rsid w:val="009C31F0"/>
    <w:rsid w:val="009C37C2"/>
    <w:rsid w:val="009C3E00"/>
    <w:rsid w:val="009C4762"/>
    <w:rsid w:val="009C486C"/>
    <w:rsid w:val="009C5031"/>
    <w:rsid w:val="009C5044"/>
    <w:rsid w:val="009C5554"/>
    <w:rsid w:val="009C5833"/>
    <w:rsid w:val="009C6019"/>
    <w:rsid w:val="009C61CD"/>
    <w:rsid w:val="009C7065"/>
    <w:rsid w:val="009C7341"/>
    <w:rsid w:val="009C7467"/>
    <w:rsid w:val="009C76A9"/>
    <w:rsid w:val="009C78CE"/>
    <w:rsid w:val="009C7EF0"/>
    <w:rsid w:val="009D025C"/>
    <w:rsid w:val="009D05AF"/>
    <w:rsid w:val="009D0628"/>
    <w:rsid w:val="009D0DED"/>
    <w:rsid w:val="009D1026"/>
    <w:rsid w:val="009D1325"/>
    <w:rsid w:val="009D147E"/>
    <w:rsid w:val="009D1FAE"/>
    <w:rsid w:val="009D223B"/>
    <w:rsid w:val="009D248B"/>
    <w:rsid w:val="009D2E67"/>
    <w:rsid w:val="009D2FE5"/>
    <w:rsid w:val="009D3190"/>
    <w:rsid w:val="009D34AC"/>
    <w:rsid w:val="009D36A7"/>
    <w:rsid w:val="009D3B2E"/>
    <w:rsid w:val="009D3BD4"/>
    <w:rsid w:val="009D4353"/>
    <w:rsid w:val="009D44B0"/>
    <w:rsid w:val="009D4CCC"/>
    <w:rsid w:val="009D5022"/>
    <w:rsid w:val="009D58B5"/>
    <w:rsid w:val="009D5C1C"/>
    <w:rsid w:val="009D60F3"/>
    <w:rsid w:val="009D627B"/>
    <w:rsid w:val="009D6797"/>
    <w:rsid w:val="009D6921"/>
    <w:rsid w:val="009D6CCD"/>
    <w:rsid w:val="009D6FE7"/>
    <w:rsid w:val="009D77BA"/>
    <w:rsid w:val="009D78C2"/>
    <w:rsid w:val="009E0C3E"/>
    <w:rsid w:val="009E13B7"/>
    <w:rsid w:val="009E15A8"/>
    <w:rsid w:val="009E1B5B"/>
    <w:rsid w:val="009E1C06"/>
    <w:rsid w:val="009E1CDF"/>
    <w:rsid w:val="009E1D1D"/>
    <w:rsid w:val="009E1EC2"/>
    <w:rsid w:val="009E29CB"/>
    <w:rsid w:val="009E2C3E"/>
    <w:rsid w:val="009E2F09"/>
    <w:rsid w:val="009E2F6C"/>
    <w:rsid w:val="009E34DD"/>
    <w:rsid w:val="009E36CE"/>
    <w:rsid w:val="009E46BB"/>
    <w:rsid w:val="009E4744"/>
    <w:rsid w:val="009E4A3A"/>
    <w:rsid w:val="009E5216"/>
    <w:rsid w:val="009E53A5"/>
    <w:rsid w:val="009E5D21"/>
    <w:rsid w:val="009E5D2B"/>
    <w:rsid w:val="009E61E5"/>
    <w:rsid w:val="009E6522"/>
    <w:rsid w:val="009E6C7A"/>
    <w:rsid w:val="009E6EFD"/>
    <w:rsid w:val="009E78BE"/>
    <w:rsid w:val="009E7E78"/>
    <w:rsid w:val="009E7F96"/>
    <w:rsid w:val="009F06C2"/>
    <w:rsid w:val="009F07DE"/>
    <w:rsid w:val="009F0808"/>
    <w:rsid w:val="009F0F9D"/>
    <w:rsid w:val="009F1B02"/>
    <w:rsid w:val="009F1E7E"/>
    <w:rsid w:val="009F1F91"/>
    <w:rsid w:val="009F1FE8"/>
    <w:rsid w:val="009F2009"/>
    <w:rsid w:val="009F225E"/>
    <w:rsid w:val="009F22D5"/>
    <w:rsid w:val="009F41F4"/>
    <w:rsid w:val="009F49A6"/>
    <w:rsid w:val="009F5514"/>
    <w:rsid w:val="009F58DC"/>
    <w:rsid w:val="009F5CAB"/>
    <w:rsid w:val="009F5CF1"/>
    <w:rsid w:val="009F64D9"/>
    <w:rsid w:val="009F65F7"/>
    <w:rsid w:val="009F6E32"/>
    <w:rsid w:val="009F6E7F"/>
    <w:rsid w:val="009F6FBD"/>
    <w:rsid w:val="009F6FF2"/>
    <w:rsid w:val="009F777F"/>
    <w:rsid w:val="009F7CC7"/>
    <w:rsid w:val="009F7F56"/>
    <w:rsid w:val="00A002FF"/>
    <w:rsid w:val="00A00368"/>
    <w:rsid w:val="00A0085D"/>
    <w:rsid w:val="00A00869"/>
    <w:rsid w:val="00A0101E"/>
    <w:rsid w:val="00A0104B"/>
    <w:rsid w:val="00A012D6"/>
    <w:rsid w:val="00A01567"/>
    <w:rsid w:val="00A01AA4"/>
    <w:rsid w:val="00A01C06"/>
    <w:rsid w:val="00A01FD9"/>
    <w:rsid w:val="00A02581"/>
    <w:rsid w:val="00A02AC7"/>
    <w:rsid w:val="00A02F5E"/>
    <w:rsid w:val="00A03148"/>
    <w:rsid w:val="00A034CD"/>
    <w:rsid w:val="00A04074"/>
    <w:rsid w:val="00A042A0"/>
    <w:rsid w:val="00A045F6"/>
    <w:rsid w:val="00A0467F"/>
    <w:rsid w:val="00A04781"/>
    <w:rsid w:val="00A04BD7"/>
    <w:rsid w:val="00A04D3E"/>
    <w:rsid w:val="00A04E98"/>
    <w:rsid w:val="00A04EA3"/>
    <w:rsid w:val="00A050D5"/>
    <w:rsid w:val="00A05F19"/>
    <w:rsid w:val="00A0606F"/>
    <w:rsid w:val="00A066B7"/>
    <w:rsid w:val="00A0678D"/>
    <w:rsid w:val="00A06E54"/>
    <w:rsid w:val="00A11B23"/>
    <w:rsid w:val="00A122D8"/>
    <w:rsid w:val="00A128B7"/>
    <w:rsid w:val="00A12B2E"/>
    <w:rsid w:val="00A130B7"/>
    <w:rsid w:val="00A13107"/>
    <w:rsid w:val="00A1349E"/>
    <w:rsid w:val="00A13D8F"/>
    <w:rsid w:val="00A13E95"/>
    <w:rsid w:val="00A14862"/>
    <w:rsid w:val="00A15B48"/>
    <w:rsid w:val="00A15E2A"/>
    <w:rsid w:val="00A16D03"/>
    <w:rsid w:val="00A16E23"/>
    <w:rsid w:val="00A17348"/>
    <w:rsid w:val="00A1737C"/>
    <w:rsid w:val="00A177E9"/>
    <w:rsid w:val="00A17829"/>
    <w:rsid w:val="00A17DEC"/>
    <w:rsid w:val="00A17E73"/>
    <w:rsid w:val="00A20498"/>
    <w:rsid w:val="00A207BF"/>
    <w:rsid w:val="00A21460"/>
    <w:rsid w:val="00A21D6E"/>
    <w:rsid w:val="00A2216A"/>
    <w:rsid w:val="00A22652"/>
    <w:rsid w:val="00A22D22"/>
    <w:rsid w:val="00A23115"/>
    <w:rsid w:val="00A2360A"/>
    <w:rsid w:val="00A24130"/>
    <w:rsid w:val="00A24424"/>
    <w:rsid w:val="00A250BE"/>
    <w:rsid w:val="00A260FE"/>
    <w:rsid w:val="00A26109"/>
    <w:rsid w:val="00A26195"/>
    <w:rsid w:val="00A261EC"/>
    <w:rsid w:val="00A262FF"/>
    <w:rsid w:val="00A26508"/>
    <w:rsid w:val="00A26592"/>
    <w:rsid w:val="00A266A7"/>
    <w:rsid w:val="00A26A46"/>
    <w:rsid w:val="00A2732E"/>
    <w:rsid w:val="00A276A4"/>
    <w:rsid w:val="00A278B8"/>
    <w:rsid w:val="00A27A48"/>
    <w:rsid w:val="00A3094D"/>
    <w:rsid w:val="00A30C46"/>
    <w:rsid w:val="00A30E09"/>
    <w:rsid w:val="00A30FA0"/>
    <w:rsid w:val="00A310F4"/>
    <w:rsid w:val="00A31A36"/>
    <w:rsid w:val="00A32294"/>
    <w:rsid w:val="00A332D3"/>
    <w:rsid w:val="00A332FB"/>
    <w:rsid w:val="00A3339F"/>
    <w:rsid w:val="00A333C4"/>
    <w:rsid w:val="00A33515"/>
    <w:rsid w:val="00A33FF9"/>
    <w:rsid w:val="00A347C0"/>
    <w:rsid w:val="00A34DFC"/>
    <w:rsid w:val="00A3508B"/>
    <w:rsid w:val="00A35771"/>
    <w:rsid w:val="00A35F52"/>
    <w:rsid w:val="00A36F08"/>
    <w:rsid w:val="00A36FB7"/>
    <w:rsid w:val="00A37518"/>
    <w:rsid w:val="00A37C6B"/>
    <w:rsid w:val="00A40362"/>
    <w:rsid w:val="00A403C3"/>
    <w:rsid w:val="00A406F1"/>
    <w:rsid w:val="00A40792"/>
    <w:rsid w:val="00A408B9"/>
    <w:rsid w:val="00A41501"/>
    <w:rsid w:val="00A415CF"/>
    <w:rsid w:val="00A41D3D"/>
    <w:rsid w:val="00A425CD"/>
    <w:rsid w:val="00A42CFB"/>
    <w:rsid w:val="00A433B9"/>
    <w:rsid w:val="00A43799"/>
    <w:rsid w:val="00A43F6E"/>
    <w:rsid w:val="00A44D58"/>
    <w:rsid w:val="00A45539"/>
    <w:rsid w:val="00A456E7"/>
    <w:rsid w:val="00A457AA"/>
    <w:rsid w:val="00A457BA"/>
    <w:rsid w:val="00A45AFF"/>
    <w:rsid w:val="00A45FFD"/>
    <w:rsid w:val="00A460EE"/>
    <w:rsid w:val="00A46192"/>
    <w:rsid w:val="00A46421"/>
    <w:rsid w:val="00A469CB"/>
    <w:rsid w:val="00A46E66"/>
    <w:rsid w:val="00A475D6"/>
    <w:rsid w:val="00A47E0E"/>
    <w:rsid w:val="00A500CB"/>
    <w:rsid w:val="00A506A6"/>
    <w:rsid w:val="00A50893"/>
    <w:rsid w:val="00A5091B"/>
    <w:rsid w:val="00A50B00"/>
    <w:rsid w:val="00A50B10"/>
    <w:rsid w:val="00A50D68"/>
    <w:rsid w:val="00A5111C"/>
    <w:rsid w:val="00A519B9"/>
    <w:rsid w:val="00A51AF9"/>
    <w:rsid w:val="00A51FC7"/>
    <w:rsid w:val="00A51FE4"/>
    <w:rsid w:val="00A523D1"/>
    <w:rsid w:val="00A526F2"/>
    <w:rsid w:val="00A52708"/>
    <w:rsid w:val="00A52995"/>
    <w:rsid w:val="00A52B43"/>
    <w:rsid w:val="00A53A19"/>
    <w:rsid w:val="00A53B47"/>
    <w:rsid w:val="00A53E6F"/>
    <w:rsid w:val="00A54002"/>
    <w:rsid w:val="00A541A7"/>
    <w:rsid w:val="00A5440D"/>
    <w:rsid w:val="00A54B4C"/>
    <w:rsid w:val="00A54CF5"/>
    <w:rsid w:val="00A54DDD"/>
    <w:rsid w:val="00A554ED"/>
    <w:rsid w:val="00A55BB2"/>
    <w:rsid w:val="00A55C76"/>
    <w:rsid w:val="00A55DEF"/>
    <w:rsid w:val="00A564F1"/>
    <w:rsid w:val="00A56732"/>
    <w:rsid w:val="00A56EDD"/>
    <w:rsid w:val="00A5761B"/>
    <w:rsid w:val="00A57970"/>
    <w:rsid w:val="00A57B77"/>
    <w:rsid w:val="00A57C35"/>
    <w:rsid w:val="00A57D38"/>
    <w:rsid w:val="00A601B0"/>
    <w:rsid w:val="00A6064D"/>
    <w:rsid w:val="00A60B6A"/>
    <w:rsid w:val="00A60BA3"/>
    <w:rsid w:val="00A60F2A"/>
    <w:rsid w:val="00A61198"/>
    <w:rsid w:val="00A61F7A"/>
    <w:rsid w:val="00A62650"/>
    <w:rsid w:val="00A62A0C"/>
    <w:rsid w:val="00A62CEF"/>
    <w:rsid w:val="00A632DD"/>
    <w:rsid w:val="00A63A53"/>
    <w:rsid w:val="00A64045"/>
    <w:rsid w:val="00A64793"/>
    <w:rsid w:val="00A6495E"/>
    <w:rsid w:val="00A64D62"/>
    <w:rsid w:val="00A65479"/>
    <w:rsid w:val="00A65759"/>
    <w:rsid w:val="00A65E92"/>
    <w:rsid w:val="00A66092"/>
    <w:rsid w:val="00A6629C"/>
    <w:rsid w:val="00A6646C"/>
    <w:rsid w:val="00A6701A"/>
    <w:rsid w:val="00A678C8"/>
    <w:rsid w:val="00A67A3D"/>
    <w:rsid w:val="00A7002F"/>
    <w:rsid w:val="00A7016E"/>
    <w:rsid w:val="00A70473"/>
    <w:rsid w:val="00A70527"/>
    <w:rsid w:val="00A707B5"/>
    <w:rsid w:val="00A707DA"/>
    <w:rsid w:val="00A70A5C"/>
    <w:rsid w:val="00A70E2C"/>
    <w:rsid w:val="00A71804"/>
    <w:rsid w:val="00A718B0"/>
    <w:rsid w:val="00A71A1A"/>
    <w:rsid w:val="00A71B1C"/>
    <w:rsid w:val="00A71D17"/>
    <w:rsid w:val="00A71FA2"/>
    <w:rsid w:val="00A72048"/>
    <w:rsid w:val="00A720F6"/>
    <w:rsid w:val="00A727B6"/>
    <w:rsid w:val="00A737CF"/>
    <w:rsid w:val="00A74607"/>
    <w:rsid w:val="00A74A0B"/>
    <w:rsid w:val="00A75528"/>
    <w:rsid w:val="00A76317"/>
    <w:rsid w:val="00A77243"/>
    <w:rsid w:val="00A77957"/>
    <w:rsid w:val="00A77BD1"/>
    <w:rsid w:val="00A77C26"/>
    <w:rsid w:val="00A80913"/>
    <w:rsid w:val="00A81047"/>
    <w:rsid w:val="00A8204E"/>
    <w:rsid w:val="00A82B41"/>
    <w:rsid w:val="00A832FE"/>
    <w:rsid w:val="00A8356A"/>
    <w:rsid w:val="00A835DB"/>
    <w:rsid w:val="00A83681"/>
    <w:rsid w:val="00A83958"/>
    <w:rsid w:val="00A846B1"/>
    <w:rsid w:val="00A84FFC"/>
    <w:rsid w:val="00A85DB0"/>
    <w:rsid w:val="00A86584"/>
    <w:rsid w:val="00A87502"/>
    <w:rsid w:val="00A8754E"/>
    <w:rsid w:val="00A90001"/>
    <w:rsid w:val="00A90EAF"/>
    <w:rsid w:val="00A91647"/>
    <w:rsid w:val="00A9183A"/>
    <w:rsid w:val="00A91B5B"/>
    <w:rsid w:val="00A91D96"/>
    <w:rsid w:val="00A91F8C"/>
    <w:rsid w:val="00A92341"/>
    <w:rsid w:val="00A92BD1"/>
    <w:rsid w:val="00A94143"/>
    <w:rsid w:val="00A94318"/>
    <w:rsid w:val="00A9432B"/>
    <w:rsid w:val="00A94442"/>
    <w:rsid w:val="00A9480D"/>
    <w:rsid w:val="00A94CF0"/>
    <w:rsid w:val="00A94FC8"/>
    <w:rsid w:val="00A951F4"/>
    <w:rsid w:val="00A9582C"/>
    <w:rsid w:val="00A9594B"/>
    <w:rsid w:val="00A95ECC"/>
    <w:rsid w:val="00A9669C"/>
    <w:rsid w:val="00A9695F"/>
    <w:rsid w:val="00A96E29"/>
    <w:rsid w:val="00A97575"/>
    <w:rsid w:val="00A97CE8"/>
    <w:rsid w:val="00A97FD7"/>
    <w:rsid w:val="00AA171D"/>
    <w:rsid w:val="00AA1CCE"/>
    <w:rsid w:val="00AA1EFF"/>
    <w:rsid w:val="00AA24D2"/>
    <w:rsid w:val="00AA25E0"/>
    <w:rsid w:val="00AA29D4"/>
    <w:rsid w:val="00AA2BDD"/>
    <w:rsid w:val="00AA2E5E"/>
    <w:rsid w:val="00AA41C6"/>
    <w:rsid w:val="00AA42B1"/>
    <w:rsid w:val="00AA5889"/>
    <w:rsid w:val="00AA5A84"/>
    <w:rsid w:val="00AA6438"/>
    <w:rsid w:val="00AA64F3"/>
    <w:rsid w:val="00AA6BBD"/>
    <w:rsid w:val="00AA6BDD"/>
    <w:rsid w:val="00AA6C3A"/>
    <w:rsid w:val="00AA71AA"/>
    <w:rsid w:val="00AA71C9"/>
    <w:rsid w:val="00AA7282"/>
    <w:rsid w:val="00AA7EF8"/>
    <w:rsid w:val="00AB07B3"/>
    <w:rsid w:val="00AB23DB"/>
    <w:rsid w:val="00AB23EC"/>
    <w:rsid w:val="00AB27CE"/>
    <w:rsid w:val="00AB2D34"/>
    <w:rsid w:val="00AB32D0"/>
    <w:rsid w:val="00AB3386"/>
    <w:rsid w:val="00AB365E"/>
    <w:rsid w:val="00AB3AC1"/>
    <w:rsid w:val="00AB3C79"/>
    <w:rsid w:val="00AB3E21"/>
    <w:rsid w:val="00AB3FA0"/>
    <w:rsid w:val="00AB3FF3"/>
    <w:rsid w:val="00AB40EF"/>
    <w:rsid w:val="00AB474F"/>
    <w:rsid w:val="00AB49E1"/>
    <w:rsid w:val="00AB4A21"/>
    <w:rsid w:val="00AB4BC2"/>
    <w:rsid w:val="00AB4C39"/>
    <w:rsid w:val="00AB514F"/>
    <w:rsid w:val="00AB59C6"/>
    <w:rsid w:val="00AB5C7C"/>
    <w:rsid w:val="00AB63FB"/>
    <w:rsid w:val="00AB6A32"/>
    <w:rsid w:val="00AB7A08"/>
    <w:rsid w:val="00AB7F8B"/>
    <w:rsid w:val="00AB7FCB"/>
    <w:rsid w:val="00AB7FE7"/>
    <w:rsid w:val="00AC00B9"/>
    <w:rsid w:val="00AC0693"/>
    <w:rsid w:val="00AC0BB9"/>
    <w:rsid w:val="00AC0DAB"/>
    <w:rsid w:val="00AC0F68"/>
    <w:rsid w:val="00AC1317"/>
    <w:rsid w:val="00AC2556"/>
    <w:rsid w:val="00AC301B"/>
    <w:rsid w:val="00AC3136"/>
    <w:rsid w:val="00AC32FB"/>
    <w:rsid w:val="00AC33D1"/>
    <w:rsid w:val="00AC3EA2"/>
    <w:rsid w:val="00AC3FCB"/>
    <w:rsid w:val="00AC4105"/>
    <w:rsid w:val="00AC4237"/>
    <w:rsid w:val="00AC42C3"/>
    <w:rsid w:val="00AC4A28"/>
    <w:rsid w:val="00AC4A53"/>
    <w:rsid w:val="00AC4CA8"/>
    <w:rsid w:val="00AC5C7D"/>
    <w:rsid w:val="00AC694C"/>
    <w:rsid w:val="00AC6C44"/>
    <w:rsid w:val="00AC728F"/>
    <w:rsid w:val="00AC73BE"/>
    <w:rsid w:val="00AC7579"/>
    <w:rsid w:val="00AC7F49"/>
    <w:rsid w:val="00AD031E"/>
    <w:rsid w:val="00AD044B"/>
    <w:rsid w:val="00AD057B"/>
    <w:rsid w:val="00AD0694"/>
    <w:rsid w:val="00AD07F7"/>
    <w:rsid w:val="00AD126E"/>
    <w:rsid w:val="00AD1845"/>
    <w:rsid w:val="00AD186B"/>
    <w:rsid w:val="00AD1B4E"/>
    <w:rsid w:val="00AD2A64"/>
    <w:rsid w:val="00AD2D6B"/>
    <w:rsid w:val="00AD2F7E"/>
    <w:rsid w:val="00AD31AF"/>
    <w:rsid w:val="00AD35D6"/>
    <w:rsid w:val="00AD4483"/>
    <w:rsid w:val="00AD44B3"/>
    <w:rsid w:val="00AD4746"/>
    <w:rsid w:val="00AD49EC"/>
    <w:rsid w:val="00AD4B6A"/>
    <w:rsid w:val="00AD4C68"/>
    <w:rsid w:val="00AD4DC8"/>
    <w:rsid w:val="00AD5813"/>
    <w:rsid w:val="00AD58B0"/>
    <w:rsid w:val="00AD5E34"/>
    <w:rsid w:val="00AD649B"/>
    <w:rsid w:val="00AD6B2D"/>
    <w:rsid w:val="00AD6C1A"/>
    <w:rsid w:val="00AD6CAE"/>
    <w:rsid w:val="00AD76D6"/>
    <w:rsid w:val="00AD7F14"/>
    <w:rsid w:val="00AE0610"/>
    <w:rsid w:val="00AE0CC9"/>
    <w:rsid w:val="00AE1059"/>
    <w:rsid w:val="00AE17B5"/>
    <w:rsid w:val="00AE1C82"/>
    <w:rsid w:val="00AE29A6"/>
    <w:rsid w:val="00AE2E11"/>
    <w:rsid w:val="00AE36EE"/>
    <w:rsid w:val="00AE3978"/>
    <w:rsid w:val="00AE3F0A"/>
    <w:rsid w:val="00AE4187"/>
    <w:rsid w:val="00AE43FF"/>
    <w:rsid w:val="00AE490D"/>
    <w:rsid w:val="00AE4D61"/>
    <w:rsid w:val="00AE5BCE"/>
    <w:rsid w:val="00AE5D07"/>
    <w:rsid w:val="00AE5E7D"/>
    <w:rsid w:val="00AE70E6"/>
    <w:rsid w:val="00AE7225"/>
    <w:rsid w:val="00AE7C64"/>
    <w:rsid w:val="00AF0497"/>
    <w:rsid w:val="00AF061B"/>
    <w:rsid w:val="00AF0FDC"/>
    <w:rsid w:val="00AF119B"/>
    <w:rsid w:val="00AF11DE"/>
    <w:rsid w:val="00AF1261"/>
    <w:rsid w:val="00AF2034"/>
    <w:rsid w:val="00AF22D1"/>
    <w:rsid w:val="00AF2316"/>
    <w:rsid w:val="00AF2A71"/>
    <w:rsid w:val="00AF2B58"/>
    <w:rsid w:val="00AF2CAC"/>
    <w:rsid w:val="00AF37F2"/>
    <w:rsid w:val="00AF38A2"/>
    <w:rsid w:val="00AF399A"/>
    <w:rsid w:val="00AF3AA1"/>
    <w:rsid w:val="00AF3C40"/>
    <w:rsid w:val="00AF3F6F"/>
    <w:rsid w:val="00AF5DA2"/>
    <w:rsid w:val="00AF5E3A"/>
    <w:rsid w:val="00AF5F30"/>
    <w:rsid w:val="00AF6507"/>
    <w:rsid w:val="00AF6676"/>
    <w:rsid w:val="00AF6CBC"/>
    <w:rsid w:val="00AF720F"/>
    <w:rsid w:val="00AF7578"/>
    <w:rsid w:val="00AF772F"/>
    <w:rsid w:val="00AF7D47"/>
    <w:rsid w:val="00AF7DC4"/>
    <w:rsid w:val="00AF7F29"/>
    <w:rsid w:val="00AF7F81"/>
    <w:rsid w:val="00B000A9"/>
    <w:rsid w:val="00B001EE"/>
    <w:rsid w:val="00B006F4"/>
    <w:rsid w:val="00B007E3"/>
    <w:rsid w:val="00B00CF5"/>
    <w:rsid w:val="00B01300"/>
    <w:rsid w:val="00B016F7"/>
    <w:rsid w:val="00B01758"/>
    <w:rsid w:val="00B01C11"/>
    <w:rsid w:val="00B0266A"/>
    <w:rsid w:val="00B026E6"/>
    <w:rsid w:val="00B02A03"/>
    <w:rsid w:val="00B03155"/>
    <w:rsid w:val="00B03BCA"/>
    <w:rsid w:val="00B03F55"/>
    <w:rsid w:val="00B042D9"/>
    <w:rsid w:val="00B05694"/>
    <w:rsid w:val="00B0608D"/>
    <w:rsid w:val="00B06114"/>
    <w:rsid w:val="00B06258"/>
    <w:rsid w:val="00B064D3"/>
    <w:rsid w:val="00B0677F"/>
    <w:rsid w:val="00B06920"/>
    <w:rsid w:val="00B06C4E"/>
    <w:rsid w:val="00B06DE0"/>
    <w:rsid w:val="00B06FDB"/>
    <w:rsid w:val="00B07B7E"/>
    <w:rsid w:val="00B07BED"/>
    <w:rsid w:val="00B07CBE"/>
    <w:rsid w:val="00B07EFE"/>
    <w:rsid w:val="00B1094D"/>
    <w:rsid w:val="00B11C21"/>
    <w:rsid w:val="00B11F44"/>
    <w:rsid w:val="00B1214A"/>
    <w:rsid w:val="00B12222"/>
    <w:rsid w:val="00B12D80"/>
    <w:rsid w:val="00B12DA8"/>
    <w:rsid w:val="00B13044"/>
    <w:rsid w:val="00B1393D"/>
    <w:rsid w:val="00B13994"/>
    <w:rsid w:val="00B13E04"/>
    <w:rsid w:val="00B149F6"/>
    <w:rsid w:val="00B14ABF"/>
    <w:rsid w:val="00B14C14"/>
    <w:rsid w:val="00B151AD"/>
    <w:rsid w:val="00B15225"/>
    <w:rsid w:val="00B15E7F"/>
    <w:rsid w:val="00B163BA"/>
    <w:rsid w:val="00B16AA7"/>
    <w:rsid w:val="00B16D28"/>
    <w:rsid w:val="00B16DDD"/>
    <w:rsid w:val="00B1711F"/>
    <w:rsid w:val="00B173B4"/>
    <w:rsid w:val="00B17635"/>
    <w:rsid w:val="00B17C87"/>
    <w:rsid w:val="00B17DC4"/>
    <w:rsid w:val="00B202CB"/>
    <w:rsid w:val="00B20442"/>
    <w:rsid w:val="00B20A3C"/>
    <w:rsid w:val="00B20AC6"/>
    <w:rsid w:val="00B20C7A"/>
    <w:rsid w:val="00B20D14"/>
    <w:rsid w:val="00B21472"/>
    <w:rsid w:val="00B214A3"/>
    <w:rsid w:val="00B2167B"/>
    <w:rsid w:val="00B218B6"/>
    <w:rsid w:val="00B21D91"/>
    <w:rsid w:val="00B222C1"/>
    <w:rsid w:val="00B225B9"/>
    <w:rsid w:val="00B22ACF"/>
    <w:rsid w:val="00B236E2"/>
    <w:rsid w:val="00B2381D"/>
    <w:rsid w:val="00B23B2C"/>
    <w:rsid w:val="00B24446"/>
    <w:rsid w:val="00B2445D"/>
    <w:rsid w:val="00B24678"/>
    <w:rsid w:val="00B2470C"/>
    <w:rsid w:val="00B24C57"/>
    <w:rsid w:val="00B24CC0"/>
    <w:rsid w:val="00B2565E"/>
    <w:rsid w:val="00B2578F"/>
    <w:rsid w:val="00B25C95"/>
    <w:rsid w:val="00B261F3"/>
    <w:rsid w:val="00B2689C"/>
    <w:rsid w:val="00B2756A"/>
    <w:rsid w:val="00B2770D"/>
    <w:rsid w:val="00B27873"/>
    <w:rsid w:val="00B27943"/>
    <w:rsid w:val="00B300E8"/>
    <w:rsid w:val="00B30650"/>
    <w:rsid w:val="00B30697"/>
    <w:rsid w:val="00B3089A"/>
    <w:rsid w:val="00B308E2"/>
    <w:rsid w:val="00B31109"/>
    <w:rsid w:val="00B31794"/>
    <w:rsid w:val="00B31897"/>
    <w:rsid w:val="00B31F7F"/>
    <w:rsid w:val="00B32351"/>
    <w:rsid w:val="00B323A7"/>
    <w:rsid w:val="00B327CA"/>
    <w:rsid w:val="00B33F3D"/>
    <w:rsid w:val="00B3425E"/>
    <w:rsid w:val="00B3471D"/>
    <w:rsid w:val="00B34EB5"/>
    <w:rsid w:val="00B34F49"/>
    <w:rsid w:val="00B35148"/>
    <w:rsid w:val="00B35323"/>
    <w:rsid w:val="00B35478"/>
    <w:rsid w:val="00B35748"/>
    <w:rsid w:val="00B35DAC"/>
    <w:rsid w:val="00B360F0"/>
    <w:rsid w:val="00B363B6"/>
    <w:rsid w:val="00B363C0"/>
    <w:rsid w:val="00B3645C"/>
    <w:rsid w:val="00B365C7"/>
    <w:rsid w:val="00B36722"/>
    <w:rsid w:val="00B3675E"/>
    <w:rsid w:val="00B36A84"/>
    <w:rsid w:val="00B37549"/>
    <w:rsid w:val="00B40078"/>
    <w:rsid w:val="00B402DF"/>
    <w:rsid w:val="00B40344"/>
    <w:rsid w:val="00B4080E"/>
    <w:rsid w:val="00B40B45"/>
    <w:rsid w:val="00B40C46"/>
    <w:rsid w:val="00B40C79"/>
    <w:rsid w:val="00B40E62"/>
    <w:rsid w:val="00B41027"/>
    <w:rsid w:val="00B414CC"/>
    <w:rsid w:val="00B416A2"/>
    <w:rsid w:val="00B416DF"/>
    <w:rsid w:val="00B41CDA"/>
    <w:rsid w:val="00B424AD"/>
    <w:rsid w:val="00B428CF"/>
    <w:rsid w:val="00B42E30"/>
    <w:rsid w:val="00B43207"/>
    <w:rsid w:val="00B433FE"/>
    <w:rsid w:val="00B43425"/>
    <w:rsid w:val="00B43785"/>
    <w:rsid w:val="00B4388E"/>
    <w:rsid w:val="00B43B0E"/>
    <w:rsid w:val="00B44CEB"/>
    <w:rsid w:val="00B44E17"/>
    <w:rsid w:val="00B45396"/>
    <w:rsid w:val="00B4576D"/>
    <w:rsid w:val="00B4598D"/>
    <w:rsid w:val="00B45DE2"/>
    <w:rsid w:val="00B463D4"/>
    <w:rsid w:val="00B46520"/>
    <w:rsid w:val="00B465F4"/>
    <w:rsid w:val="00B4680C"/>
    <w:rsid w:val="00B46A5C"/>
    <w:rsid w:val="00B46D9B"/>
    <w:rsid w:val="00B4716F"/>
    <w:rsid w:val="00B475D8"/>
    <w:rsid w:val="00B47B65"/>
    <w:rsid w:val="00B47FA7"/>
    <w:rsid w:val="00B502E1"/>
    <w:rsid w:val="00B5035A"/>
    <w:rsid w:val="00B50559"/>
    <w:rsid w:val="00B510A4"/>
    <w:rsid w:val="00B51318"/>
    <w:rsid w:val="00B51552"/>
    <w:rsid w:val="00B51727"/>
    <w:rsid w:val="00B5178B"/>
    <w:rsid w:val="00B519F2"/>
    <w:rsid w:val="00B51F6D"/>
    <w:rsid w:val="00B52603"/>
    <w:rsid w:val="00B5282A"/>
    <w:rsid w:val="00B52C61"/>
    <w:rsid w:val="00B535A7"/>
    <w:rsid w:val="00B53621"/>
    <w:rsid w:val="00B53708"/>
    <w:rsid w:val="00B53ACE"/>
    <w:rsid w:val="00B53B15"/>
    <w:rsid w:val="00B54D25"/>
    <w:rsid w:val="00B5514C"/>
    <w:rsid w:val="00B5548E"/>
    <w:rsid w:val="00B55495"/>
    <w:rsid w:val="00B559A3"/>
    <w:rsid w:val="00B55DB9"/>
    <w:rsid w:val="00B55F83"/>
    <w:rsid w:val="00B560EA"/>
    <w:rsid w:val="00B5654A"/>
    <w:rsid w:val="00B56DEE"/>
    <w:rsid w:val="00B56F8E"/>
    <w:rsid w:val="00B5737D"/>
    <w:rsid w:val="00B57503"/>
    <w:rsid w:val="00B57844"/>
    <w:rsid w:val="00B57AC3"/>
    <w:rsid w:val="00B57CE3"/>
    <w:rsid w:val="00B60062"/>
    <w:rsid w:val="00B6007B"/>
    <w:rsid w:val="00B604E2"/>
    <w:rsid w:val="00B60519"/>
    <w:rsid w:val="00B60557"/>
    <w:rsid w:val="00B6070A"/>
    <w:rsid w:val="00B60C1B"/>
    <w:rsid w:val="00B60EBF"/>
    <w:rsid w:val="00B60EEB"/>
    <w:rsid w:val="00B60EF6"/>
    <w:rsid w:val="00B60F50"/>
    <w:rsid w:val="00B611D5"/>
    <w:rsid w:val="00B6165C"/>
    <w:rsid w:val="00B6209F"/>
    <w:rsid w:val="00B6246E"/>
    <w:rsid w:val="00B62628"/>
    <w:rsid w:val="00B62789"/>
    <w:rsid w:val="00B62854"/>
    <w:rsid w:val="00B63017"/>
    <w:rsid w:val="00B6324B"/>
    <w:rsid w:val="00B633DE"/>
    <w:rsid w:val="00B63B55"/>
    <w:rsid w:val="00B63BD8"/>
    <w:rsid w:val="00B63E65"/>
    <w:rsid w:val="00B63E81"/>
    <w:rsid w:val="00B64047"/>
    <w:rsid w:val="00B64197"/>
    <w:rsid w:val="00B64364"/>
    <w:rsid w:val="00B64417"/>
    <w:rsid w:val="00B6456B"/>
    <w:rsid w:val="00B6461D"/>
    <w:rsid w:val="00B64D04"/>
    <w:rsid w:val="00B65D93"/>
    <w:rsid w:val="00B65E48"/>
    <w:rsid w:val="00B66099"/>
    <w:rsid w:val="00B661DE"/>
    <w:rsid w:val="00B6635B"/>
    <w:rsid w:val="00B66AF0"/>
    <w:rsid w:val="00B66BE1"/>
    <w:rsid w:val="00B67C50"/>
    <w:rsid w:val="00B7088F"/>
    <w:rsid w:val="00B70994"/>
    <w:rsid w:val="00B70E82"/>
    <w:rsid w:val="00B71944"/>
    <w:rsid w:val="00B71989"/>
    <w:rsid w:val="00B71B42"/>
    <w:rsid w:val="00B71DA4"/>
    <w:rsid w:val="00B71E13"/>
    <w:rsid w:val="00B71EC1"/>
    <w:rsid w:val="00B71F81"/>
    <w:rsid w:val="00B72261"/>
    <w:rsid w:val="00B729D9"/>
    <w:rsid w:val="00B72A3F"/>
    <w:rsid w:val="00B72B72"/>
    <w:rsid w:val="00B72D78"/>
    <w:rsid w:val="00B7392B"/>
    <w:rsid w:val="00B7452D"/>
    <w:rsid w:val="00B74F7B"/>
    <w:rsid w:val="00B7517A"/>
    <w:rsid w:val="00B7546E"/>
    <w:rsid w:val="00B75585"/>
    <w:rsid w:val="00B75EB4"/>
    <w:rsid w:val="00B769A9"/>
    <w:rsid w:val="00B76C66"/>
    <w:rsid w:val="00B76E33"/>
    <w:rsid w:val="00B76F9A"/>
    <w:rsid w:val="00B77647"/>
    <w:rsid w:val="00B77A5B"/>
    <w:rsid w:val="00B77BA9"/>
    <w:rsid w:val="00B80225"/>
    <w:rsid w:val="00B8038C"/>
    <w:rsid w:val="00B80A56"/>
    <w:rsid w:val="00B80A96"/>
    <w:rsid w:val="00B80E20"/>
    <w:rsid w:val="00B80F67"/>
    <w:rsid w:val="00B814BE"/>
    <w:rsid w:val="00B81B0B"/>
    <w:rsid w:val="00B822AC"/>
    <w:rsid w:val="00B82648"/>
    <w:rsid w:val="00B827C7"/>
    <w:rsid w:val="00B83125"/>
    <w:rsid w:val="00B83511"/>
    <w:rsid w:val="00B83865"/>
    <w:rsid w:val="00B84AA7"/>
    <w:rsid w:val="00B8561A"/>
    <w:rsid w:val="00B857EA"/>
    <w:rsid w:val="00B85F91"/>
    <w:rsid w:val="00B8600A"/>
    <w:rsid w:val="00B86243"/>
    <w:rsid w:val="00B8642B"/>
    <w:rsid w:val="00B86577"/>
    <w:rsid w:val="00B86AD8"/>
    <w:rsid w:val="00B86D1F"/>
    <w:rsid w:val="00B86E17"/>
    <w:rsid w:val="00B8726D"/>
    <w:rsid w:val="00B87338"/>
    <w:rsid w:val="00B8780F"/>
    <w:rsid w:val="00B87ADC"/>
    <w:rsid w:val="00B90472"/>
    <w:rsid w:val="00B906A9"/>
    <w:rsid w:val="00B9077D"/>
    <w:rsid w:val="00B90DC0"/>
    <w:rsid w:val="00B91353"/>
    <w:rsid w:val="00B9253A"/>
    <w:rsid w:val="00B92970"/>
    <w:rsid w:val="00B92AD7"/>
    <w:rsid w:val="00B93308"/>
    <w:rsid w:val="00B934D0"/>
    <w:rsid w:val="00B93E8C"/>
    <w:rsid w:val="00B94145"/>
    <w:rsid w:val="00B94702"/>
    <w:rsid w:val="00B9497B"/>
    <w:rsid w:val="00B94AEB"/>
    <w:rsid w:val="00B94C0B"/>
    <w:rsid w:val="00B951B4"/>
    <w:rsid w:val="00B95206"/>
    <w:rsid w:val="00B95581"/>
    <w:rsid w:val="00B95AB0"/>
    <w:rsid w:val="00B95DD2"/>
    <w:rsid w:val="00B96243"/>
    <w:rsid w:val="00B9627E"/>
    <w:rsid w:val="00B9635E"/>
    <w:rsid w:val="00B971F3"/>
    <w:rsid w:val="00B9732C"/>
    <w:rsid w:val="00B977B1"/>
    <w:rsid w:val="00BA03A5"/>
    <w:rsid w:val="00BA0A52"/>
    <w:rsid w:val="00BA10CF"/>
    <w:rsid w:val="00BA115C"/>
    <w:rsid w:val="00BA142A"/>
    <w:rsid w:val="00BA1447"/>
    <w:rsid w:val="00BA1562"/>
    <w:rsid w:val="00BA1AF4"/>
    <w:rsid w:val="00BA1B3D"/>
    <w:rsid w:val="00BA239A"/>
    <w:rsid w:val="00BA23E7"/>
    <w:rsid w:val="00BA269C"/>
    <w:rsid w:val="00BA2819"/>
    <w:rsid w:val="00BA2EA4"/>
    <w:rsid w:val="00BA2F8A"/>
    <w:rsid w:val="00BA3150"/>
    <w:rsid w:val="00BA3785"/>
    <w:rsid w:val="00BA3A1C"/>
    <w:rsid w:val="00BA4159"/>
    <w:rsid w:val="00BA41D8"/>
    <w:rsid w:val="00BA4405"/>
    <w:rsid w:val="00BA4533"/>
    <w:rsid w:val="00BA5043"/>
    <w:rsid w:val="00BA56C2"/>
    <w:rsid w:val="00BA577D"/>
    <w:rsid w:val="00BA57A0"/>
    <w:rsid w:val="00BA6B77"/>
    <w:rsid w:val="00BA711F"/>
    <w:rsid w:val="00BA781A"/>
    <w:rsid w:val="00BA7AF1"/>
    <w:rsid w:val="00BA7C3A"/>
    <w:rsid w:val="00BA7D4B"/>
    <w:rsid w:val="00BA7EA0"/>
    <w:rsid w:val="00BB0156"/>
    <w:rsid w:val="00BB027F"/>
    <w:rsid w:val="00BB0321"/>
    <w:rsid w:val="00BB071F"/>
    <w:rsid w:val="00BB0814"/>
    <w:rsid w:val="00BB085A"/>
    <w:rsid w:val="00BB0BDA"/>
    <w:rsid w:val="00BB15B7"/>
    <w:rsid w:val="00BB1C62"/>
    <w:rsid w:val="00BB1D3D"/>
    <w:rsid w:val="00BB2579"/>
    <w:rsid w:val="00BB3110"/>
    <w:rsid w:val="00BB3285"/>
    <w:rsid w:val="00BB435C"/>
    <w:rsid w:val="00BB43DA"/>
    <w:rsid w:val="00BB44A1"/>
    <w:rsid w:val="00BB4A6E"/>
    <w:rsid w:val="00BB4E76"/>
    <w:rsid w:val="00BB4F7F"/>
    <w:rsid w:val="00BB555A"/>
    <w:rsid w:val="00BB5D37"/>
    <w:rsid w:val="00BB5DE9"/>
    <w:rsid w:val="00BB60DC"/>
    <w:rsid w:val="00BB6A8E"/>
    <w:rsid w:val="00BB72D6"/>
    <w:rsid w:val="00BB73DC"/>
    <w:rsid w:val="00BB7CEE"/>
    <w:rsid w:val="00BC00AB"/>
    <w:rsid w:val="00BC05AF"/>
    <w:rsid w:val="00BC0A46"/>
    <w:rsid w:val="00BC0D39"/>
    <w:rsid w:val="00BC1655"/>
    <w:rsid w:val="00BC1A87"/>
    <w:rsid w:val="00BC1E6A"/>
    <w:rsid w:val="00BC253C"/>
    <w:rsid w:val="00BC2671"/>
    <w:rsid w:val="00BC2A74"/>
    <w:rsid w:val="00BC2AD3"/>
    <w:rsid w:val="00BC3B56"/>
    <w:rsid w:val="00BC3D40"/>
    <w:rsid w:val="00BC3DF1"/>
    <w:rsid w:val="00BC42A4"/>
    <w:rsid w:val="00BC44EE"/>
    <w:rsid w:val="00BC49A2"/>
    <w:rsid w:val="00BC4C14"/>
    <w:rsid w:val="00BC50A2"/>
    <w:rsid w:val="00BC5227"/>
    <w:rsid w:val="00BC5ADB"/>
    <w:rsid w:val="00BC5F74"/>
    <w:rsid w:val="00BC6BF1"/>
    <w:rsid w:val="00BC7B7A"/>
    <w:rsid w:val="00BD01F4"/>
    <w:rsid w:val="00BD03D3"/>
    <w:rsid w:val="00BD0CDD"/>
    <w:rsid w:val="00BD14C7"/>
    <w:rsid w:val="00BD15CD"/>
    <w:rsid w:val="00BD1676"/>
    <w:rsid w:val="00BD1722"/>
    <w:rsid w:val="00BD1951"/>
    <w:rsid w:val="00BD1A57"/>
    <w:rsid w:val="00BD1E65"/>
    <w:rsid w:val="00BD2093"/>
    <w:rsid w:val="00BD354F"/>
    <w:rsid w:val="00BD361A"/>
    <w:rsid w:val="00BD39BF"/>
    <w:rsid w:val="00BD3B27"/>
    <w:rsid w:val="00BD3CE0"/>
    <w:rsid w:val="00BD5001"/>
    <w:rsid w:val="00BD50C7"/>
    <w:rsid w:val="00BD55C1"/>
    <w:rsid w:val="00BD56D8"/>
    <w:rsid w:val="00BD5A0A"/>
    <w:rsid w:val="00BD5A99"/>
    <w:rsid w:val="00BD63BF"/>
    <w:rsid w:val="00BD65A3"/>
    <w:rsid w:val="00BD6A8E"/>
    <w:rsid w:val="00BD7427"/>
    <w:rsid w:val="00BD7A4B"/>
    <w:rsid w:val="00BD7B28"/>
    <w:rsid w:val="00BE00F1"/>
    <w:rsid w:val="00BE024E"/>
    <w:rsid w:val="00BE055B"/>
    <w:rsid w:val="00BE1599"/>
    <w:rsid w:val="00BE1C0C"/>
    <w:rsid w:val="00BE2B59"/>
    <w:rsid w:val="00BE2C0A"/>
    <w:rsid w:val="00BE2DA7"/>
    <w:rsid w:val="00BE33D6"/>
    <w:rsid w:val="00BE375B"/>
    <w:rsid w:val="00BE3786"/>
    <w:rsid w:val="00BE3BC7"/>
    <w:rsid w:val="00BE3CA9"/>
    <w:rsid w:val="00BE3E8E"/>
    <w:rsid w:val="00BE40B0"/>
    <w:rsid w:val="00BE417D"/>
    <w:rsid w:val="00BE46F2"/>
    <w:rsid w:val="00BE4A58"/>
    <w:rsid w:val="00BE4DEF"/>
    <w:rsid w:val="00BE513C"/>
    <w:rsid w:val="00BE547D"/>
    <w:rsid w:val="00BE556F"/>
    <w:rsid w:val="00BE5A22"/>
    <w:rsid w:val="00BE5A74"/>
    <w:rsid w:val="00BE69B6"/>
    <w:rsid w:val="00BE704F"/>
    <w:rsid w:val="00BE70DD"/>
    <w:rsid w:val="00BE7115"/>
    <w:rsid w:val="00BE771D"/>
    <w:rsid w:val="00BF01DE"/>
    <w:rsid w:val="00BF01F8"/>
    <w:rsid w:val="00BF05A0"/>
    <w:rsid w:val="00BF05C2"/>
    <w:rsid w:val="00BF0847"/>
    <w:rsid w:val="00BF12E1"/>
    <w:rsid w:val="00BF1650"/>
    <w:rsid w:val="00BF1791"/>
    <w:rsid w:val="00BF19C5"/>
    <w:rsid w:val="00BF1C3D"/>
    <w:rsid w:val="00BF1D2F"/>
    <w:rsid w:val="00BF1ECD"/>
    <w:rsid w:val="00BF2033"/>
    <w:rsid w:val="00BF25C3"/>
    <w:rsid w:val="00BF2D4E"/>
    <w:rsid w:val="00BF2DFE"/>
    <w:rsid w:val="00BF2F8F"/>
    <w:rsid w:val="00BF2FAC"/>
    <w:rsid w:val="00BF3336"/>
    <w:rsid w:val="00BF3CA2"/>
    <w:rsid w:val="00BF3CA4"/>
    <w:rsid w:val="00BF400C"/>
    <w:rsid w:val="00BF4164"/>
    <w:rsid w:val="00BF42A4"/>
    <w:rsid w:val="00BF42B7"/>
    <w:rsid w:val="00BF4871"/>
    <w:rsid w:val="00BF4C05"/>
    <w:rsid w:val="00BF4C6E"/>
    <w:rsid w:val="00BF4D4D"/>
    <w:rsid w:val="00BF4F3F"/>
    <w:rsid w:val="00BF4F52"/>
    <w:rsid w:val="00BF5242"/>
    <w:rsid w:val="00BF575D"/>
    <w:rsid w:val="00BF5764"/>
    <w:rsid w:val="00BF59EC"/>
    <w:rsid w:val="00BF5D45"/>
    <w:rsid w:val="00BF5DFD"/>
    <w:rsid w:val="00BF6E95"/>
    <w:rsid w:val="00BF6F18"/>
    <w:rsid w:val="00BF6FDB"/>
    <w:rsid w:val="00BF7091"/>
    <w:rsid w:val="00BF750A"/>
    <w:rsid w:val="00BF7B27"/>
    <w:rsid w:val="00BF7F8E"/>
    <w:rsid w:val="00C00764"/>
    <w:rsid w:val="00C007C2"/>
    <w:rsid w:val="00C00857"/>
    <w:rsid w:val="00C00B97"/>
    <w:rsid w:val="00C01C7D"/>
    <w:rsid w:val="00C01D8D"/>
    <w:rsid w:val="00C01F54"/>
    <w:rsid w:val="00C02228"/>
    <w:rsid w:val="00C02807"/>
    <w:rsid w:val="00C02829"/>
    <w:rsid w:val="00C02935"/>
    <w:rsid w:val="00C02A6D"/>
    <w:rsid w:val="00C02F6D"/>
    <w:rsid w:val="00C031B4"/>
    <w:rsid w:val="00C032B9"/>
    <w:rsid w:val="00C037FA"/>
    <w:rsid w:val="00C04029"/>
    <w:rsid w:val="00C04333"/>
    <w:rsid w:val="00C04502"/>
    <w:rsid w:val="00C045C1"/>
    <w:rsid w:val="00C0492A"/>
    <w:rsid w:val="00C04F88"/>
    <w:rsid w:val="00C055FD"/>
    <w:rsid w:val="00C057C8"/>
    <w:rsid w:val="00C05B24"/>
    <w:rsid w:val="00C06103"/>
    <w:rsid w:val="00C06482"/>
    <w:rsid w:val="00C06D28"/>
    <w:rsid w:val="00C07BAC"/>
    <w:rsid w:val="00C07ECC"/>
    <w:rsid w:val="00C07FEB"/>
    <w:rsid w:val="00C108B6"/>
    <w:rsid w:val="00C10F4E"/>
    <w:rsid w:val="00C1154E"/>
    <w:rsid w:val="00C11A19"/>
    <w:rsid w:val="00C11DBF"/>
    <w:rsid w:val="00C121C4"/>
    <w:rsid w:val="00C126EA"/>
    <w:rsid w:val="00C128D8"/>
    <w:rsid w:val="00C12EB9"/>
    <w:rsid w:val="00C13080"/>
    <w:rsid w:val="00C13465"/>
    <w:rsid w:val="00C13802"/>
    <w:rsid w:val="00C13A42"/>
    <w:rsid w:val="00C14068"/>
    <w:rsid w:val="00C1464F"/>
    <w:rsid w:val="00C15585"/>
    <w:rsid w:val="00C156D0"/>
    <w:rsid w:val="00C15869"/>
    <w:rsid w:val="00C15D46"/>
    <w:rsid w:val="00C15F89"/>
    <w:rsid w:val="00C16176"/>
    <w:rsid w:val="00C161BA"/>
    <w:rsid w:val="00C1688B"/>
    <w:rsid w:val="00C1693B"/>
    <w:rsid w:val="00C17456"/>
    <w:rsid w:val="00C1781B"/>
    <w:rsid w:val="00C17828"/>
    <w:rsid w:val="00C17F01"/>
    <w:rsid w:val="00C17FA0"/>
    <w:rsid w:val="00C20149"/>
    <w:rsid w:val="00C20544"/>
    <w:rsid w:val="00C2068B"/>
    <w:rsid w:val="00C20F74"/>
    <w:rsid w:val="00C21231"/>
    <w:rsid w:val="00C21309"/>
    <w:rsid w:val="00C220F5"/>
    <w:rsid w:val="00C227A4"/>
    <w:rsid w:val="00C22830"/>
    <w:rsid w:val="00C228D7"/>
    <w:rsid w:val="00C2310F"/>
    <w:rsid w:val="00C234B3"/>
    <w:rsid w:val="00C234B4"/>
    <w:rsid w:val="00C234D0"/>
    <w:rsid w:val="00C2359C"/>
    <w:rsid w:val="00C23650"/>
    <w:rsid w:val="00C23F11"/>
    <w:rsid w:val="00C23F78"/>
    <w:rsid w:val="00C243CF"/>
    <w:rsid w:val="00C24A1C"/>
    <w:rsid w:val="00C25DD8"/>
    <w:rsid w:val="00C263A9"/>
    <w:rsid w:val="00C26A85"/>
    <w:rsid w:val="00C273C0"/>
    <w:rsid w:val="00C27673"/>
    <w:rsid w:val="00C277D5"/>
    <w:rsid w:val="00C278D9"/>
    <w:rsid w:val="00C27D3F"/>
    <w:rsid w:val="00C27FDD"/>
    <w:rsid w:val="00C307B8"/>
    <w:rsid w:val="00C31026"/>
    <w:rsid w:val="00C31383"/>
    <w:rsid w:val="00C31686"/>
    <w:rsid w:val="00C321DF"/>
    <w:rsid w:val="00C32278"/>
    <w:rsid w:val="00C32A18"/>
    <w:rsid w:val="00C32A43"/>
    <w:rsid w:val="00C3356D"/>
    <w:rsid w:val="00C3357D"/>
    <w:rsid w:val="00C33FD3"/>
    <w:rsid w:val="00C34444"/>
    <w:rsid w:val="00C347C5"/>
    <w:rsid w:val="00C3483A"/>
    <w:rsid w:val="00C34F4C"/>
    <w:rsid w:val="00C35631"/>
    <w:rsid w:val="00C35666"/>
    <w:rsid w:val="00C36298"/>
    <w:rsid w:val="00C368BA"/>
    <w:rsid w:val="00C37419"/>
    <w:rsid w:val="00C37C45"/>
    <w:rsid w:val="00C37ECE"/>
    <w:rsid w:val="00C40010"/>
    <w:rsid w:val="00C4022D"/>
    <w:rsid w:val="00C408A3"/>
    <w:rsid w:val="00C408D4"/>
    <w:rsid w:val="00C410C4"/>
    <w:rsid w:val="00C4121E"/>
    <w:rsid w:val="00C418E1"/>
    <w:rsid w:val="00C41959"/>
    <w:rsid w:val="00C42403"/>
    <w:rsid w:val="00C42D74"/>
    <w:rsid w:val="00C43327"/>
    <w:rsid w:val="00C43717"/>
    <w:rsid w:val="00C439B3"/>
    <w:rsid w:val="00C43FD1"/>
    <w:rsid w:val="00C4446C"/>
    <w:rsid w:val="00C44C5A"/>
    <w:rsid w:val="00C45047"/>
    <w:rsid w:val="00C45863"/>
    <w:rsid w:val="00C45FE3"/>
    <w:rsid w:val="00C463E6"/>
    <w:rsid w:val="00C4670D"/>
    <w:rsid w:val="00C46A45"/>
    <w:rsid w:val="00C4706E"/>
    <w:rsid w:val="00C470EA"/>
    <w:rsid w:val="00C47306"/>
    <w:rsid w:val="00C476F2"/>
    <w:rsid w:val="00C478C5"/>
    <w:rsid w:val="00C47FA4"/>
    <w:rsid w:val="00C50245"/>
    <w:rsid w:val="00C50250"/>
    <w:rsid w:val="00C502F6"/>
    <w:rsid w:val="00C5049A"/>
    <w:rsid w:val="00C50679"/>
    <w:rsid w:val="00C50988"/>
    <w:rsid w:val="00C50D65"/>
    <w:rsid w:val="00C50EC7"/>
    <w:rsid w:val="00C5178C"/>
    <w:rsid w:val="00C52154"/>
    <w:rsid w:val="00C521D7"/>
    <w:rsid w:val="00C526C8"/>
    <w:rsid w:val="00C527B7"/>
    <w:rsid w:val="00C52E3F"/>
    <w:rsid w:val="00C534C8"/>
    <w:rsid w:val="00C53A44"/>
    <w:rsid w:val="00C53C59"/>
    <w:rsid w:val="00C53DD9"/>
    <w:rsid w:val="00C54A64"/>
    <w:rsid w:val="00C54C40"/>
    <w:rsid w:val="00C54DBB"/>
    <w:rsid w:val="00C54F62"/>
    <w:rsid w:val="00C550B3"/>
    <w:rsid w:val="00C55B3E"/>
    <w:rsid w:val="00C55DBD"/>
    <w:rsid w:val="00C55F9F"/>
    <w:rsid w:val="00C562C5"/>
    <w:rsid w:val="00C56545"/>
    <w:rsid w:val="00C565A8"/>
    <w:rsid w:val="00C56E5A"/>
    <w:rsid w:val="00C570EE"/>
    <w:rsid w:val="00C570F6"/>
    <w:rsid w:val="00C57129"/>
    <w:rsid w:val="00C57139"/>
    <w:rsid w:val="00C57758"/>
    <w:rsid w:val="00C57B53"/>
    <w:rsid w:val="00C57FF0"/>
    <w:rsid w:val="00C602CA"/>
    <w:rsid w:val="00C6054E"/>
    <w:rsid w:val="00C60554"/>
    <w:rsid w:val="00C61190"/>
    <w:rsid w:val="00C61204"/>
    <w:rsid w:val="00C613CD"/>
    <w:rsid w:val="00C62328"/>
    <w:rsid w:val="00C62A4E"/>
    <w:rsid w:val="00C62C94"/>
    <w:rsid w:val="00C62DD1"/>
    <w:rsid w:val="00C62E07"/>
    <w:rsid w:val="00C62F06"/>
    <w:rsid w:val="00C63C9B"/>
    <w:rsid w:val="00C63D0F"/>
    <w:rsid w:val="00C63D88"/>
    <w:rsid w:val="00C6496C"/>
    <w:rsid w:val="00C65509"/>
    <w:rsid w:val="00C655FE"/>
    <w:rsid w:val="00C656BA"/>
    <w:rsid w:val="00C65725"/>
    <w:rsid w:val="00C65960"/>
    <w:rsid w:val="00C659F6"/>
    <w:rsid w:val="00C65D15"/>
    <w:rsid w:val="00C65EEB"/>
    <w:rsid w:val="00C6679F"/>
    <w:rsid w:val="00C66909"/>
    <w:rsid w:val="00C66C05"/>
    <w:rsid w:val="00C66C94"/>
    <w:rsid w:val="00C66D01"/>
    <w:rsid w:val="00C66D92"/>
    <w:rsid w:val="00C66E7B"/>
    <w:rsid w:val="00C66F27"/>
    <w:rsid w:val="00C67214"/>
    <w:rsid w:val="00C67C59"/>
    <w:rsid w:val="00C704C2"/>
    <w:rsid w:val="00C7054A"/>
    <w:rsid w:val="00C707D3"/>
    <w:rsid w:val="00C70A4E"/>
    <w:rsid w:val="00C70AD1"/>
    <w:rsid w:val="00C70EEE"/>
    <w:rsid w:val="00C712BA"/>
    <w:rsid w:val="00C713F0"/>
    <w:rsid w:val="00C715A4"/>
    <w:rsid w:val="00C71FB5"/>
    <w:rsid w:val="00C72033"/>
    <w:rsid w:val="00C72334"/>
    <w:rsid w:val="00C72452"/>
    <w:rsid w:val="00C724BC"/>
    <w:rsid w:val="00C7271D"/>
    <w:rsid w:val="00C72FF5"/>
    <w:rsid w:val="00C72FFE"/>
    <w:rsid w:val="00C73BFA"/>
    <w:rsid w:val="00C73DF3"/>
    <w:rsid w:val="00C740B3"/>
    <w:rsid w:val="00C750C1"/>
    <w:rsid w:val="00C7590E"/>
    <w:rsid w:val="00C75994"/>
    <w:rsid w:val="00C769C7"/>
    <w:rsid w:val="00C76D07"/>
    <w:rsid w:val="00C76DC2"/>
    <w:rsid w:val="00C76EAE"/>
    <w:rsid w:val="00C76FFD"/>
    <w:rsid w:val="00C77586"/>
    <w:rsid w:val="00C77AD7"/>
    <w:rsid w:val="00C77DB5"/>
    <w:rsid w:val="00C8078F"/>
    <w:rsid w:val="00C8097C"/>
    <w:rsid w:val="00C809C3"/>
    <w:rsid w:val="00C80AF9"/>
    <w:rsid w:val="00C80F52"/>
    <w:rsid w:val="00C812AE"/>
    <w:rsid w:val="00C8144E"/>
    <w:rsid w:val="00C815A7"/>
    <w:rsid w:val="00C815C3"/>
    <w:rsid w:val="00C81ABF"/>
    <w:rsid w:val="00C81D78"/>
    <w:rsid w:val="00C81E06"/>
    <w:rsid w:val="00C82012"/>
    <w:rsid w:val="00C82419"/>
    <w:rsid w:val="00C82B32"/>
    <w:rsid w:val="00C8339F"/>
    <w:rsid w:val="00C83928"/>
    <w:rsid w:val="00C83967"/>
    <w:rsid w:val="00C83C5E"/>
    <w:rsid w:val="00C84B3A"/>
    <w:rsid w:val="00C84B3D"/>
    <w:rsid w:val="00C84C43"/>
    <w:rsid w:val="00C84FE3"/>
    <w:rsid w:val="00C861C1"/>
    <w:rsid w:val="00C86D2A"/>
    <w:rsid w:val="00C87337"/>
    <w:rsid w:val="00C87451"/>
    <w:rsid w:val="00C876FD"/>
    <w:rsid w:val="00C90139"/>
    <w:rsid w:val="00C903CC"/>
    <w:rsid w:val="00C9044C"/>
    <w:rsid w:val="00C91040"/>
    <w:rsid w:val="00C91B27"/>
    <w:rsid w:val="00C91F97"/>
    <w:rsid w:val="00C92552"/>
    <w:rsid w:val="00C92639"/>
    <w:rsid w:val="00C92F5D"/>
    <w:rsid w:val="00C9307D"/>
    <w:rsid w:val="00C930E4"/>
    <w:rsid w:val="00C935C1"/>
    <w:rsid w:val="00C9379A"/>
    <w:rsid w:val="00C93D99"/>
    <w:rsid w:val="00C942E1"/>
    <w:rsid w:val="00C94802"/>
    <w:rsid w:val="00C949F7"/>
    <w:rsid w:val="00C94C5A"/>
    <w:rsid w:val="00C95440"/>
    <w:rsid w:val="00C954DD"/>
    <w:rsid w:val="00C95E76"/>
    <w:rsid w:val="00C97116"/>
    <w:rsid w:val="00C97461"/>
    <w:rsid w:val="00C975BE"/>
    <w:rsid w:val="00C9785B"/>
    <w:rsid w:val="00C978EF"/>
    <w:rsid w:val="00C97EDB"/>
    <w:rsid w:val="00CA01E2"/>
    <w:rsid w:val="00CA022D"/>
    <w:rsid w:val="00CA0AD2"/>
    <w:rsid w:val="00CA0CD8"/>
    <w:rsid w:val="00CA12E0"/>
    <w:rsid w:val="00CA12E5"/>
    <w:rsid w:val="00CA1BBB"/>
    <w:rsid w:val="00CA2CB5"/>
    <w:rsid w:val="00CA2D05"/>
    <w:rsid w:val="00CA3093"/>
    <w:rsid w:val="00CA35C4"/>
    <w:rsid w:val="00CA3F20"/>
    <w:rsid w:val="00CA4421"/>
    <w:rsid w:val="00CA4DD5"/>
    <w:rsid w:val="00CA5075"/>
    <w:rsid w:val="00CA5269"/>
    <w:rsid w:val="00CA5595"/>
    <w:rsid w:val="00CA6126"/>
    <w:rsid w:val="00CA63CF"/>
    <w:rsid w:val="00CA670A"/>
    <w:rsid w:val="00CA6CC6"/>
    <w:rsid w:val="00CA6CED"/>
    <w:rsid w:val="00CA7083"/>
    <w:rsid w:val="00CA70B9"/>
    <w:rsid w:val="00CA72C3"/>
    <w:rsid w:val="00CA73DE"/>
    <w:rsid w:val="00CA74B8"/>
    <w:rsid w:val="00CA7B80"/>
    <w:rsid w:val="00CA7CB5"/>
    <w:rsid w:val="00CB0550"/>
    <w:rsid w:val="00CB0845"/>
    <w:rsid w:val="00CB0C97"/>
    <w:rsid w:val="00CB0D99"/>
    <w:rsid w:val="00CB0F29"/>
    <w:rsid w:val="00CB0FE5"/>
    <w:rsid w:val="00CB1169"/>
    <w:rsid w:val="00CB13E0"/>
    <w:rsid w:val="00CB1468"/>
    <w:rsid w:val="00CB15D1"/>
    <w:rsid w:val="00CB23A6"/>
    <w:rsid w:val="00CB26C6"/>
    <w:rsid w:val="00CB27B8"/>
    <w:rsid w:val="00CB2883"/>
    <w:rsid w:val="00CB2928"/>
    <w:rsid w:val="00CB2D37"/>
    <w:rsid w:val="00CB3156"/>
    <w:rsid w:val="00CB324C"/>
    <w:rsid w:val="00CB34A1"/>
    <w:rsid w:val="00CB378B"/>
    <w:rsid w:val="00CB39D3"/>
    <w:rsid w:val="00CB4C87"/>
    <w:rsid w:val="00CB4F5C"/>
    <w:rsid w:val="00CB5046"/>
    <w:rsid w:val="00CB5770"/>
    <w:rsid w:val="00CB5CA1"/>
    <w:rsid w:val="00CB5DF4"/>
    <w:rsid w:val="00CB698F"/>
    <w:rsid w:val="00CB717A"/>
    <w:rsid w:val="00CB7812"/>
    <w:rsid w:val="00CB788A"/>
    <w:rsid w:val="00CB7916"/>
    <w:rsid w:val="00CB79B0"/>
    <w:rsid w:val="00CB79E1"/>
    <w:rsid w:val="00CC054F"/>
    <w:rsid w:val="00CC0A7A"/>
    <w:rsid w:val="00CC0AC4"/>
    <w:rsid w:val="00CC0D20"/>
    <w:rsid w:val="00CC0EBA"/>
    <w:rsid w:val="00CC1243"/>
    <w:rsid w:val="00CC1578"/>
    <w:rsid w:val="00CC1DD6"/>
    <w:rsid w:val="00CC24E9"/>
    <w:rsid w:val="00CC258B"/>
    <w:rsid w:val="00CC27F1"/>
    <w:rsid w:val="00CC2826"/>
    <w:rsid w:val="00CC2884"/>
    <w:rsid w:val="00CC29EF"/>
    <w:rsid w:val="00CC2B8E"/>
    <w:rsid w:val="00CC33CB"/>
    <w:rsid w:val="00CC35D4"/>
    <w:rsid w:val="00CC37E9"/>
    <w:rsid w:val="00CC3A47"/>
    <w:rsid w:val="00CC3C06"/>
    <w:rsid w:val="00CC3C8E"/>
    <w:rsid w:val="00CC3EB4"/>
    <w:rsid w:val="00CC3F1E"/>
    <w:rsid w:val="00CC3F72"/>
    <w:rsid w:val="00CC4309"/>
    <w:rsid w:val="00CC454C"/>
    <w:rsid w:val="00CC5658"/>
    <w:rsid w:val="00CC5667"/>
    <w:rsid w:val="00CC5676"/>
    <w:rsid w:val="00CC5C3B"/>
    <w:rsid w:val="00CC5D2F"/>
    <w:rsid w:val="00CC6590"/>
    <w:rsid w:val="00CC6BE5"/>
    <w:rsid w:val="00CC716E"/>
    <w:rsid w:val="00CC768C"/>
    <w:rsid w:val="00CC77A1"/>
    <w:rsid w:val="00CC7847"/>
    <w:rsid w:val="00CC7944"/>
    <w:rsid w:val="00CD0496"/>
    <w:rsid w:val="00CD10D7"/>
    <w:rsid w:val="00CD10E9"/>
    <w:rsid w:val="00CD1245"/>
    <w:rsid w:val="00CD1450"/>
    <w:rsid w:val="00CD2A37"/>
    <w:rsid w:val="00CD2ACC"/>
    <w:rsid w:val="00CD2AD8"/>
    <w:rsid w:val="00CD30A3"/>
    <w:rsid w:val="00CD3BAE"/>
    <w:rsid w:val="00CD3D89"/>
    <w:rsid w:val="00CD413E"/>
    <w:rsid w:val="00CD41A7"/>
    <w:rsid w:val="00CD4316"/>
    <w:rsid w:val="00CD471C"/>
    <w:rsid w:val="00CD4B8F"/>
    <w:rsid w:val="00CD4DAE"/>
    <w:rsid w:val="00CD4E06"/>
    <w:rsid w:val="00CD54BF"/>
    <w:rsid w:val="00CD5581"/>
    <w:rsid w:val="00CD5829"/>
    <w:rsid w:val="00CD5A4C"/>
    <w:rsid w:val="00CD6AD0"/>
    <w:rsid w:val="00CD6CDD"/>
    <w:rsid w:val="00CD742D"/>
    <w:rsid w:val="00CD777A"/>
    <w:rsid w:val="00CE0277"/>
    <w:rsid w:val="00CE09EB"/>
    <w:rsid w:val="00CE0A06"/>
    <w:rsid w:val="00CE0CEE"/>
    <w:rsid w:val="00CE0F45"/>
    <w:rsid w:val="00CE11DA"/>
    <w:rsid w:val="00CE1BD9"/>
    <w:rsid w:val="00CE1D59"/>
    <w:rsid w:val="00CE20CE"/>
    <w:rsid w:val="00CE220D"/>
    <w:rsid w:val="00CE22BD"/>
    <w:rsid w:val="00CE2F59"/>
    <w:rsid w:val="00CE3304"/>
    <w:rsid w:val="00CE36CD"/>
    <w:rsid w:val="00CE387E"/>
    <w:rsid w:val="00CE3997"/>
    <w:rsid w:val="00CE3A98"/>
    <w:rsid w:val="00CE46A7"/>
    <w:rsid w:val="00CE49A1"/>
    <w:rsid w:val="00CE49CB"/>
    <w:rsid w:val="00CE4D04"/>
    <w:rsid w:val="00CE4EDC"/>
    <w:rsid w:val="00CE4EF7"/>
    <w:rsid w:val="00CE511E"/>
    <w:rsid w:val="00CE5A3F"/>
    <w:rsid w:val="00CE6557"/>
    <w:rsid w:val="00CE6759"/>
    <w:rsid w:val="00CE6A0D"/>
    <w:rsid w:val="00CE6C34"/>
    <w:rsid w:val="00CE70AB"/>
    <w:rsid w:val="00CE74C9"/>
    <w:rsid w:val="00CE7562"/>
    <w:rsid w:val="00CE7B9D"/>
    <w:rsid w:val="00CE7F96"/>
    <w:rsid w:val="00CE7FA4"/>
    <w:rsid w:val="00CF03D5"/>
    <w:rsid w:val="00CF0C95"/>
    <w:rsid w:val="00CF14F9"/>
    <w:rsid w:val="00CF16C5"/>
    <w:rsid w:val="00CF17E3"/>
    <w:rsid w:val="00CF18F3"/>
    <w:rsid w:val="00CF1D6E"/>
    <w:rsid w:val="00CF2548"/>
    <w:rsid w:val="00CF291C"/>
    <w:rsid w:val="00CF3311"/>
    <w:rsid w:val="00CF353D"/>
    <w:rsid w:val="00CF354B"/>
    <w:rsid w:val="00CF3892"/>
    <w:rsid w:val="00CF3AAA"/>
    <w:rsid w:val="00CF3B76"/>
    <w:rsid w:val="00CF3E3C"/>
    <w:rsid w:val="00CF452C"/>
    <w:rsid w:val="00CF4944"/>
    <w:rsid w:val="00CF49A0"/>
    <w:rsid w:val="00CF4AE1"/>
    <w:rsid w:val="00CF4B77"/>
    <w:rsid w:val="00CF4D76"/>
    <w:rsid w:val="00CF5261"/>
    <w:rsid w:val="00CF52AF"/>
    <w:rsid w:val="00CF52C2"/>
    <w:rsid w:val="00CF5A50"/>
    <w:rsid w:val="00CF5D41"/>
    <w:rsid w:val="00CF5D5C"/>
    <w:rsid w:val="00CF628D"/>
    <w:rsid w:val="00CF69D4"/>
    <w:rsid w:val="00CF6D0C"/>
    <w:rsid w:val="00CF79FC"/>
    <w:rsid w:val="00D001DE"/>
    <w:rsid w:val="00D002D6"/>
    <w:rsid w:val="00D004AA"/>
    <w:rsid w:val="00D0084C"/>
    <w:rsid w:val="00D012DC"/>
    <w:rsid w:val="00D01962"/>
    <w:rsid w:val="00D01CB1"/>
    <w:rsid w:val="00D01CDE"/>
    <w:rsid w:val="00D01D84"/>
    <w:rsid w:val="00D01EDD"/>
    <w:rsid w:val="00D01F5F"/>
    <w:rsid w:val="00D020FF"/>
    <w:rsid w:val="00D0255F"/>
    <w:rsid w:val="00D02575"/>
    <w:rsid w:val="00D0276D"/>
    <w:rsid w:val="00D02B81"/>
    <w:rsid w:val="00D02D5C"/>
    <w:rsid w:val="00D03129"/>
    <w:rsid w:val="00D031D4"/>
    <w:rsid w:val="00D0342D"/>
    <w:rsid w:val="00D03776"/>
    <w:rsid w:val="00D03980"/>
    <w:rsid w:val="00D04205"/>
    <w:rsid w:val="00D043E1"/>
    <w:rsid w:val="00D048E4"/>
    <w:rsid w:val="00D04903"/>
    <w:rsid w:val="00D04D24"/>
    <w:rsid w:val="00D04EB7"/>
    <w:rsid w:val="00D059C9"/>
    <w:rsid w:val="00D05E4D"/>
    <w:rsid w:val="00D05EEA"/>
    <w:rsid w:val="00D05F16"/>
    <w:rsid w:val="00D063A4"/>
    <w:rsid w:val="00D06455"/>
    <w:rsid w:val="00D06C27"/>
    <w:rsid w:val="00D0719A"/>
    <w:rsid w:val="00D076E6"/>
    <w:rsid w:val="00D07C5D"/>
    <w:rsid w:val="00D10292"/>
    <w:rsid w:val="00D104D8"/>
    <w:rsid w:val="00D10695"/>
    <w:rsid w:val="00D10816"/>
    <w:rsid w:val="00D11B16"/>
    <w:rsid w:val="00D12487"/>
    <w:rsid w:val="00D124E1"/>
    <w:rsid w:val="00D1274A"/>
    <w:rsid w:val="00D12F6F"/>
    <w:rsid w:val="00D132DC"/>
    <w:rsid w:val="00D13355"/>
    <w:rsid w:val="00D13C01"/>
    <w:rsid w:val="00D13E48"/>
    <w:rsid w:val="00D15128"/>
    <w:rsid w:val="00D15A82"/>
    <w:rsid w:val="00D15D32"/>
    <w:rsid w:val="00D16A97"/>
    <w:rsid w:val="00D16BEF"/>
    <w:rsid w:val="00D17821"/>
    <w:rsid w:val="00D20372"/>
    <w:rsid w:val="00D21468"/>
    <w:rsid w:val="00D21D4E"/>
    <w:rsid w:val="00D2269F"/>
    <w:rsid w:val="00D22D69"/>
    <w:rsid w:val="00D22DE8"/>
    <w:rsid w:val="00D239A2"/>
    <w:rsid w:val="00D23DD8"/>
    <w:rsid w:val="00D23EC6"/>
    <w:rsid w:val="00D2409F"/>
    <w:rsid w:val="00D24138"/>
    <w:rsid w:val="00D2482C"/>
    <w:rsid w:val="00D24949"/>
    <w:rsid w:val="00D24D0A"/>
    <w:rsid w:val="00D25039"/>
    <w:rsid w:val="00D2523B"/>
    <w:rsid w:val="00D25551"/>
    <w:rsid w:val="00D25822"/>
    <w:rsid w:val="00D25A42"/>
    <w:rsid w:val="00D25A72"/>
    <w:rsid w:val="00D25DF1"/>
    <w:rsid w:val="00D26729"/>
    <w:rsid w:val="00D267D9"/>
    <w:rsid w:val="00D26A21"/>
    <w:rsid w:val="00D26CD4"/>
    <w:rsid w:val="00D27739"/>
    <w:rsid w:val="00D27C0F"/>
    <w:rsid w:val="00D27FDE"/>
    <w:rsid w:val="00D302E6"/>
    <w:rsid w:val="00D304D4"/>
    <w:rsid w:val="00D30B97"/>
    <w:rsid w:val="00D310D5"/>
    <w:rsid w:val="00D31169"/>
    <w:rsid w:val="00D31356"/>
    <w:rsid w:val="00D31886"/>
    <w:rsid w:val="00D329AD"/>
    <w:rsid w:val="00D329B9"/>
    <w:rsid w:val="00D329F4"/>
    <w:rsid w:val="00D32E1D"/>
    <w:rsid w:val="00D3313D"/>
    <w:rsid w:val="00D33353"/>
    <w:rsid w:val="00D33550"/>
    <w:rsid w:val="00D337D2"/>
    <w:rsid w:val="00D338EE"/>
    <w:rsid w:val="00D3399E"/>
    <w:rsid w:val="00D33CA4"/>
    <w:rsid w:val="00D33E04"/>
    <w:rsid w:val="00D344E9"/>
    <w:rsid w:val="00D34744"/>
    <w:rsid w:val="00D34D12"/>
    <w:rsid w:val="00D350BF"/>
    <w:rsid w:val="00D352AE"/>
    <w:rsid w:val="00D353C0"/>
    <w:rsid w:val="00D35836"/>
    <w:rsid w:val="00D35A36"/>
    <w:rsid w:val="00D36373"/>
    <w:rsid w:val="00D36AF1"/>
    <w:rsid w:val="00D36DA5"/>
    <w:rsid w:val="00D36EEF"/>
    <w:rsid w:val="00D37119"/>
    <w:rsid w:val="00D40612"/>
    <w:rsid w:val="00D40958"/>
    <w:rsid w:val="00D40A25"/>
    <w:rsid w:val="00D40D6E"/>
    <w:rsid w:val="00D41EF1"/>
    <w:rsid w:val="00D41FEE"/>
    <w:rsid w:val="00D42B0E"/>
    <w:rsid w:val="00D42BA2"/>
    <w:rsid w:val="00D42BAD"/>
    <w:rsid w:val="00D42CC4"/>
    <w:rsid w:val="00D42CCD"/>
    <w:rsid w:val="00D43559"/>
    <w:rsid w:val="00D4387B"/>
    <w:rsid w:val="00D43ED6"/>
    <w:rsid w:val="00D44153"/>
    <w:rsid w:val="00D44315"/>
    <w:rsid w:val="00D44439"/>
    <w:rsid w:val="00D44794"/>
    <w:rsid w:val="00D44D1F"/>
    <w:rsid w:val="00D45406"/>
    <w:rsid w:val="00D4586B"/>
    <w:rsid w:val="00D459D5"/>
    <w:rsid w:val="00D45F1B"/>
    <w:rsid w:val="00D460E1"/>
    <w:rsid w:val="00D46223"/>
    <w:rsid w:val="00D463E6"/>
    <w:rsid w:val="00D466C6"/>
    <w:rsid w:val="00D466E5"/>
    <w:rsid w:val="00D46906"/>
    <w:rsid w:val="00D46A97"/>
    <w:rsid w:val="00D47242"/>
    <w:rsid w:val="00D472B0"/>
    <w:rsid w:val="00D47506"/>
    <w:rsid w:val="00D47867"/>
    <w:rsid w:val="00D47AFC"/>
    <w:rsid w:val="00D47D73"/>
    <w:rsid w:val="00D47E3E"/>
    <w:rsid w:val="00D50041"/>
    <w:rsid w:val="00D50E54"/>
    <w:rsid w:val="00D50ECD"/>
    <w:rsid w:val="00D5106D"/>
    <w:rsid w:val="00D513A5"/>
    <w:rsid w:val="00D514C9"/>
    <w:rsid w:val="00D51B02"/>
    <w:rsid w:val="00D51BB7"/>
    <w:rsid w:val="00D51D12"/>
    <w:rsid w:val="00D51FD9"/>
    <w:rsid w:val="00D52749"/>
    <w:rsid w:val="00D5306A"/>
    <w:rsid w:val="00D5337D"/>
    <w:rsid w:val="00D53386"/>
    <w:rsid w:val="00D53674"/>
    <w:rsid w:val="00D53F15"/>
    <w:rsid w:val="00D543B2"/>
    <w:rsid w:val="00D5469A"/>
    <w:rsid w:val="00D54DFF"/>
    <w:rsid w:val="00D54E49"/>
    <w:rsid w:val="00D55409"/>
    <w:rsid w:val="00D56846"/>
    <w:rsid w:val="00D57293"/>
    <w:rsid w:val="00D579E8"/>
    <w:rsid w:val="00D601BF"/>
    <w:rsid w:val="00D60B56"/>
    <w:rsid w:val="00D611BE"/>
    <w:rsid w:val="00D61356"/>
    <w:rsid w:val="00D6165D"/>
    <w:rsid w:val="00D625D6"/>
    <w:rsid w:val="00D62993"/>
    <w:rsid w:val="00D62B40"/>
    <w:rsid w:val="00D62D83"/>
    <w:rsid w:val="00D63291"/>
    <w:rsid w:val="00D63A25"/>
    <w:rsid w:val="00D63FF6"/>
    <w:rsid w:val="00D643E2"/>
    <w:rsid w:val="00D6453D"/>
    <w:rsid w:val="00D646AA"/>
    <w:rsid w:val="00D64BBB"/>
    <w:rsid w:val="00D650A0"/>
    <w:rsid w:val="00D652BA"/>
    <w:rsid w:val="00D65334"/>
    <w:rsid w:val="00D6553C"/>
    <w:rsid w:val="00D65DA1"/>
    <w:rsid w:val="00D66035"/>
    <w:rsid w:val="00D6616E"/>
    <w:rsid w:val="00D663A5"/>
    <w:rsid w:val="00D66611"/>
    <w:rsid w:val="00D66C1E"/>
    <w:rsid w:val="00D66F31"/>
    <w:rsid w:val="00D670CE"/>
    <w:rsid w:val="00D671B5"/>
    <w:rsid w:val="00D67375"/>
    <w:rsid w:val="00D6737C"/>
    <w:rsid w:val="00D676AA"/>
    <w:rsid w:val="00D676D7"/>
    <w:rsid w:val="00D67A13"/>
    <w:rsid w:val="00D67AE5"/>
    <w:rsid w:val="00D70078"/>
    <w:rsid w:val="00D70580"/>
    <w:rsid w:val="00D705FD"/>
    <w:rsid w:val="00D70B78"/>
    <w:rsid w:val="00D70E8E"/>
    <w:rsid w:val="00D710C6"/>
    <w:rsid w:val="00D718BA"/>
    <w:rsid w:val="00D71BF0"/>
    <w:rsid w:val="00D71F21"/>
    <w:rsid w:val="00D726DC"/>
    <w:rsid w:val="00D727B1"/>
    <w:rsid w:val="00D728F7"/>
    <w:rsid w:val="00D729C2"/>
    <w:rsid w:val="00D72EB1"/>
    <w:rsid w:val="00D72F99"/>
    <w:rsid w:val="00D733ED"/>
    <w:rsid w:val="00D733FD"/>
    <w:rsid w:val="00D73640"/>
    <w:rsid w:val="00D73CE2"/>
    <w:rsid w:val="00D73E27"/>
    <w:rsid w:val="00D74015"/>
    <w:rsid w:val="00D74084"/>
    <w:rsid w:val="00D741E3"/>
    <w:rsid w:val="00D7445D"/>
    <w:rsid w:val="00D749B1"/>
    <w:rsid w:val="00D74A7B"/>
    <w:rsid w:val="00D74EF3"/>
    <w:rsid w:val="00D75194"/>
    <w:rsid w:val="00D75E4E"/>
    <w:rsid w:val="00D75FC8"/>
    <w:rsid w:val="00D76479"/>
    <w:rsid w:val="00D766AD"/>
    <w:rsid w:val="00D76E0F"/>
    <w:rsid w:val="00D76F28"/>
    <w:rsid w:val="00D77B2F"/>
    <w:rsid w:val="00D77BAB"/>
    <w:rsid w:val="00D8032B"/>
    <w:rsid w:val="00D8077B"/>
    <w:rsid w:val="00D808BD"/>
    <w:rsid w:val="00D808FA"/>
    <w:rsid w:val="00D80F70"/>
    <w:rsid w:val="00D8113D"/>
    <w:rsid w:val="00D81545"/>
    <w:rsid w:val="00D81BF1"/>
    <w:rsid w:val="00D82370"/>
    <w:rsid w:val="00D825AA"/>
    <w:rsid w:val="00D826F5"/>
    <w:rsid w:val="00D82888"/>
    <w:rsid w:val="00D82965"/>
    <w:rsid w:val="00D829A7"/>
    <w:rsid w:val="00D83213"/>
    <w:rsid w:val="00D843D3"/>
    <w:rsid w:val="00D8446D"/>
    <w:rsid w:val="00D84D75"/>
    <w:rsid w:val="00D84DB0"/>
    <w:rsid w:val="00D852A9"/>
    <w:rsid w:val="00D853C7"/>
    <w:rsid w:val="00D85A24"/>
    <w:rsid w:val="00D85E28"/>
    <w:rsid w:val="00D8627E"/>
    <w:rsid w:val="00D86676"/>
    <w:rsid w:val="00D86694"/>
    <w:rsid w:val="00D86AB2"/>
    <w:rsid w:val="00D86D0D"/>
    <w:rsid w:val="00D86D1E"/>
    <w:rsid w:val="00D86EFC"/>
    <w:rsid w:val="00D87418"/>
    <w:rsid w:val="00D87633"/>
    <w:rsid w:val="00D87751"/>
    <w:rsid w:val="00D87756"/>
    <w:rsid w:val="00D9028B"/>
    <w:rsid w:val="00D9055C"/>
    <w:rsid w:val="00D90B6F"/>
    <w:rsid w:val="00D90F39"/>
    <w:rsid w:val="00D915A2"/>
    <w:rsid w:val="00D91781"/>
    <w:rsid w:val="00D917C7"/>
    <w:rsid w:val="00D917D6"/>
    <w:rsid w:val="00D91824"/>
    <w:rsid w:val="00D92473"/>
    <w:rsid w:val="00D93C33"/>
    <w:rsid w:val="00D94087"/>
    <w:rsid w:val="00D943BA"/>
    <w:rsid w:val="00D9474D"/>
    <w:rsid w:val="00D948E9"/>
    <w:rsid w:val="00D953CD"/>
    <w:rsid w:val="00D9561A"/>
    <w:rsid w:val="00D9596B"/>
    <w:rsid w:val="00D95A16"/>
    <w:rsid w:val="00D963E1"/>
    <w:rsid w:val="00D96429"/>
    <w:rsid w:val="00D96A44"/>
    <w:rsid w:val="00D96B55"/>
    <w:rsid w:val="00D96C8C"/>
    <w:rsid w:val="00D96E64"/>
    <w:rsid w:val="00D97490"/>
    <w:rsid w:val="00D9768C"/>
    <w:rsid w:val="00D978CC"/>
    <w:rsid w:val="00DA027C"/>
    <w:rsid w:val="00DA0646"/>
    <w:rsid w:val="00DA0BE4"/>
    <w:rsid w:val="00DA17FB"/>
    <w:rsid w:val="00DA1A24"/>
    <w:rsid w:val="00DA20A7"/>
    <w:rsid w:val="00DA2441"/>
    <w:rsid w:val="00DA2C48"/>
    <w:rsid w:val="00DA2CB7"/>
    <w:rsid w:val="00DA2E7C"/>
    <w:rsid w:val="00DA3B71"/>
    <w:rsid w:val="00DA44EA"/>
    <w:rsid w:val="00DA48A6"/>
    <w:rsid w:val="00DA49F8"/>
    <w:rsid w:val="00DA4F0C"/>
    <w:rsid w:val="00DA5252"/>
    <w:rsid w:val="00DA537F"/>
    <w:rsid w:val="00DA5845"/>
    <w:rsid w:val="00DA5BD8"/>
    <w:rsid w:val="00DA5EED"/>
    <w:rsid w:val="00DA6264"/>
    <w:rsid w:val="00DA62C2"/>
    <w:rsid w:val="00DA62D4"/>
    <w:rsid w:val="00DA62D6"/>
    <w:rsid w:val="00DA68AB"/>
    <w:rsid w:val="00DA6DA3"/>
    <w:rsid w:val="00DA72D0"/>
    <w:rsid w:val="00DA730D"/>
    <w:rsid w:val="00DA7970"/>
    <w:rsid w:val="00DA7C82"/>
    <w:rsid w:val="00DA7F4A"/>
    <w:rsid w:val="00DB0454"/>
    <w:rsid w:val="00DB06C4"/>
    <w:rsid w:val="00DB07AC"/>
    <w:rsid w:val="00DB07CA"/>
    <w:rsid w:val="00DB07DB"/>
    <w:rsid w:val="00DB0BA8"/>
    <w:rsid w:val="00DB0D93"/>
    <w:rsid w:val="00DB0E36"/>
    <w:rsid w:val="00DB16FF"/>
    <w:rsid w:val="00DB17BA"/>
    <w:rsid w:val="00DB1AD3"/>
    <w:rsid w:val="00DB200E"/>
    <w:rsid w:val="00DB24B2"/>
    <w:rsid w:val="00DB25B6"/>
    <w:rsid w:val="00DB25E7"/>
    <w:rsid w:val="00DB2ECF"/>
    <w:rsid w:val="00DB3018"/>
    <w:rsid w:val="00DB3126"/>
    <w:rsid w:val="00DB3187"/>
    <w:rsid w:val="00DB37F2"/>
    <w:rsid w:val="00DB3882"/>
    <w:rsid w:val="00DB3F65"/>
    <w:rsid w:val="00DB4025"/>
    <w:rsid w:val="00DB4C03"/>
    <w:rsid w:val="00DB4D19"/>
    <w:rsid w:val="00DB4ED5"/>
    <w:rsid w:val="00DB5096"/>
    <w:rsid w:val="00DB52A9"/>
    <w:rsid w:val="00DB57AD"/>
    <w:rsid w:val="00DB5F94"/>
    <w:rsid w:val="00DB642E"/>
    <w:rsid w:val="00DB7385"/>
    <w:rsid w:val="00DB73E3"/>
    <w:rsid w:val="00DB7476"/>
    <w:rsid w:val="00DB799D"/>
    <w:rsid w:val="00DB7E2F"/>
    <w:rsid w:val="00DC0697"/>
    <w:rsid w:val="00DC0E63"/>
    <w:rsid w:val="00DC1177"/>
    <w:rsid w:val="00DC1349"/>
    <w:rsid w:val="00DC15CD"/>
    <w:rsid w:val="00DC18D1"/>
    <w:rsid w:val="00DC1A02"/>
    <w:rsid w:val="00DC1B4F"/>
    <w:rsid w:val="00DC1CB0"/>
    <w:rsid w:val="00DC1F69"/>
    <w:rsid w:val="00DC1F84"/>
    <w:rsid w:val="00DC308B"/>
    <w:rsid w:val="00DC30D3"/>
    <w:rsid w:val="00DC3359"/>
    <w:rsid w:val="00DC3AAA"/>
    <w:rsid w:val="00DC4D14"/>
    <w:rsid w:val="00DC503C"/>
    <w:rsid w:val="00DC5501"/>
    <w:rsid w:val="00DC5506"/>
    <w:rsid w:val="00DC59BD"/>
    <w:rsid w:val="00DC5DEC"/>
    <w:rsid w:val="00DC5F32"/>
    <w:rsid w:val="00DC64AE"/>
    <w:rsid w:val="00DC6A15"/>
    <w:rsid w:val="00DC6B32"/>
    <w:rsid w:val="00DC6F36"/>
    <w:rsid w:val="00DC7267"/>
    <w:rsid w:val="00DD0C17"/>
    <w:rsid w:val="00DD14F1"/>
    <w:rsid w:val="00DD20A2"/>
    <w:rsid w:val="00DD22E4"/>
    <w:rsid w:val="00DD2696"/>
    <w:rsid w:val="00DD26A2"/>
    <w:rsid w:val="00DD2744"/>
    <w:rsid w:val="00DD2963"/>
    <w:rsid w:val="00DD29B4"/>
    <w:rsid w:val="00DD29CF"/>
    <w:rsid w:val="00DD2B68"/>
    <w:rsid w:val="00DD2D82"/>
    <w:rsid w:val="00DD3C05"/>
    <w:rsid w:val="00DD3E1B"/>
    <w:rsid w:val="00DD4912"/>
    <w:rsid w:val="00DD4995"/>
    <w:rsid w:val="00DD4E49"/>
    <w:rsid w:val="00DD5978"/>
    <w:rsid w:val="00DD5A9D"/>
    <w:rsid w:val="00DD5D14"/>
    <w:rsid w:val="00DD5FAA"/>
    <w:rsid w:val="00DD61F1"/>
    <w:rsid w:val="00DD6393"/>
    <w:rsid w:val="00DD6D53"/>
    <w:rsid w:val="00DD7280"/>
    <w:rsid w:val="00DD75AC"/>
    <w:rsid w:val="00DD7B7C"/>
    <w:rsid w:val="00DD7E57"/>
    <w:rsid w:val="00DD7EF3"/>
    <w:rsid w:val="00DE01D5"/>
    <w:rsid w:val="00DE04C8"/>
    <w:rsid w:val="00DE0662"/>
    <w:rsid w:val="00DE0747"/>
    <w:rsid w:val="00DE096A"/>
    <w:rsid w:val="00DE0EB2"/>
    <w:rsid w:val="00DE0EE9"/>
    <w:rsid w:val="00DE0FAD"/>
    <w:rsid w:val="00DE1187"/>
    <w:rsid w:val="00DE1B62"/>
    <w:rsid w:val="00DE1BA1"/>
    <w:rsid w:val="00DE1BAC"/>
    <w:rsid w:val="00DE2003"/>
    <w:rsid w:val="00DE20E3"/>
    <w:rsid w:val="00DE2188"/>
    <w:rsid w:val="00DE22D7"/>
    <w:rsid w:val="00DE266C"/>
    <w:rsid w:val="00DE2CCC"/>
    <w:rsid w:val="00DE2FCE"/>
    <w:rsid w:val="00DE30C7"/>
    <w:rsid w:val="00DE312C"/>
    <w:rsid w:val="00DE32FF"/>
    <w:rsid w:val="00DE399A"/>
    <w:rsid w:val="00DE3DDC"/>
    <w:rsid w:val="00DE3DF2"/>
    <w:rsid w:val="00DE40AD"/>
    <w:rsid w:val="00DE4310"/>
    <w:rsid w:val="00DE4CE1"/>
    <w:rsid w:val="00DE4E9D"/>
    <w:rsid w:val="00DE50E6"/>
    <w:rsid w:val="00DE572F"/>
    <w:rsid w:val="00DE577D"/>
    <w:rsid w:val="00DE5C5F"/>
    <w:rsid w:val="00DE5CFA"/>
    <w:rsid w:val="00DE6559"/>
    <w:rsid w:val="00DE66CC"/>
    <w:rsid w:val="00DE6A24"/>
    <w:rsid w:val="00DE74D5"/>
    <w:rsid w:val="00DE7A8B"/>
    <w:rsid w:val="00DE7D85"/>
    <w:rsid w:val="00DE7E03"/>
    <w:rsid w:val="00DF0027"/>
    <w:rsid w:val="00DF02D4"/>
    <w:rsid w:val="00DF0395"/>
    <w:rsid w:val="00DF08AA"/>
    <w:rsid w:val="00DF0DEE"/>
    <w:rsid w:val="00DF0DF8"/>
    <w:rsid w:val="00DF0FBF"/>
    <w:rsid w:val="00DF1E2B"/>
    <w:rsid w:val="00DF2028"/>
    <w:rsid w:val="00DF21AF"/>
    <w:rsid w:val="00DF23DC"/>
    <w:rsid w:val="00DF241A"/>
    <w:rsid w:val="00DF25E1"/>
    <w:rsid w:val="00DF2A33"/>
    <w:rsid w:val="00DF2C50"/>
    <w:rsid w:val="00DF2C9B"/>
    <w:rsid w:val="00DF2EFE"/>
    <w:rsid w:val="00DF368E"/>
    <w:rsid w:val="00DF3A1E"/>
    <w:rsid w:val="00DF42C8"/>
    <w:rsid w:val="00DF444C"/>
    <w:rsid w:val="00DF4867"/>
    <w:rsid w:val="00DF4A9F"/>
    <w:rsid w:val="00DF4C38"/>
    <w:rsid w:val="00DF4EDE"/>
    <w:rsid w:val="00DF509D"/>
    <w:rsid w:val="00DF5134"/>
    <w:rsid w:val="00DF5814"/>
    <w:rsid w:val="00DF6029"/>
    <w:rsid w:val="00DF622D"/>
    <w:rsid w:val="00DF6300"/>
    <w:rsid w:val="00DF6C02"/>
    <w:rsid w:val="00DF7F47"/>
    <w:rsid w:val="00E0020C"/>
    <w:rsid w:val="00E004AB"/>
    <w:rsid w:val="00E00547"/>
    <w:rsid w:val="00E0063F"/>
    <w:rsid w:val="00E0116D"/>
    <w:rsid w:val="00E016AD"/>
    <w:rsid w:val="00E02021"/>
    <w:rsid w:val="00E02596"/>
    <w:rsid w:val="00E026A5"/>
    <w:rsid w:val="00E034F5"/>
    <w:rsid w:val="00E037B0"/>
    <w:rsid w:val="00E03978"/>
    <w:rsid w:val="00E03C86"/>
    <w:rsid w:val="00E03CF1"/>
    <w:rsid w:val="00E0418B"/>
    <w:rsid w:val="00E04758"/>
    <w:rsid w:val="00E04A2E"/>
    <w:rsid w:val="00E04AFA"/>
    <w:rsid w:val="00E04E52"/>
    <w:rsid w:val="00E057E3"/>
    <w:rsid w:val="00E05C0E"/>
    <w:rsid w:val="00E05F1F"/>
    <w:rsid w:val="00E06337"/>
    <w:rsid w:val="00E06448"/>
    <w:rsid w:val="00E06526"/>
    <w:rsid w:val="00E0672E"/>
    <w:rsid w:val="00E07325"/>
    <w:rsid w:val="00E0768E"/>
    <w:rsid w:val="00E079F6"/>
    <w:rsid w:val="00E07E2A"/>
    <w:rsid w:val="00E07EFE"/>
    <w:rsid w:val="00E10276"/>
    <w:rsid w:val="00E10633"/>
    <w:rsid w:val="00E1095D"/>
    <w:rsid w:val="00E10F8A"/>
    <w:rsid w:val="00E1103D"/>
    <w:rsid w:val="00E11107"/>
    <w:rsid w:val="00E11173"/>
    <w:rsid w:val="00E111B6"/>
    <w:rsid w:val="00E11336"/>
    <w:rsid w:val="00E115C4"/>
    <w:rsid w:val="00E115CA"/>
    <w:rsid w:val="00E1161A"/>
    <w:rsid w:val="00E1182D"/>
    <w:rsid w:val="00E11995"/>
    <w:rsid w:val="00E11C94"/>
    <w:rsid w:val="00E11DE8"/>
    <w:rsid w:val="00E11DF7"/>
    <w:rsid w:val="00E1208D"/>
    <w:rsid w:val="00E120EE"/>
    <w:rsid w:val="00E12221"/>
    <w:rsid w:val="00E12414"/>
    <w:rsid w:val="00E124ED"/>
    <w:rsid w:val="00E12851"/>
    <w:rsid w:val="00E12C1B"/>
    <w:rsid w:val="00E13414"/>
    <w:rsid w:val="00E1464C"/>
    <w:rsid w:val="00E14A8B"/>
    <w:rsid w:val="00E15665"/>
    <w:rsid w:val="00E161C3"/>
    <w:rsid w:val="00E173A3"/>
    <w:rsid w:val="00E1741D"/>
    <w:rsid w:val="00E174D4"/>
    <w:rsid w:val="00E175A4"/>
    <w:rsid w:val="00E17686"/>
    <w:rsid w:val="00E17A77"/>
    <w:rsid w:val="00E17BE2"/>
    <w:rsid w:val="00E17BF5"/>
    <w:rsid w:val="00E17E59"/>
    <w:rsid w:val="00E200C8"/>
    <w:rsid w:val="00E20679"/>
    <w:rsid w:val="00E20AD5"/>
    <w:rsid w:val="00E20B91"/>
    <w:rsid w:val="00E215A0"/>
    <w:rsid w:val="00E21741"/>
    <w:rsid w:val="00E21B81"/>
    <w:rsid w:val="00E21E8B"/>
    <w:rsid w:val="00E2319D"/>
    <w:rsid w:val="00E23236"/>
    <w:rsid w:val="00E2383B"/>
    <w:rsid w:val="00E23D58"/>
    <w:rsid w:val="00E23F17"/>
    <w:rsid w:val="00E2428A"/>
    <w:rsid w:val="00E24335"/>
    <w:rsid w:val="00E24754"/>
    <w:rsid w:val="00E24DAF"/>
    <w:rsid w:val="00E24DEB"/>
    <w:rsid w:val="00E24FDA"/>
    <w:rsid w:val="00E252B4"/>
    <w:rsid w:val="00E256A0"/>
    <w:rsid w:val="00E26223"/>
    <w:rsid w:val="00E266D1"/>
    <w:rsid w:val="00E2681E"/>
    <w:rsid w:val="00E26903"/>
    <w:rsid w:val="00E26B92"/>
    <w:rsid w:val="00E2709D"/>
    <w:rsid w:val="00E271A0"/>
    <w:rsid w:val="00E27F48"/>
    <w:rsid w:val="00E306DF"/>
    <w:rsid w:val="00E30F4E"/>
    <w:rsid w:val="00E31BE3"/>
    <w:rsid w:val="00E31FAF"/>
    <w:rsid w:val="00E323C8"/>
    <w:rsid w:val="00E3240D"/>
    <w:rsid w:val="00E32C59"/>
    <w:rsid w:val="00E32E74"/>
    <w:rsid w:val="00E33684"/>
    <w:rsid w:val="00E33731"/>
    <w:rsid w:val="00E33906"/>
    <w:rsid w:val="00E3396D"/>
    <w:rsid w:val="00E33B87"/>
    <w:rsid w:val="00E33EE7"/>
    <w:rsid w:val="00E34157"/>
    <w:rsid w:val="00E346E4"/>
    <w:rsid w:val="00E346FD"/>
    <w:rsid w:val="00E34D5A"/>
    <w:rsid w:val="00E352A5"/>
    <w:rsid w:val="00E356EA"/>
    <w:rsid w:val="00E365F7"/>
    <w:rsid w:val="00E3698E"/>
    <w:rsid w:val="00E36DB0"/>
    <w:rsid w:val="00E37BE7"/>
    <w:rsid w:val="00E37F13"/>
    <w:rsid w:val="00E37F3D"/>
    <w:rsid w:val="00E40912"/>
    <w:rsid w:val="00E40920"/>
    <w:rsid w:val="00E40BED"/>
    <w:rsid w:val="00E40C52"/>
    <w:rsid w:val="00E40C81"/>
    <w:rsid w:val="00E40CA1"/>
    <w:rsid w:val="00E41023"/>
    <w:rsid w:val="00E410FD"/>
    <w:rsid w:val="00E416BA"/>
    <w:rsid w:val="00E41B6A"/>
    <w:rsid w:val="00E41E52"/>
    <w:rsid w:val="00E4211A"/>
    <w:rsid w:val="00E42644"/>
    <w:rsid w:val="00E42A9E"/>
    <w:rsid w:val="00E42E0C"/>
    <w:rsid w:val="00E431A2"/>
    <w:rsid w:val="00E433CA"/>
    <w:rsid w:val="00E43CD4"/>
    <w:rsid w:val="00E441D2"/>
    <w:rsid w:val="00E443B8"/>
    <w:rsid w:val="00E4447B"/>
    <w:rsid w:val="00E4452E"/>
    <w:rsid w:val="00E4481F"/>
    <w:rsid w:val="00E44918"/>
    <w:rsid w:val="00E44A24"/>
    <w:rsid w:val="00E44EBF"/>
    <w:rsid w:val="00E44FB4"/>
    <w:rsid w:val="00E45054"/>
    <w:rsid w:val="00E450DE"/>
    <w:rsid w:val="00E45154"/>
    <w:rsid w:val="00E452D0"/>
    <w:rsid w:val="00E469C6"/>
    <w:rsid w:val="00E47379"/>
    <w:rsid w:val="00E47574"/>
    <w:rsid w:val="00E47A0E"/>
    <w:rsid w:val="00E50578"/>
    <w:rsid w:val="00E50B59"/>
    <w:rsid w:val="00E50C56"/>
    <w:rsid w:val="00E50E2F"/>
    <w:rsid w:val="00E51644"/>
    <w:rsid w:val="00E5171C"/>
    <w:rsid w:val="00E51B19"/>
    <w:rsid w:val="00E51B42"/>
    <w:rsid w:val="00E524EF"/>
    <w:rsid w:val="00E52CE3"/>
    <w:rsid w:val="00E53201"/>
    <w:rsid w:val="00E53301"/>
    <w:rsid w:val="00E536B3"/>
    <w:rsid w:val="00E53914"/>
    <w:rsid w:val="00E55028"/>
    <w:rsid w:val="00E55046"/>
    <w:rsid w:val="00E55097"/>
    <w:rsid w:val="00E551F8"/>
    <w:rsid w:val="00E55E1F"/>
    <w:rsid w:val="00E561B0"/>
    <w:rsid w:val="00E56551"/>
    <w:rsid w:val="00E56863"/>
    <w:rsid w:val="00E5699B"/>
    <w:rsid w:val="00E56F7F"/>
    <w:rsid w:val="00E5714F"/>
    <w:rsid w:val="00E57287"/>
    <w:rsid w:val="00E5731E"/>
    <w:rsid w:val="00E574D4"/>
    <w:rsid w:val="00E57580"/>
    <w:rsid w:val="00E57598"/>
    <w:rsid w:val="00E57AE3"/>
    <w:rsid w:val="00E61541"/>
    <w:rsid w:val="00E6174F"/>
    <w:rsid w:val="00E6190E"/>
    <w:rsid w:val="00E6216B"/>
    <w:rsid w:val="00E622B2"/>
    <w:rsid w:val="00E6261A"/>
    <w:rsid w:val="00E62BB9"/>
    <w:rsid w:val="00E62DAB"/>
    <w:rsid w:val="00E630D0"/>
    <w:rsid w:val="00E633FB"/>
    <w:rsid w:val="00E645CA"/>
    <w:rsid w:val="00E64620"/>
    <w:rsid w:val="00E64642"/>
    <w:rsid w:val="00E65395"/>
    <w:rsid w:val="00E65527"/>
    <w:rsid w:val="00E6565D"/>
    <w:rsid w:val="00E657AA"/>
    <w:rsid w:val="00E65E92"/>
    <w:rsid w:val="00E66007"/>
    <w:rsid w:val="00E6685F"/>
    <w:rsid w:val="00E66A2A"/>
    <w:rsid w:val="00E66AD8"/>
    <w:rsid w:val="00E66B9C"/>
    <w:rsid w:val="00E66F36"/>
    <w:rsid w:val="00E670F1"/>
    <w:rsid w:val="00E67666"/>
    <w:rsid w:val="00E676A1"/>
    <w:rsid w:val="00E67AE1"/>
    <w:rsid w:val="00E70150"/>
    <w:rsid w:val="00E7057C"/>
    <w:rsid w:val="00E7084B"/>
    <w:rsid w:val="00E70F16"/>
    <w:rsid w:val="00E71063"/>
    <w:rsid w:val="00E71858"/>
    <w:rsid w:val="00E718A9"/>
    <w:rsid w:val="00E71FC0"/>
    <w:rsid w:val="00E72039"/>
    <w:rsid w:val="00E7215E"/>
    <w:rsid w:val="00E721C2"/>
    <w:rsid w:val="00E72464"/>
    <w:rsid w:val="00E7256E"/>
    <w:rsid w:val="00E734C2"/>
    <w:rsid w:val="00E7369C"/>
    <w:rsid w:val="00E73793"/>
    <w:rsid w:val="00E73BDE"/>
    <w:rsid w:val="00E7403B"/>
    <w:rsid w:val="00E741FE"/>
    <w:rsid w:val="00E74233"/>
    <w:rsid w:val="00E74CF3"/>
    <w:rsid w:val="00E75310"/>
    <w:rsid w:val="00E75974"/>
    <w:rsid w:val="00E75AE7"/>
    <w:rsid w:val="00E76A96"/>
    <w:rsid w:val="00E76B47"/>
    <w:rsid w:val="00E76DD5"/>
    <w:rsid w:val="00E76F49"/>
    <w:rsid w:val="00E7701C"/>
    <w:rsid w:val="00E777A6"/>
    <w:rsid w:val="00E808C1"/>
    <w:rsid w:val="00E8197F"/>
    <w:rsid w:val="00E81BA6"/>
    <w:rsid w:val="00E81BBF"/>
    <w:rsid w:val="00E81D6C"/>
    <w:rsid w:val="00E81EB2"/>
    <w:rsid w:val="00E82057"/>
    <w:rsid w:val="00E82393"/>
    <w:rsid w:val="00E824D5"/>
    <w:rsid w:val="00E825A4"/>
    <w:rsid w:val="00E826A3"/>
    <w:rsid w:val="00E82BD1"/>
    <w:rsid w:val="00E82BEE"/>
    <w:rsid w:val="00E82EC5"/>
    <w:rsid w:val="00E83DED"/>
    <w:rsid w:val="00E841FB"/>
    <w:rsid w:val="00E845A2"/>
    <w:rsid w:val="00E84D82"/>
    <w:rsid w:val="00E85711"/>
    <w:rsid w:val="00E858C2"/>
    <w:rsid w:val="00E85E10"/>
    <w:rsid w:val="00E862F3"/>
    <w:rsid w:val="00E86412"/>
    <w:rsid w:val="00E86BF8"/>
    <w:rsid w:val="00E86D80"/>
    <w:rsid w:val="00E871C3"/>
    <w:rsid w:val="00E87347"/>
    <w:rsid w:val="00E87968"/>
    <w:rsid w:val="00E87C15"/>
    <w:rsid w:val="00E87C9E"/>
    <w:rsid w:val="00E87DF4"/>
    <w:rsid w:val="00E90840"/>
    <w:rsid w:val="00E90B17"/>
    <w:rsid w:val="00E90C29"/>
    <w:rsid w:val="00E90D11"/>
    <w:rsid w:val="00E911FC"/>
    <w:rsid w:val="00E91654"/>
    <w:rsid w:val="00E918B5"/>
    <w:rsid w:val="00E9202A"/>
    <w:rsid w:val="00E927D7"/>
    <w:rsid w:val="00E92ABA"/>
    <w:rsid w:val="00E9322A"/>
    <w:rsid w:val="00E939D6"/>
    <w:rsid w:val="00E93D56"/>
    <w:rsid w:val="00E94034"/>
    <w:rsid w:val="00E94363"/>
    <w:rsid w:val="00E94613"/>
    <w:rsid w:val="00E9512E"/>
    <w:rsid w:val="00E9537D"/>
    <w:rsid w:val="00E95EF3"/>
    <w:rsid w:val="00E9621C"/>
    <w:rsid w:val="00E96937"/>
    <w:rsid w:val="00E96C01"/>
    <w:rsid w:val="00E976DD"/>
    <w:rsid w:val="00E97A01"/>
    <w:rsid w:val="00EA01C1"/>
    <w:rsid w:val="00EA0A91"/>
    <w:rsid w:val="00EA0D7F"/>
    <w:rsid w:val="00EA0E64"/>
    <w:rsid w:val="00EA1265"/>
    <w:rsid w:val="00EA2716"/>
    <w:rsid w:val="00EA2D90"/>
    <w:rsid w:val="00EA2E57"/>
    <w:rsid w:val="00EA393A"/>
    <w:rsid w:val="00EA4184"/>
    <w:rsid w:val="00EA4597"/>
    <w:rsid w:val="00EA533E"/>
    <w:rsid w:val="00EA5A36"/>
    <w:rsid w:val="00EA601A"/>
    <w:rsid w:val="00EA611D"/>
    <w:rsid w:val="00EA6849"/>
    <w:rsid w:val="00EA6B76"/>
    <w:rsid w:val="00EA6CFA"/>
    <w:rsid w:val="00EA73B4"/>
    <w:rsid w:val="00EA7F85"/>
    <w:rsid w:val="00EA7F8D"/>
    <w:rsid w:val="00EA7FC0"/>
    <w:rsid w:val="00EB00D4"/>
    <w:rsid w:val="00EB0CA1"/>
    <w:rsid w:val="00EB0CE8"/>
    <w:rsid w:val="00EB11D9"/>
    <w:rsid w:val="00EB1254"/>
    <w:rsid w:val="00EB1721"/>
    <w:rsid w:val="00EB1C5F"/>
    <w:rsid w:val="00EB2015"/>
    <w:rsid w:val="00EB2284"/>
    <w:rsid w:val="00EB2375"/>
    <w:rsid w:val="00EB2509"/>
    <w:rsid w:val="00EB2A76"/>
    <w:rsid w:val="00EB2BA8"/>
    <w:rsid w:val="00EB2BBA"/>
    <w:rsid w:val="00EB2E3C"/>
    <w:rsid w:val="00EB321A"/>
    <w:rsid w:val="00EB3338"/>
    <w:rsid w:val="00EB33E7"/>
    <w:rsid w:val="00EB3E11"/>
    <w:rsid w:val="00EB41E0"/>
    <w:rsid w:val="00EB4567"/>
    <w:rsid w:val="00EB4901"/>
    <w:rsid w:val="00EB4BA0"/>
    <w:rsid w:val="00EB5853"/>
    <w:rsid w:val="00EB5AF5"/>
    <w:rsid w:val="00EB5C6F"/>
    <w:rsid w:val="00EB5CD4"/>
    <w:rsid w:val="00EB5E78"/>
    <w:rsid w:val="00EB6385"/>
    <w:rsid w:val="00EB6495"/>
    <w:rsid w:val="00EB65CA"/>
    <w:rsid w:val="00EB6766"/>
    <w:rsid w:val="00EB68F6"/>
    <w:rsid w:val="00EB6BD6"/>
    <w:rsid w:val="00EB6C4D"/>
    <w:rsid w:val="00EB7150"/>
    <w:rsid w:val="00EB75DC"/>
    <w:rsid w:val="00EB7638"/>
    <w:rsid w:val="00EB7A3F"/>
    <w:rsid w:val="00EC0128"/>
    <w:rsid w:val="00EC0648"/>
    <w:rsid w:val="00EC0798"/>
    <w:rsid w:val="00EC087A"/>
    <w:rsid w:val="00EC0C5D"/>
    <w:rsid w:val="00EC1628"/>
    <w:rsid w:val="00EC1869"/>
    <w:rsid w:val="00EC1B18"/>
    <w:rsid w:val="00EC29E0"/>
    <w:rsid w:val="00EC2A30"/>
    <w:rsid w:val="00EC2AC1"/>
    <w:rsid w:val="00EC2BBF"/>
    <w:rsid w:val="00EC3820"/>
    <w:rsid w:val="00EC4DE7"/>
    <w:rsid w:val="00EC4F26"/>
    <w:rsid w:val="00EC5164"/>
    <w:rsid w:val="00EC529B"/>
    <w:rsid w:val="00EC5A1B"/>
    <w:rsid w:val="00EC5E55"/>
    <w:rsid w:val="00EC6238"/>
    <w:rsid w:val="00EC6284"/>
    <w:rsid w:val="00EC68DD"/>
    <w:rsid w:val="00EC697D"/>
    <w:rsid w:val="00EC6EF4"/>
    <w:rsid w:val="00EC7AF5"/>
    <w:rsid w:val="00EC7C6C"/>
    <w:rsid w:val="00EC7F34"/>
    <w:rsid w:val="00ED0CBF"/>
    <w:rsid w:val="00ED0CED"/>
    <w:rsid w:val="00ED1040"/>
    <w:rsid w:val="00ED1347"/>
    <w:rsid w:val="00ED1FAB"/>
    <w:rsid w:val="00ED2144"/>
    <w:rsid w:val="00ED21C6"/>
    <w:rsid w:val="00ED2407"/>
    <w:rsid w:val="00ED2438"/>
    <w:rsid w:val="00ED2A03"/>
    <w:rsid w:val="00ED30D1"/>
    <w:rsid w:val="00ED359B"/>
    <w:rsid w:val="00ED39A1"/>
    <w:rsid w:val="00ED3EF3"/>
    <w:rsid w:val="00ED4748"/>
    <w:rsid w:val="00ED474D"/>
    <w:rsid w:val="00ED4C10"/>
    <w:rsid w:val="00ED5049"/>
    <w:rsid w:val="00ED5460"/>
    <w:rsid w:val="00ED62CE"/>
    <w:rsid w:val="00ED63D7"/>
    <w:rsid w:val="00ED65B7"/>
    <w:rsid w:val="00ED6765"/>
    <w:rsid w:val="00ED6EEE"/>
    <w:rsid w:val="00ED72C0"/>
    <w:rsid w:val="00ED769A"/>
    <w:rsid w:val="00ED770C"/>
    <w:rsid w:val="00ED77FD"/>
    <w:rsid w:val="00ED7A97"/>
    <w:rsid w:val="00EE04C6"/>
    <w:rsid w:val="00EE0A2A"/>
    <w:rsid w:val="00EE1534"/>
    <w:rsid w:val="00EE1794"/>
    <w:rsid w:val="00EE17DB"/>
    <w:rsid w:val="00EE1D4E"/>
    <w:rsid w:val="00EE20BC"/>
    <w:rsid w:val="00EE20EA"/>
    <w:rsid w:val="00EE2376"/>
    <w:rsid w:val="00EE2429"/>
    <w:rsid w:val="00EE3051"/>
    <w:rsid w:val="00EE3229"/>
    <w:rsid w:val="00EE34FE"/>
    <w:rsid w:val="00EE37BD"/>
    <w:rsid w:val="00EE3BB1"/>
    <w:rsid w:val="00EE3F6F"/>
    <w:rsid w:val="00EE444F"/>
    <w:rsid w:val="00EE47AE"/>
    <w:rsid w:val="00EE482F"/>
    <w:rsid w:val="00EE5902"/>
    <w:rsid w:val="00EE5958"/>
    <w:rsid w:val="00EE6171"/>
    <w:rsid w:val="00EE6391"/>
    <w:rsid w:val="00EE6806"/>
    <w:rsid w:val="00EE68AA"/>
    <w:rsid w:val="00EE6ACE"/>
    <w:rsid w:val="00EE6CB3"/>
    <w:rsid w:val="00EE6E0A"/>
    <w:rsid w:val="00EE6F6D"/>
    <w:rsid w:val="00EE6FDE"/>
    <w:rsid w:val="00EE766B"/>
    <w:rsid w:val="00EE7815"/>
    <w:rsid w:val="00EE7886"/>
    <w:rsid w:val="00EF0299"/>
    <w:rsid w:val="00EF0407"/>
    <w:rsid w:val="00EF0571"/>
    <w:rsid w:val="00EF0A37"/>
    <w:rsid w:val="00EF0E54"/>
    <w:rsid w:val="00EF1708"/>
    <w:rsid w:val="00EF2201"/>
    <w:rsid w:val="00EF26C5"/>
    <w:rsid w:val="00EF2786"/>
    <w:rsid w:val="00EF29D4"/>
    <w:rsid w:val="00EF31BC"/>
    <w:rsid w:val="00EF39B5"/>
    <w:rsid w:val="00EF3A4D"/>
    <w:rsid w:val="00EF3DEB"/>
    <w:rsid w:val="00EF3FC5"/>
    <w:rsid w:val="00EF3FC8"/>
    <w:rsid w:val="00EF4378"/>
    <w:rsid w:val="00EF5244"/>
    <w:rsid w:val="00EF530F"/>
    <w:rsid w:val="00EF550D"/>
    <w:rsid w:val="00EF5602"/>
    <w:rsid w:val="00EF6309"/>
    <w:rsid w:val="00EF6453"/>
    <w:rsid w:val="00EF6AB6"/>
    <w:rsid w:val="00EF6E0F"/>
    <w:rsid w:val="00EF6FDC"/>
    <w:rsid w:val="00EF795A"/>
    <w:rsid w:val="00EF7B80"/>
    <w:rsid w:val="00EF7D48"/>
    <w:rsid w:val="00EF7E5D"/>
    <w:rsid w:val="00F0015A"/>
    <w:rsid w:val="00F00416"/>
    <w:rsid w:val="00F005F7"/>
    <w:rsid w:val="00F00ECB"/>
    <w:rsid w:val="00F00F32"/>
    <w:rsid w:val="00F011A6"/>
    <w:rsid w:val="00F015EB"/>
    <w:rsid w:val="00F01736"/>
    <w:rsid w:val="00F01CB7"/>
    <w:rsid w:val="00F02052"/>
    <w:rsid w:val="00F020B3"/>
    <w:rsid w:val="00F02E2D"/>
    <w:rsid w:val="00F02EFE"/>
    <w:rsid w:val="00F02F3C"/>
    <w:rsid w:val="00F03210"/>
    <w:rsid w:val="00F0331F"/>
    <w:rsid w:val="00F03415"/>
    <w:rsid w:val="00F036CD"/>
    <w:rsid w:val="00F0407B"/>
    <w:rsid w:val="00F05A65"/>
    <w:rsid w:val="00F05EC4"/>
    <w:rsid w:val="00F061C0"/>
    <w:rsid w:val="00F0628A"/>
    <w:rsid w:val="00F062BB"/>
    <w:rsid w:val="00F065FB"/>
    <w:rsid w:val="00F06977"/>
    <w:rsid w:val="00F072DD"/>
    <w:rsid w:val="00F0743D"/>
    <w:rsid w:val="00F0791F"/>
    <w:rsid w:val="00F079E6"/>
    <w:rsid w:val="00F07B35"/>
    <w:rsid w:val="00F07C6E"/>
    <w:rsid w:val="00F07D80"/>
    <w:rsid w:val="00F1051F"/>
    <w:rsid w:val="00F1058A"/>
    <w:rsid w:val="00F107FF"/>
    <w:rsid w:val="00F108A8"/>
    <w:rsid w:val="00F108E5"/>
    <w:rsid w:val="00F10ADF"/>
    <w:rsid w:val="00F10F62"/>
    <w:rsid w:val="00F11702"/>
    <w:rsid w:val="00F11731"/>
    <w:rsid w:val="00F118B4"/>
    <w:rsid w:val="00F118C3"/>
    <w:rsid w:val="00F11ED8"/>
    <w:rsid w:val="00F1208E"/>
    <w:rsid w:val="00F12445"/>
    <w:rsid w:val="00F12756"/>
    <w:rsid w:val="00F1284A"/>
    <w:rsid w:val="00F12B4E"/>
    <w:rsid w:val="00F12B79"/>
    <w:rsid w:val="00F12C8B"/>
    <w:rsid w:val="00F12F97"/>
    <w:rsid w:val="00F131F9"/>
    <w:rsid w:val="00F1346F"/>
    <w:rsid w:val="00F13522"/>
    <w:rsid w:val="00F13924"/>
    <w:rsid w:val="00F13C42"/>
    <w:rsid w:val="00F13FF8"/>
    <w:rsid w:val="00F14F7B"/>
    <w:rsid w:val="00F15960"/>
    <w:rsid w:val="00F15FBB"/>
    <w:rsid w:val="00F16816"/>
    <w:rsid w:val="00F16CBA"/>
    <w:rsid w:val="00F172E2"/>
    <w:rsid w:val="00F17628"/>
    <w:rsid w:val="00F17BC0"/>
    <w:rsid w:val="00F20108"/>
    <w:rsid w:val="00F20BE8"/>
    <w:rsid w:val="00F2114D"/>
    <w:rsid w:val="00F21600"/>
    <w:rsid w:val="00F219F2"/>
    <w:rsid w:val="00F21BB2"/>
    <w:rsid w:val="00F22332"/>
    <w:rsid w:val="00F2236A"/>
    <w:rsid w:val="00F22386"/>
    <w:rsid w:val="00F225E7"/>
    <w:rsid w:val="00F2260A"/>
    <w:rsid w:val="00F229C4"/>
    <w:rsid w:val="00F22A35"/>
    <w:rsid w:val="00F22BF0"/>
    <w:rsid w:val="00F23AE0"/>
    <w:rsid w:val="00F243A8"/>
    <w:rsid w:val="00F2467F"/>
    <w:rsid w:val="00F24ECC"/>
    <w:rsid w:val="00F25084"/>
    <w:rsid w:val="00F25112"/>
    <w:rsid w:val="00F25384"/>
    <w:rsid w:val="00F26067"/>
    <w:rsid w:val="00F2677C"/>
    <w:rsid w:val="00F269E5"/>
    <w:rsid w:val="00F277F6"/>
    <w:rsid w:val="00F2784D"/>
    <w:rsid w:val="00F27C2B"/>
    <w:rsid w:val="00F3065D"/>
    <w:rsid w:val="00F30782"/>
    <w:rsid w:val="00F30941"/>
    <w:rsid w:val="00F30B13"/>
    <w:rsid w:val="00F314AF"/>
    <w:rsid w:val="00F317BA"/>
    <w:rsid w:val="00F31C36"/>
    <w:rsid w:val="00F31E67"/>
    <w:rsid w:val="00F31E6F"/>
    <w:rsid w:val="00F320D8"/>
    <w:rsid w:val="00F327B8"/>
    <w:rsid w:val="00F32998"/>
    <w:rsid w:val="00F3321A"/>
    <w:rsid w:val="00F333FF"/>
    <w:rsid w:val="00F339B7"/>
    <w:rsid w:val="00F34202"/>
    <w:rsid w:val="00F34616"/>
    <w:rsid w:val="00F348C5"/>
    <w:rsid w:val="00F34E4F"/>
    <w:rsid w:val="00F355DE"/>
    <w:rsid w:val="00F35679"/>
    <w:rsid w:val="00F35BB9"/>
    <w:rsid w:val="00F3690F"/>
    <w:rsid w:val="00F36B68"/>
    <w:rsid w:val="00F36D98"/>
    <w:rsid w:val="00F3717F"/>
    <w:rsid w:val="00F37D00"/>
    <w:rsid w:val="00F4020D"/>
    <w:rsid w:val="00F40686"/>
    <w:rsid w:val="00F407E1"/>
    <w:rsid w:val="00F4099D"/>
    <w:rsid w:val="00F40A96"/>
    <w:rsid w:val="00F40CDF"/>
    <w:rsid w:val="00F40D7C"/>
    <w:rsid w:val="00F41169"/>
    <w:rsid w:val="00F41392"/>
    <w:rsid w:val="00F413E6"/>
    <w:rsid w:val="00F41F27"/>
    <w:rsid w:val="00F42318"/>
    <w:rsid w:val="00F42429"/>
    <w:rsid w:val="00F4282E"/>
    <w:rsid w:val="00F428A5"/>
    <w:rsid w:val="00F4360F"/>
    <w:rsid w:val="00F43730"/>
    <w:rsid w:val="00F43956"/>
    <w:rsid w:val="00F43BEF"/>
    <w:rsid w:val="00F43E30"/>
    <w:rsid w:val="00F43F39"/>
    <w:rsid w:val="00F44052"/>
    <w:rsid w:val="00F44C20"/>
    <w:rsid w:val="00F45115"/>
    <w:rsid w:val="00F4511C"/>
    <w:rsid w:val="00F451C2"/>
    <w:rsid w:val="00F453B6"/>
    <w:rsid w:val="00F4546C"/>
    <w:rsid w:val="00F45DAA"/>
    <w:rsid w:val="00F4668F"/>
    <w:rsid w:val="00F466AE"/>
    <w:rsid w:val="00F468BC"/>
    <w:rsid w:val="00F46A76"/>
    <w:rsid w:val="00F46CD6"/>
    <w:rsid w:val="00F503E9"/>
    <w:rsid w:val="00F50719"/>
    <w:rsid w:val="00F508FF"/>
    <w:rsid w:val="00F5098B"/>
    <w:rsid w:val="00F50A8B"/>
    <w:rsid w:val="00F50C9D"/>
    <w:rsid w:val="00F51D45"/>
    <w:rsid w:val="00F51F2A"/>
    <w:rsid w:val="00F520BA"/>
    <w:rsid w:val="00F52223"/>
    <w:rsid w:val="00F52910"/>
    <w:rsid w:val="00F52936"/>
    <w:rsid w:val="00F529DA"/>
    <w:rsid w:val="00F52E30"/>
    <w:rsid w:val="00F52F71"/>
    <w:rsid w:val="00F5340C"/>
    <w:rsid w:val="00F53B87"/>
    <w:rsid w:val="00F54208"/>
    <w:rsid w:val="00F54326"/>
    <w:rsid w:val="00F54854"/>
    <w:rsid w:val="00F54891"/>
    <w:rsid w:val="00F54DF2"/>
    <w:rsid w:val="00F54E59"/>
    <w:rsid w:val="00F54FE2"/>
    <w:rsid w:val="00F554AF"/>
    <w:rsid w:val="00F5551F"/>
    <w:rsid w:val="00F55784"/>
    <w:rsid w:val="00F557E7"/>
    <w:rsid w:val="00F559C2"/>
    <w:rsid w:val="00F56016"/>
    <w:rsid w:val="00F56749"/>
    <w:rsid w:val="00F56F1B"/>
    <w:rsid w:val="00F57A6B"/>
    <w:rsid w:val="00F57B2C"/>
    <w:rsid w:val="00F6065B"/>
    <w:rsid w:val="00F6070A"/>
    <w:rsid w:val="00F6078F"/>
    <w:rsid w:val="00F60C4A"/>
    <w:rsid w:val="00F61374"/>
    <w:rsid w:val="00F61757"/>
    <w:rsid w:val="00F61B5C"/>
    <w:rsid w:val="00F61DE2"/>
    <w:rsid w:val="00F62772"/>
    <w:rsid w:val="00F62806"/>
    <w:rsid w:val="00F62ADE"/>
    <w:rsid w:val="00F62B19"/>
    <w:rsid w:val="00F62D8F"/>
    <w:rsid w:val="00F637E3"/>
    <w:rsid w:val="00F63E27"/>
    <w:rsid w:val="00F64940"/>
    <w:rsid w:val="00F64CDE"/>
    <w:rsid w:val="00F64DCF"/>
    <w:rsid w:val="00F64E97"/>
    <w:rsid w:val="00F64F93"/>
    <w:rsid w:val="00F653D6"/>
    <w:rsid w:val="00F65631"/>
    <w:rsid w:val="00F658E1"/>
    <w:rsid w:val="00F66801"/>
    <w:rsid w:val="00F6681A"/>
    <w:rsid w:val="00F66D15"/>
    <w:rsid w:val="00F6707F"/>
    <w:rsid w:val="00F67273"/>
    <w:rsid w:val="00F676A1"/>
    <w:rsid w:val="00F67A59"/>
    <w:rsid w:val="00F70234"/>
    <w:rsid w:val="00F704C5"/>
    <w:rsid w:val="00F70520"/>
    <w:rsid w:val="00F70A7C"/>
    <w:rsid w:val="00F70C7A"/>
    <w:rsid w:val="00F7109F"/>
    <w:rsid w:val="00F712FA"/>
    <w:rsid w:val="00F71930"/>
    <w:rsid w:val="00F71931"/>
    <w:rsid w:val="00F71CC1"/>
    <w:rsid w:val="00F71E66"/>
    <w:rsid w:val="00F72391"/>
    <w:rsid w:val="00F72F9D"/>
    <w:rsid w:val="00F7349E"/>
    <w:rsid w:val="00F734D1"/>
    <w:rsid w:val="00F73814"/>
    <w:rsid w:val="00F7390E"/>
    <w:rsid w:val="00F740F0"/>
    <w:rsid w:val="00F742E6"/>
    <w:rsid w:val="00F74475"/>
    <w:rsid w:val="00F744CF"/>
    <w:rsid w:val="00F74714"/>
    <w:rsid w:val="00F74726"/>
    <w:rsid w:val="00F7475A"/>
    <w:rsid w:val="00F74C02"/>
    <w:rsid w:val="00F75EF0"/>
    <w:rsid w:val="00F761B8"/>
    <w:rsid w:val="00F763B4"/>
    <w:rsid w:val="00F7645E"/>
    <w:rsid w:val="00F766A7"/>
    <w:rsid w:val="00F76C99"/>
    <w:rsid w:val="00F76CFB"/>
    <w:rsid w:val="00F7716B"/>
    <w:rsid w:val="00F778CE"/>
    <w:rsid w:val="00F77B86"/>
    <w:rsid w:val="00F80D61"/>
    <w:rsid w:val="00F80E8D"/>
    <w:rsid w:val="00F8139F"/>
    <w:rsid w:val="00F819DF"/>
    <w:rsid w:val="00F81AD8"/>
    <w:rsid w:val="00F81D55"/>
    <w:rsid w:val="00F81E7E"/>
    <w:rsid w:val="00F82468"/>
    <w:rsid w:val="00F82478"/>
    <w:rsid w:val="00F82514"/>
    <w:rsid w:val="00F82742"/>
    <w:rsid w:val="00F82A3F"/>
    <w:rsid w:val="00F82BCA"/>
    <w:rsid w:val="00F82DF6"/>
    <w:rsid w:val="00F831C8"/>
    <w:rsid w:val="00F83336"/>
    <w:rsid w:val="00F834DD"/>
    <w:rsid w:val="00F83B15"/>
    <w:rsid w:val="00F83BA9"/>
    <w:rsid w:val="00F83EF4"/>
    <w:rsid w:val="00F84071"/>
    <w:rsid w:val="00F84115"/>
    <w:rsid w:val="00F84437"/>
    <w:rsid w:val="00F84668"/>
    <w:rsid w:val="00F84924"/>
    <w:rsid w:val="00F84BAC"/>
    <w:rsid w:val="00F84EE4"/>
    <w:rsid w:val="00F84F60"/>
    <w:rsid w:val="00F8512E"/>
    <w:rsid w:val="00F85720"/>
    <w:rsid w:val="00F858C6"/>
    <w:rsid w:val="00F85B50"/>
    <w:rsid w:val="00F85DD9"/>
    <w:rsid w:val="00F8616A"/>
    <w:rsid w:val="00F86D55"/>
    <w:rsid w:val="00F874A8"/>
    <w:rsid w:val="00F878A4"/>
    <w:rsid w:val="00F87B67"/>
    <w:rsid w:val="00F87C23"/>
    <w:rsid w:val="00F87F17"/>
    <w:rsid w:val="00F87F76"/>
    <w:rsid w:val="00F9079A"/>
    <w:rsid w:val="00F90D52"/>
    <w:rsid w:val="00F90E17"/>
    <w:rsid w:val="00F9110A"/>
    <w:rsid w:val="00F917DD"/>
    <w:rsid w:val="00F9195F"/>
    <w:rsid w:val="00F91B45"/>
    <w:rsid w:val="00F9263E"/>
    <w:rsid w:val="00F9466B"/>
    <w:rsid w:val="00F94CE9"/>
    <w:rsid w:val="00F94DC0"/>
    <w:rsid w:val="00F95304"/>
    <w:rsid w:val="00F95345"/>
    <w:rsid w:val="00F95466"/>
    <w:rsid w:val="00F957F6"/>
    <w:rsid w:val="00F959F6"/>
    <w:rsid w:val="00F9656E"/>
    <w:rsid w:val="00F96873"/>
    <w:rsid w:val="00F96E6D"/>
    <w:rsid w:val="00F96F77"/>
    <w:rsid w:val="00F97101"/>
    <w:rsid w:val="00F977A6"/>
    <w:rsid w:val="00F97EB9"/>
    <w:rsid w:val="00F97EBF"/>
    <w:rsid w:val="00FA01B9"/>
    <w:rsid w:val="00FA052B"/>
    <w:rsid w:val="00FA0703"/>
    <w:rsid w:val="00FA0842"/>
    <w:rsid w:val="00FA0A23"/>
    <w:rsid w:val="00FA0E51"/>
    <w:rsid w:val="00FA1123"/>
    <w:rsid w:val="00FA165D"/>
    <w:rsid w:val="00FA18A9"/>
    <w:rsid w:val="00FA18C8"/>
    <w:rsid w:val="00FA263E"/>
    <w:rsid w:val="00FA2731"/>
    <w:rsid w:val="00FA29A7"/>
    <w:rsid w:val="00FA2B17"/>
    <w:rsid w:val="00FA2CB5"/>
    <w:rsid w:val="00FA2FBA"/>
    <w:rsid w:val="00FA36D7"/>
    <w:rsid w:val="00FA3DB6"/>
    <w:rsid w:val="00FA434E"/>
    <w:rsid w:val="00FA48E0"/>
    <w:rsid w:val="00FA4934"/>
    <w:rsid w:val="00FA4AFA"/>
    <w:rsid w:val="00FA4DE6"/>
    <w:rsid w:val="00FA4F3F"/>
    <w:rsid w:val="00FA50E1"/>
    <w:rsid w:val="00FA5949"/>
    <w:rsid w:val="00FA5A8D"/>
    <w:rsid w:val="00FA5F04"/>
    <w:rsid w:val="00FA5F40"/>
    <w:rsid w:val="00FA63D0"/>
    <w:rsid w:val="00FA6E2C"/>
    <w:rsid w:val="00FA760E"/>
    <w:rsid w:val="00FA79C1"/>
    <w:rsid w:val="00FA7CAB"/>
    <w:rsid w:val="00FB0ADB"/>
    <w:rsid w:val="00FB120D"/>
    <w:rsid w:val="00FB198E"/>
    <w:rsid w:val="00FB1D97"/>
    <w:rsid w:val="00FB1E1E"/>
    <w:rsid w:val="00FB2523"/>
    <w:rsid w:val="00FB34EB"/>
    <w:rsid w:val="00FB35E2"/>
    <w:rsid w:val="00FB3BD5"/>
    <w:rsid w:val="00FB3DF8"/>
    <w:rsid w:val="00FB3E8C"/>
    <w:rsid w:val="00FB3ED2"/>
    <w:rsid w:val="00FB4201"/>
    <w:rsid w:val="00FB4D7E"/>
    <w:rsid w:val="00FB4DC2"/>
    <w:rsid w:val="00FB4DFE"/>
    <w:rsid w:val="00FB51CE"/>
    <w:rsid w:val="00FB5262"/>
    <w:rsid w:val="00FB5CDC"/>
    <w:rsid w:val="00FB6436"/>
    <w:rsid w:val="00FB6722"/>
    <w:rsid w:val="00FB6A5A"/>
    <w:rsid w:val="00FB6AE6"/>
    <w:rsid w:val="00FB7225"/>
    <w:rsid w:val="00FB7D1F"/>
    <w:rsid w:val="00FB7EB2"/>
    <w:rsid w:val="00FC002F"/>
    <w:rsid w:val="00FC0064"/>
    <w:rsid w:val="00FC014E"/>
    <w:rsid w:val="00FC01FC"/>
    <w:rsid w:val="00FC04E2"/>
    <w:rsid w:val="00FC0A2A"/>
    <w:rsid w:val="00FC0B12"/>
    <w:rsid w:val="00FC11E0"/>
    <w:rsid w:val="00FC1989"/>
    <w:rsid w:val="00FC1ABE"/>
    <w:rsid w:val="00FC1F4F"/>
    <w:rsid w:val="00FC26C6"/>
    <w:rsid w:val="00FC28BA"/>
    <w:rsid w:val="00FC28F3"/>
    <w:rsid w:val="00FC2A95"/>
    <w:rsid w:val="00FC2B1B"/>
    <w:rsid w:val="00FC2DDB"/>
    <w:rsid w:val="00FC2FF9"/>
    <w:rsid w:val="00FC3126"/>
    <w:rsid w:val="00FC32A8"/>
    <w:rsid w:val="00FC369A"/>
    <w:rsid w:val="00FC3A52"/>
    <w:rsid w:val="00FC3BE7"/>
    <w:rsid w:val="00FC46C3"/>
    <w:rsid w:val="00FC4A3A"/>
    <w:rsid w:val="00FC4B87"/>
    <w:rsid w:val="00FC4CB5"/>
    <w:rsid w:val="00FC504F"/>
    <w:rsid w:val="00FC5367"/>
    <w:rsid w:val="00FC55E1"/>
    <w:rsid w:val="00FC5F42"/>
    <w:rsid w:val="00FC660C"/>
    <w:rsid w:val="00FC764B"/>
    <w:rsid w:val="00FC7904"/>
    <w:rsid w:val="00FC7924"/>
    <w:rsid w:val="00FC7BAA"/>
    <w:rsid w:val="00FD0225"/>
    <w:rsid w:val="00FD04C5"/>
    <w:rsid w:val="00FD07CF"/>
    <w:rsid w:val="00FD109B"/>
    <w:rsid w:val="00FD12C0"/>
    <w:rsid w:val="00FD1455"/>
    <w:rsid w:val="00FD14D5"/>
    <w:rsid w:val="00FD168F"/>
    <w:rsid w:val="00FD1806"/>
    <w:rsid w:val="00FD1ADA"/>
    <w:rsid w:val="00FD1ECA"/>
    <w:rsid w:val="00FD1FC1"/>
    <w:rsid w:val="00FD2181"/>
    <w:rsid w:val="00FD21CA"/>
    <w:rsid w:val="00FD2475"/>
    <w:rsid w:val="00FD321C"/>
    <w:rsid w:val="00FD4F9F"/>
    <w:rsid w:val="00FD517A"/>
    <w:rsid w:val="00FD5C5F"/>
    <w:rsid w:val="00FD6076"/>
    <w:rsid w:val="00FD61D4"/>
    <w:rsid w:val="00FD6422"/>
    <w:rsid w:val="00FD65C2"/>
    <w:rsid w:val="00FD664F"/>
    <w:rsid w:val="00FD6A44"/>
    <w:rsid w:val="00FD6CE0"/>
    <w:rsid w:val="00FD6D08"/>
    <w:rsid w:val="00FD73E7"/>
    <w:rsid w:val="00FD73FC"/>
    <w:rsid w:val="00FD74AC"/>
    <w:rsid w:val="00FD78A2"/>
    <w:rsid w:val="00FD790D"/>
    <w:rsid w:val="00FD7A4E"/>
    <w:rsid w:val="00FD7A7F"/>
    <w:rsid w:val="00FE075C"/>
    <w:rsid w:val="00FE153E"/>
    <w:rsid w:val="00FE1957"/>
    <w:rsid w:val="00FE19B4"/>
    <w:rsid w:val="00FE1A82"/>
    <w:rsid w:val="00FE1BC7"/>
    <w:rsid w:val="00FE22F7"/>
    <w:rsid w:val="00FE2C10"/>
    <w:rsid w:val="00FE308A"/>
    <w:rsid w:val="00FE32C4"/>
    <w:rsid w:val="00FE38BC"/>
    <w:rsid w:val="00FE3934"/>
    <w:rsid w:val="00FE4005"/>
    <w:rsid w:val="00FE42CA"/>
    <w:rsid w:val="00FE479E"/>
    <w:rsid w:val="00FE5A4F"/>
    <w:rsid w:val="00FE6439"/>
    <w:rsid w:val="00FE7059"/>
    <w:rsid w:val="00FE75ED"/>
    <w:rsid w:val="00FE788A"/>
    <w:rsid w:val="00FE7D00"/>
    <w:rsid w:val="00FE7DED"/>
    <w:rsid w:val="00FE7F50"/>
    <w:rsid w:val="00FF0396"/>
    <w:rsid w:val="00FF0573"/>
    <w:rsid w:val="00FF0B2C"/>
    <w:rsid w:val="00FF0E86"/>
    <w:rsid w:val="00FF0EA1"/>
    <w:rsid w:val="00FF135D"/>
    <w:rsid w:val="00FF1A16"/>
    <w:rsid w:val="00FF1A28"/>
    <w:rsid w:val="00FF214C"/>
    <w:rsid w:val="00FF2368"/>
    <w:rsid w:val="00FF243E"/>
    <w:rsid w:val="00FF2783"/>
    <w:rsid w:val="00FF2993"/>
    <w:rsid w:val="00FF2B69"/>
    <w:rsid w:val="00FF2D39"/>
    <w:rsid w:val="00FF3210"/>
    <w:rsid w:val="00FF342A"/>
    <w:rsid w:val="00FF38F6"/>
    <w:rsid w:val="00FF3C7B"/>
    <w:rsid w:val="00FF3E40"/>
    <w:rsid w:val="00FF40C6"/>
    <w:rsid w:val="00FF480B"/>
    <w:rsid w:val="00FF4F2C"/>
    <w:rsid w:val="00FF5B4B"/>
    <w:rsid w:val="00FF6551"/>
    <w:rsid w:val="00FF68D7"/>
    <w:rsid w:val="00FF69C9"/>
    <w:rsid w:val="00FF6FA9"/>
    <w:rsid w:val="00FF78E2"/>
    <w:rsid w:val="00FF7C3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245"/>
    <w:pPr>
      <w:jc w:val="center"/>
    </w:pPr>
    <w:rPr>
      <w:color w:val="000000"/>
      <w:sz w:val="16"/>
    </w:rPr>
  </w:style>
  <w:style w:type="paragraph" w:styleId="Heading1">
    <w:name w:val="heading 1"/>
    <w:basedOn w:val="Normal"/>
    <w:next w:val="Normal"/>
    <w:qFormat/>
    <w:rsid w:val="00CD1245"/>
    <w:pPr>
      <w:keepNext/>
      <w:outlineLvl w:val="0"/>
    </w:pPr>
    <w:rPr>
      <w:b/>
    </w:rPr>
  </w:style>
  <w:style w:type="paragraph" w:styleId="Heading2">
    <w:name w:val="heading 2"/>
    <w:basedOn w:val="Normal"/>
    <w:next w:val="Normal"/>
    <w:link w:val="Heading2Char"/>
    <w:qFormat/>
    <w:rsid w:val="00CD1245"/>
    <w:pPr>
      <w:keepNext/>
      <w:jc w:val="right"/>
      <w:outlineLvl w:val="1"/>
    </w:pPr>
    <w:rPr>
      <w:b/>
    </w:rPr>
  </w:style>
  <w:style w:type="paragraph" w:styleId="Heading3">
    <w:name w:val="heading 3"/>
    <w:basedOn w:val="Normal"/>
    <w:next w:val="Normal"/>
    <w:link w:val="Heading3Char"/>
    <w:uiPriority w:val="9"/>
    <w:qFormat/>
    <w:rsid w:val="00CD1245"/>
    <w:pPr>
      <w:keepNext/>
      <w:outlineLvl w:val="2"/>
    </w:pPr>
    <w:rPr>
      <w:b/>
      <w:color w:val="auto"/>
    </w:rPr>
  </w:style>
  <w:style w:type="paragraph" w:styleId="Heading4">
    <w:name w:val="heading 4"/>
    <w:basedOn w:val="Normal"/>
    <w:next w:val="Normal"/>
    <w:qFormat/>
    <w:rsid w:val="00CD1245"/>
    <w:pPr>
      <w:keepNext/>
      <w:jc w:val="right"/>
      <w:outlineLvl w:val="3"/>
    </w:pPr>
    <w:rPr>
      <w:b/>
      <w:bCs/>
    </w:rPr>
  </w:style>
  <w:style w:type="paragraph" w:styleId="Heading5">
    <w:name w:val="heading 5"/>
    <w:basedOn w:val="Normal"/>
    <w:next w:val="Normal"/>
    <w:qFormat/>
    <w:rsid w:val="00CD1245"/>
    <w:pPr>
      <w:keepNext/>
      <w:jc w:val="right"/>
      <w:outlineLvl w:val="4"/>
    </w:pPr>
    <w:rPr>
      <w:b/>
      <w:bCs/>
      <w:sz w:val="14"/>
    </w:rPr>
  </w:style>
  <w:style w:type="paragraph" w:styleId="Heading6">
    <w:name w:val="heading 6"/>
    <w:basedOn w:val="Normal"/>
    <w:next w:val="Normal"/>
    <w:qFormat/>
    <w:rsid w:val="00CD1245"/>
    <w:pPr>
      <w:keepNext/>
      <w:jc w:val="left"/>
      <w:outlineLvl w:val="5"/>
    </w:pPr>
    <w:rPr>
      <w:b/>
      <w:sz w:val="28"/>
    </w:rPr>
  </w:style>
  <w:style w:type="paragraph" w:styleId="Heading7">
    <w:name w:val="heading 7"/>
    <w:basedOn w:val="Normal"/>
    <w:next w:val="Normal"/>
    <w:qFormat/>
    <w:rsid w:val="00CD1245"/>
    <w:pPr>
      <w:keepNext/>
      <w:jc w:val="left"/>
      <w:outlineLvl w:val="6"/>
    </w:pPr>
    <w:rPr>
      <w:sz w:val="24"/>
    </w:rPr>
  </w:style>
  <w:style w:type="paragraph" w:styleId="Heading8">
    <w:name w:val="heading 8"/>
    <w:basedOn w:val="Normal"/>
    <w:next w:val="Normal"/>
    <w:qFormat/>
    <w:rsid w:val="00CD1245"/>
    <w:pPr>
      <w:keepNext/>
      <w:jc w:val="left"/>
      <w:outlineLvl w:val="7"/>
    </w:pPr>
  </w:style>
  <w:style w:type="paragraph" w:styleId="Heading9">
    <w:name w:val="heading 9"/>
    <w:basedOn w:val="Normal"/>
    <w:next w:val="Normal"/>
    <w:qFormat/>
    <w:rsid w:val="00CD1245"/>
    <w:pPr>
      <w:keepNext/>
      <w:outlineLvl w:val="8"/>
    </w:pPr>
    <w:rPr>
      <w:b/>
      <w:sz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3596A"/>
    <w:rPr>
      <w:b/>
      <w:color w:val="000000"/>
      <w:sz w:val="16"/>
    </w:rPr>
  </w:style>
  <w:style w:type="character" w:customStyle="1" w:styleId="Heading3Char">
    <w:name w:val="Heading 3 Char"/>
    <w:basedOn w:val="DefaultParagraphFont"/>
    <w:link w:val="Heading3"/>
    <w:uiPriority w:val="9"/>
    <w:rsid w:val="00AC694C"/>
    <w:rPr>
      <w:b/>
      <w:sz w:val="16"/>
    </w:rPr>
  </w:style>
  <w:style w:type="paragraph" w:styleId="Footer">
    <w:name w:val="footer"/>
    <w:basedOn w:val="Normal"/>
    <w:link w:val="FooterChar"/>
    <w:uiPriority w:val="99"/>
    <w:rsid w:val="00CD1245"/>
    <w:pPr>
      <w:tabs>
        <w:tab w:val="center" w:pos="4320"/>
        <w:tab w:val="right" w:pos="8640"/>
      </w:tabs>
    </w:pPr>
  </w:style>
  <w:style w:type="character" w:customStyle="1" w:styleId="FooterChar">
    <w:name w:val="Footer Char"/>
    <w:basedOn w:val="DefaultParagraphFont"/>
    <w:link w:val="Footer"/>
    <w:uiPriority w:val="99"/>
    <w:rsid w:val="008961D3"/>
    <w:rPr>
      <w:color w:val="000000"/>
      <w:sz w:val="16"/>
    </w:rPr>
  </w:style>
  <w:style w:type="character" w:styleId="PageNumber">
    <w:name w:val="page number"/>
    <w:basedOn w:val="DefaultParagraphFont"/>
    <w:semiHidden/>
    <w:rsid w:val="00CD1245"/>
  </w:style>
  <w:style w:type="paragraph" w:styleId="Header">
    <w:name w:val="header"/>
    <w:basedOn w:val="Normal"/>
    <w:semiHidden/>
    <w:rsid w:val="00CD1245"/>
    <w:pPr>
      <w:tabs>
        <w:tab w:val="center" w:pos="4320"/>
        <w:tab w:val="right" w:pos="8640"/>
      </w:tabs>
    </w:pPr>
  </w:style>
  <w:style w:type="paragraph" w:customStyle="1" w:styleId="xl24">
    <w:name w:val="xl24"/>
    <w:basedOn w:val="Normal"/>
    <w:rsid w:val="00CD1245"/>
    <w:pPr>
      <w:pBdr>
        <w:left w:val="single" w:sz="4" w:space="0" w:color="auto"/>
        <w:right w:val="single" w:sz="4" w:space="0" w:color="auto"/>
      </w:pBdr>
      <w:spacing w:before="100" w:beforeAutospacing="1" w:after="100" w:afterAutospacing="1"/>
    </w:pPr>
    <w:rPr>
      <w:rFonts w:eastAsia="Arial Unicode MS"/>
      <w:color w:val="auto"/>
      <w:szCs w:val="16"/>
    </w:rPr>
  </w:style>
  <w:style w:type="paragraph" w:customStyle="1" w:styleId="xl25">
    <w:name w:val="xl25"/>
    <w:basedOn w:val="Normal"/>
    <w:rsid w:val="00CD1245"/>
    <w:pPr>
      <w:spacing w:before="100" w:beforeAutospacing="1" w:after="100" w:afterAutospacing="1"/>
    </w:pPr>
    <w:rPr>
      <w:rFonts w:ascii="Arial Unicode MS" w:eastAsia="Arial Unicode MS" w:hAnsi="Arial Unicode MS" w:cs="Arial Unicode MS"/>
      <w:color w:val="auto"/>
      <w:szCs w:val="16"/>
    </w:rPr>
  </w:style>
  <w:style w:type="paragraph" w:customStyle="1" w:styleId="xl26">
    <w:name w:val="xl26"/>
    <w:basedOn w:val="Normal"/>
    <w:rsid w:val="00CD1245"/>
    <w:pPr>
      <w:spacing w:before="100" w:beforeAutospacing="1" w:after="100" w:afterAutospacing="1"/>
      <w:jc w:val="left"/>
    </w:pPr>
    <w:rPr>
      <w:rFonts w:ascii="Arial Unicode MS" w:eastAsia="Arial Unicode MS" w:hAnsi="Arial Unicode MS" w:cs="Arial Unicode MS"/>
      <w:color w:val="auto"/>
      <w:szCs w:val="16"/>
    </w:rPr>
  </w:style>
  <w:style w:type="paragraph" w:customStyle="1" w:styleId="xl27">
    <w:name w:val="xl27"/>
    <w:basedOn w:val="Normal"/>
    <w:rsid w:val="00CD1245"/>
    <w:pPr>
      <w:pBdr>
        <w:right w:val="single" w:sz="4" w:space="0" w:color="auto"/>
      </w:pBdr>
      <w:spacing w:before="100" w:beforeAutospacing="1" w:after="100" w:afterAutospacing="1"/>
    </w:pPr>
    <w:rPr>
      <w:rFonts w:ascii="Arial Unicode MS" w:eastAsia="Arial Unicode MS" w:hAnsi="Arial Unicode MS" w:cs="Arial Unicode MS"/>
      <w:color w:val="auto"/>
      <w:szCs w:val="16"/>
    </w:rPr>
  </w:style>
  <w:style w:type="paragraph" w:customStyle="1" w:styleId="xl28">
    <w:name w:val="xl28"/>
    <w:basedOn w:val="Normal"/>
    <w:rsid w:val="00CD1245"/>
    <w:pPr>
      <w:spacing w:before="100" w:beforeAutospacing="1" w:after="100" w:afterAutospacing="1"/>
    </w:pPr>
    <w:rPr>
      <w:rFonts w:ascii="Arial" w:eastAsia="Arial Unicode MS" w:hAnsi="Arial" w:cs="Arial"/>
      <w:color w:val="auto"/>
      <w:szCs w:val="16"/>
    </w:rPr>
  </w:style>
  <w:style w:type="paragraph" w:customStyle="1" w:styleId="xl29">
    <w:name w:val="xl29"/>
    <w:basedOn w:val="Normal"/>
    <w:rsid w:val="00CD1245"/>
    <w:pPr>
      <w:spacing w:before="100" w:beforeAutospacing="1" w:after="100" w:afterAutospacing="1"/>
      <w:jc w:val="left"/>
    </w:pPr>
    <w:rPr>
      <w:rFonts w:ascii="Arial" w:eastAsia="Arial Unicode MS" w:hAnsi="Arial" w:cs="Arial"/>
      <w:color w:val="auto"/>
      <w:szCs w:val="16"/>
    </w:rPr>
  </w:style>
  <w:style w:type="paragraph" w:customStyle="1" w:styleId="xl30">
    <w:name w:val="xl30"/>
    <w:basedOn w:val="Normal"/>
    <w:rsid w:val="00CD1245"/>
    <w:pPr>
      <w:pBdr>
        <w:right w:val="single" w:sz="4" w:space="0" w:color="auto"/>
      </w:pBdr>
      <w:spacing w:before="100" w:beforeAutospacing="1" w:after="100" w:afterAutospacing="1"/>
    </w:pPr>
    <w:rPr>
      <w:rFonts w:ascii="Arial" w:eastAsia="Arial Unicode MS" w:hAnsi="Arial" w:cs="Arial"/>
      <w:color w:val="auto"/>
      <w:szCs w:val="16"/>
    </w:rPr>
  </w:style>
  <w:style w:type="character" w:styleId="Hyperlink">
    <w:name w:val="Hyperlink"/>
    <w:basedOn w:val="DefaultParagraphFont"/>
    <w:uiPriority w:val="99"/>
    <w:semiHidden/>
    <w:rsid w:val="00CD1245"/>
    <w:rPr>
      <w:color w:val="0000FF"/>
      <w:u w:val="single"/>
    </w:rPr>
  </w:style>
  <w:style w:type="paragraph" w:customStyle="1" w:styleId="xl35">
    <w:name w:val="xl35"/>
    <w:basedOn w:val="Normal"/>
    <w:rsid w:val="00CD1245"/>
    <w:pPr>
      <w:spacing w:before="100" w:beforeAutospacing="1" w:after="100" w:afterAutospacing="1"/>
      <w:jc w:val="left"/>
    </w:pPr>
    <w:rPr>
      <w:rFonts w:eastAsia="Arial Unicode MS"/>
      <w:color w:val="auto"/>
      <w:sz w:val="24"/>
      <w:szCs w:val="24"/>
    </w:rPr>
  </w:style>
  <w:style w:type="paragraph" w:customStyle="1" w:styleId="xl32">
    <w:name w:val="xl32"/>
    <w:basedOn w:val="Normal"/>
    <w:rsid w:val="00CD1245"/>
    <w:pPr>
      <w:spacing w:before="100" w:beforeAutospacing="1" w:after="100" w:afterAutospacing="1"/>
      <w:jc w:val="right"/>
    </w:pPr>
    <w:rPr>
      <w:rFonts w:eastAsia="Arial Unicode MS"/>
      <w:color w:val="auto"/>
      <w:szCs w:val="16"/>
    </w:rPr>
  </w:style>
  <w:style w:type="character" w:styleId="FollowedHyperlink">
    <w:name w:val="FollowedHyperlink"/>
    <w:basedOn w:val="DefaultParagraphFont"/>
    <w:uiPriority w:val="99"/>
    <w:semiHidden/>
    <w:rsid w:val="00CD1245"/>
    <w:rPr>
      <w:color w:val="800080"/>
      <w:u w:val="single"/>
    </w:rPr>
  </w:style>
  <w:style w:type="paragraph" w:customStyle="1" w:styleId="font5">
    <w:name w:val="font5"/>
    <w:basedOn w:val="Normal"/>
    <w:rsid w:val="00CD1245"/>
    <w:pPr>
      <w:spacing w:before="100" w:beforeAutospacing="1" w:after="100" w:afterAutospacing="1"/>
      <w:jc w:val="left"/>
    </w:pPr>
    <w:rPr>
      <w:rFonts w:eastAsia="Arial Unicode MS"/>
      <w:color w:val="auto"/>
      <w:szCs w:val="16"/>
    </w:rPr>
  </w:style>
  <w:style w:type="paragraph" w:customStyle="1" w:styleId="font6">
    <w:name w:val="font6"/>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font7">
    <w:name w:val="font7"/>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31">
    <w:name w:val="xl31"/>
    <w:basedOn w:val="Normal"/>
    <w:rsid w:val="00CD1245"/>
    <w:pPr>
      <w:pBdr>
        <w:bottom w:val="single" w:sz="4" w:space="0" w:color="auto"/>
      </w:pBdr>
      <w:spacing w:before="100" w:beforeAutospacing="1" w:after="100" w:afterAutospacing="1"/>
      <w:jc w:val="right"/>
    </w:pPr>
    <w:rPr>
      <w:rFonts w:ascii="Arial Unicode MS" w:eastAsia="Arial Unicode MS" w:hAnsi="Arial Unicode MS" w:cs="Arial Unicode MS"/>
      <w:color w:val="auto"/>
      <w:szCs w:val="16"/>
    </w:rPr>
  </w:style>
  <w:style w:type="paragraph" w:customStyle="1" w:styleId="xl33">
    <w:name w:val="xl33"/>
    <w:basedOn w:val="Normal"/>
    <w:rsid w:val="00CD1245"/>
    <w:pPr>
      <w:spacing w:before="100" w:beforeAutospacing="1" w:after="100" w:afterAutospacing="1"/>
      <w:jc w:val="right"/>
    </w:pPr>
    <w:rPr>
      <w:rFonts w:eastAsia="Arial Unicode MS"/>
      <w:color w:val="auto"/>
      <w:szCs w:val="16"/>
    </w:rPr>
  </w:style>
  <w:style w:type="paragraph" w:customStyle="1" w:styleId="xl34">
    <w:name w:val="xl34"/>
    <w:basedOn w:val="Normal"/>
    <w:rsid w:val="00CD1245"/>
    <w:pPr>
      <w:spacing w:before="100" w:beforeAutospacing="1" w:after="100" w:afterAutospacing="1"/>
      <w:jc w:val="left"/>
    </w:pPr>
    <w:rPr>
      <w:rFonts w:eastAsia="Arial Unicode MS"/>
      <w:b/>
      <w:bCs/>
      <w:color w:val="auto"/>
      <w:szCs w:val="16"/>
      <w:u w:val="single"/>
    </w:rPr>
  </w:style>
  <w:style w:type="paragraph" w:customStyle="1" w:styleId="xl36">
    <w:name w:val="xl36"/>
    <w:basedOn w:val="Normal"/>
    <w:rsid w:val="00CD1245"/>
    <w:pPr>
      <w:spacing w:before="100" w:beforeAutospacing="1" w:after="100" w:afterAutospacing="1"/>
      <w:jc w:val="left"/>
    </w:pPr>
    <w:rPr>
      <w:rFonts w:eastAsia="Arial Unicode MS"/>
      <w:color w:val="auto"/>
      <w:szCs w:val="16"/>
    </w:rPr>
  </w:style>
  <w:style w:type="paragraph" w:customStyle="1" w:styleId="xl37">
    <w:name w:val="xl37"/>
    <w:basedOn w:val="Normal"/>
    <w:rsid w:val="00CD1245"/>
    <w:pPr>
      <w:spacing w:before="100" w:beforeAutospacing="1" w:after="100" w:afterAutospacing="1"/>
      <w:jc w:val="left"/>
    </w:pPr>
    <w:rPr>
      <w:rFonts w:eastAsia="Arial Unicode MS"/>
      <w:color w:val="auto"/>
      <w:szCs w:val="16"/>
    </w:rPr>
  </w:style>
  <w:style w:type="paragraph" w:customStyle="1" w:styleId="xl38">
    <w:name w:val="xl38"/>
    <w:basedOn w:val="Normal"/>
    <w:rsid w:val="00CD1245"/>
    <w:pPr>
      <w:spacing w:before="100" w:beforeAutospacing="1" w:after="100" w:afterAutospacing="1"/>
      <w:jc w:val="left"/>
    </w:pPr>
    <w:rPr>
      <w:rFonts w:eastAsia="Arial Unicode MS"/>
      <w:i/>
      <w:iCs/>
      <w:color w:val="auto"/>
      <w:szCs w:val="16"/>
    </w:rPr>
  </w:style>
  <w:style w:type="paragraph" w:customStyle="1" w:styleId="xl39">
    <w:name w:val="xl39"/>
    <w:basedOn w:val="Normal"/>
    <w:rsid w:val="00CD1245"/>
    <w:pPr>
      <w:spacing w:before="100" w:beforeAutospacing="1" w:after="100" w:afterAutospacing="1"/>
      <w:jc w:val="left"/>
    </w:pPr>
    <w:rPr>
      <w:rFonts w:eastAsia="Arial Unicode MS"/>
      <w:b/>
      <w:bCs/>
      <w:color w:val="auto"/>
      <w:szCs w:val="16"/>
    </w:rPr>
  </w:style>
  <w:style w:type="paragraph" w:customStyle="1" w:styleId="xl40">
    <w:name w:val="xl40"/>
    <w:basedOn w:val="Normal"/>
    <w:rsid w:val="00CD1245"/>
    <w:pPr>
      <w:pBdr>
        <w:bottom w:val="single" w:sz="4" w:space="0" w:color="auto"/>
      </w:pBdr>
      <w:spacing w:before="100" w:beforeAutospacing="1" w:after="100" w:afterAutospacing="1"/>
      <w:jc w:val="left"/>
    </w:pPr>
    <w:rPr>
      <w:rFonts w:eastAsia="Arial Unicode MS"/>
      <w:b/>
      <w:bCs/>
      <w:color w:val="auto"/>
      <w:szCs w:val="16"/>
      <w:u w:val="single"/>
    </w:rPr>
  </w:style>
  <w:style w:type="paragraph" w:customStyle="1" w:styleId="xl41">
    <w:name w:val="xl41"/>
    <w:basedOn w:val="Normal"/>
    <w:rsid w:val="00CD1245"/>
    <w:pPr>
      <w:pBdr>
        <w:bottom w:val="single" w:sz="4" w:space="0" w:color="auto"/>
      </w:pBdr>
      <w:spacing w:before="100" w:beforeAutospacing="1" w:after="100" w:afterAutospacing="1"/>
      <w:jc w:val="left"/>
    </w:pPr>
    <w:rPr>
      <w:rFonts w:eastAsia="Arial Unicode MS"/>
      <w:b/>
      <w:bCs/>
      <w:color w:val="auto"/>
      <w:szCs w:val="16"/>
    </w:rPr>
  </w:style>
  <w:style w:type="paragraph" w:customStyle="1" w:styleId="xl42">
    <w:name w:val="xl42"/>
    <w:basedOn w:val="Normal"/>
    <w:rsid w:val="00CD1245"/>
    <w:pPr>
      <w:spacing w:before="100" w:beforeAutospacing="1" w:after="100" w:afterAutospacing="1"/>
      <w:ind w:firstLineChars="400" w:firstLine="400"/>
      <w:jc w:val="left"/>
    </w:pPr>
    <w:rPr>
      <w:rFonts w:eastAsia="Arial Unicode MS"/>
      <w:color w:val="auto"/>
      <w:szCs w:val="16"/>
    </w:rPr>
  </w:style>
  <w:style w:type="paragraph" w:customStyle="1" w:styleId="xl43">
    <w:name w:val="xl43"/>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4">
    <w:name w:val="xl44"/>
    <w:basedOn w:val="Normal"/>
    <w:rsid w:val="00CD1245"/>
    <w:pPr>
      <w:pBdr>
        <w:top w:val="single" w:sz="4" w:space="0" w:color="auto"/>
      </w:pBd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5">
    <w:name w:val="xl45"/>
    <w:basedOn w:val="Normal"/>
    <w:rsid w:val="00CD1245"/>
    <w:pPr>
      <w:spacing w:before="100" w:beforeAutospacing="1" w:after="100" w:afterAutospacing="1"/>
      <w:jc w:val="left"/>
    </w:pPr>
    <w:rPr>
      <w:rFonts w:ascii="Book Antiqua" w:eastAsia="Arial Unicode MS" w:hAnsi="Book Antiqua" w:cs="Arial Unicode MS"/>
      <w:b/>
      <w:bCs/>
      <w:i/>
      <w:iCs/>
      <w:color w:val="auto"/>
      <w:szCs w:val="16"/>
    </w:rPr>
  </w:style>
  <w:style w:type="paragraph" w:customStyle="1" w:styleId="xl46">
    <w:name w:val="xl46"/>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customStyle="1" w:styleId="xl47">
    <w:name w:val="xl47"/>
    <w:basedOn w:val="Normal"/>
    <w:rsid w:val="00CD1245"/>
    <w:pPr>
      <w:spacing w:before="100" w:beforeAutospacing="1" w:after="100" w:afterAutospacing="1"/>
      <w:jc w:val="left"/>
    </w:pPr>
    <w:rPr>
      <w:rFonts w:eastAsia="Arial Unicode MS"/>
      <w:color w:val="auto"/>
      <w:szCs w:val="16"/>
    </w:rPr>
  </w:style>
  <w:style w:type="paragraph" w:customStyle="1" w:styleId="xl48">
    <w:name w:val="xl48"/>
    <w:basedOn w:val="Normal"/>
    <w:rsid w:val="00CD1245"/>
    <w:pPr>
      <w:spacing w:before="100" w:beforeAutospacing="1" w:after="100" w:afterAutospacing="1"/>
      <w:jc w:val="left"/>
    </w:pPr>
    <w:rPr>
      <w:rFonts w:eastAsia="Arial Unicode MS"/>
      <w:b/>
      <w:bCs/>
      <w:color w:val="auto"/>
      <w:szCs w:val="16"/>
    </w:rPr>
  </w:style>
  <w:style w:type="paragraph" w:customStyle="1" w:styleId="xl49">
    <w:name w:val="xl49"/>
    <w:basedOn w:val="Normal"/>
    <w:rsid w:val="00CD1245"/>
    <w:pPr>
      <w:spacing w:before="100" w:beforeAutospacing="1" w:after="100" w:afterAutospacing="1"/>
    </w:pPr>
    <w:rPr>
      <w:rFonts w:ascii="Book Antiqua" w:eastAsia="Arial Unicode MS" w:hAnsi="Book Antiqua" w:cs="Arial Unicode MS"/>
      <w:b/>
      <w:bCs/>
      <w:color w:val="auto"/>
      <w:szCs w:val="16"/>
    </w:rPr>
  </w:style>
  <w:style w:type="paragraph" w:customStyle="1" w:styleId="xl50">
    <w:name w:val="xl50"/>
    <w:basedOn w:val="Normal"/>
    <w:rsid w:val="00CD1245"/>
    <w:pPr>
      <w:pBdr>
        <w:bottom w:val="single" w:sz="4" w:space="0" w:color="auto"/>
      </w:pBdr>
      <w:spacing w:before="100" w:beforeAutospacing="1" w:after="100" w:afterAutospacing="1"/>
      <w:jc w:val="right"/>
    </w:pPr>
    <w:rPr>
      <w:rFonts w:eastAsia="Arial Unicode MS"/>
      <w:b/>
      <w:bCs/>
      <w:color w:val="auto"/>
      <w:szCs w:val="16"/>
    </w:rPr>
  </w:style>
  <w:style w:type="paragraph" w:customStyle="1" w:styleId="font8">
    <w:name w:val="font8"/>
    <w:basedOn w:val="Normal"/>
    <w:rsid w:val="00CD1245"/>
    <w:pPr>
      <w:spacing w:before="100" w:beforeAutospacing="1" w:after="100" w:afterAutospacing="1"/>
      <w:jc w:val="left"/>
    </w:pPr>
    <w:rPr>
      <w:rFonts w:ascii="Book Antiqua" w:eastAsia="Arial Unicode MS" w:hAnsi="Book Antiqua" w:cs="Arial Unicode MS"/>
      <w:i/>
      <w:iCs/>
      <w:color w:val="auto"/>
      <w:szCs w:val="16"/>
    </w:rPr>
  </w:style>
  <w:style w:type="paragraph" w:styleId="BalloonText">
    <w:name w:val="Balloon Text"/>
    <w:basedOn w:val="Normal"/>
    <w:semiHidden/>
    <w:rsid w:val="00CD1245"/>
    <w:pPr>
      <w:jc w:val="left"/>
    </w:pPr>
    <w:rPr>
      <w:rFonts w:ascii="Tahoma" w:hAnsi="Tahoma" w:cs="Tahoma"/>
      <w:color w:val="auto"/>
      <w:szCs w:val="16"/>
    </w:rPr>
  </w:style>
  <w:style w:type="paragraph" w:styleId="BodyText">
    <w:name w:val="Body Text"/>
    <w:basedOn w:val="Normal"/>
    <w:semiHidden/>
    <w:rsid w:val="00CD1245"/>
    <w:pPr>
      <w:jc w:val="left"/>
    </w:pPr>
  </w:style>
  <w:style w:type="paragraph" w:styleId="BodyText2">
    <w:name w:val="Body Text 2"/>
    <w:basedOn w:val="Normal"/>
    <w:semiHidden/>
    <w:rsid w:val="00CD1245"/>
    <w:pPr>
      <w:jc w:val="both"/>
    </w:pPr>
    <w:rPr>
      <w:sz w:val="14"/>
      <w:szCs w:val="14"/>
    </w:rPr>
  </w:style>
  <w:style w:type="paragraph" w:styleId="ListParagraph">
    <w:name w:val="List Paragraph"/>
    <w:basedOn w:val="Normal"/>
    <w:uiPriority w:val="34"/>
    <w:qFormat/>
    <w:rsid w:val="0038032A"/>
    <w:pPr>
      <w:spacing w:after="200" w:line="276" w:lineRule="auto"/>
      <w:ind w:left="720"/>
      <w:contextualSpacing/>
      <w:jc w:val="left"/>
    </w:pPr>
    <w:rPr>
      <w:rFonts w:ascii="Calibri" w:eastAsia="Calibri" w:hAnsi="Calibri"/>
      <w:color w:val="auto"/>
      <w:sz w:val="22"/>
      <w:szCs w:val="22"/>
    </w:rPr>
  </w:style>
  <w:style w:type="paragraph" w:customStyle="1" w:styleId="Default">
    <w:name w:val="Default"/>
    <w:rsid w:val="00B363C0"/>
    <w:pPr>
      <w:autoSpaceDE w:val="0"/>
      <w:autoSpaceDN w:val="0"/>
      <w:adjustRightInd w:val="0"/>
    </w:pPr>
    <w:rPr>
      <w:color w:val="000000"/>
      <w:sz w:val="24"/>
      <w:szCs w:val="24"/>
    </w:rPr>
  </w:style>
  <w:style w:type="character" w:styleId="CommentReference">
    <w:name w:val="annotation reference"/>
    <w:basedOn w:val="DefaultParagraphFont"/>
    <w:uiPriority w:val="99"/>
    <w:semiHidden/>
    <w:unhideWhenUsed/>
    <w:rsid w:val="006B2C95"/>
    <w:rPr>
      <w:sz w:val="16"/>
      <w:szCs w:val="16"/>
    </w:rPr>
  </w:style>
  <w:style w:type="paragraph" w:styleId="CommentText">
    <w:name w:val="annotation text"/>
    <w:basedOn w:val="Normal"/>
    <w:link w:val="CommentTextChar"/>
    <w:uiPriority w:val="99"/>
    <w:semiHidden/>
    <w:unhideWhenUsed/>
    <w:rsid w:val="006B2C95"/>
    <w:rPr>
      <w:sz w:val="20"/>
    </w:rPr>
  </w:style>
  <w:style w:type="character" w:customStyle="1" w:styleId="CommentTextChar">
    <w:name w:val="Comment Text Char"/>
    <w:basedOn w:val="DefaultParagraphFont"/>
    <w:link w:val="CommentText"/>
    <w:uiPriority w:val="99"/>
    <w:semiHidden/>
    <w:rsid w:val="006B2C95"/>
    <w:rPr>
      <w:color w:val="000000"/>
    </w:rPr>
  </w:style>
  <w:style w:type="paragraph" w:styleId="CommentSubject">
    <w:name w:val="annotation subject"/>
    <w:basedOn w:val="CommentText"/>
    <w:next w:val="CommentText"/>
    <w:link w:val="CommentSubjectChar"/>
    <w:uiPriority w:val="99"/>
    <w:semiHidden/>
    <w:unhideWhenUsed/>
    <w:rsid w:val="006B2C95"/>
    <w:rPr>
      <w:b/>
      <w:bCs/>
    </w:rPr>
  </w:style>
  <w:style w:type="character" w:customStyle="1" w:styleId="CommentSubjectChar">
    <w:name w:val="Comment Subject Char"/>
    <w:basedOn w:val="CommentTextChar"/>
    <w:link w:val="CommentSubject"/>
    <w:uiPriority w:val="99"/>
    <w:semiHidden/>
    <w:rsid w:val="006B2C95"/>
    <w:rPr>
      <w:b/>
      <w:bCs/>
      <w:color w:val="000000"/>
    </w:rPr>
  </w:style>
  <w:style w:type="paragraph" w:styleId="Revision">
    <w:name w:val="Revision"/>
    <w:hidden/>
    <w:uiPriority w:val="99"/>
    <w:semiHidden/>
    <w:rsid w:val="006B2C95"/>
    <w:rPr>
      <w:color w:val="000000"/>
      <w:sz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4231">
      <w:bodyDiv w:val="1"/>
      <w:marLeft w:val="0"/>
      <w:marRight w:val="0"/>
      <w:marTop w:val="0"/>
      <w:marBottom w:val="0"/>
      <w:divBdr>
        <w:top w:val="none" w:sz="0" w:space="0" w:color="auto"/>
        <w:left w:val="none" w:sz="0" w:space="0" w:color="auto"/>
        <w:bottom w:val="none" w:sz="0" w:space="0" w:color="auto"/>
        <w:right w:val="none" w:sz="0" w:space="0" w:color="auto"/>
      </w:divBdr>
    </w:div>
    <w:div w:id="17659868">
      <w:bodyDiv w:val="1"/>
      <w:marLeft w:val="0"/>
      <w:marRight w:val="0"/>
      <w:marTop w:val="0"/>
      <w:marBottom w:val="0"/>
      <w:divBdr>
        <w:top w:val="none" w:sz="0" w:space="0" w:color="auto"/>
        <w:left w:val="none" w:sz="0" w:space="0" w:color="auto"/>
        <w:bottom w:val="none" w:sz="0" w:space="0" w:color="auto"/>
        <w:right w:val="none" w:sz="0" w:space="0" w:color="auto"/>
      </w:divBdr>
    </w:div>
    <w:div w:id="22437906">
      <w:bodyDiv w:val="1"/>
      <w:marLeft w:val="0"/>
      <w:marRight w:val="0"/>
      <w:marTop w:val="0"/>
      <w:marBottom w:val="0"/>
      <w:divBdr>
        <w:top w:val="none" w:sz="0" w:space="0" w:color="auto"/>
        <w:left w:val="none" w:sz="0" w:space="0" w:color="auto"/>
        <w:bottom w:val="none" w:sz="0" w:space="0" w:color="auto"/>
        <w:right w:val="none" w:sz="0" w:space="0" w:color="auto"/>
      </w:divBdr>
    </w:div>
    <w:div w:id="23992349">
      <w:bodyDiv w:val="1"/>
      <w:marLeft w:val="0"/>
      <w:marRight w:val="0"/>
      <w:marTop w:val="0"/>
      <w:marBottom w:val="0"/>
      <w:divBdr>
        <w:top w:val="none" w:sz="0" w:space="0" w:color="auto"/>
        <w:left w:val="none" w:sz="0" w:space="0" w:color="auto"/>
        <w:bottom w:val="none" w:sz="0" w:space="0" w:color="auto"/>
        <w:right w:val="none" w:sz="0" w:space="0" w:color="auto"/>
      </w:divBdr>
    </w:div>
    <w:div w:id="27025477">
      <w:bodyDiv w:val="1"/>
      <w:marLeft w:val="0"/>
      <w:marRight w:val="0"/>
      <w:marTop w:val="0"/>
      <w:marBottom w:val="0"/>
      <w:divBdr>
        <w:top w:val="none" w:sz="0" w:space="0" w:color="auto"/>
        <w:left w:val="none" w:sz="0" w:space="0" w:color="auto"/>
        <w:bottom w:val="none" w:sz="0" w:space="0" w:color="auto"/>
        <w:right w:val="none" w:sz="0" w:space="0" w:color="auto"/>
      </w:divBdr>
    </w:div>
    <w:div w:id="30153826">
      <w:bodyDiv w:val="1"/>
      <w:marLeft w:val="0"/>
      <w:marRight w:val="0"/>
      <w:marTop w:val="0"/>
      <w:marBottom w:val="0"/>
      <w:divBdr>
        <w:top w:val="none" w:sz="0" w:space="0" w:color="auto"/>
        <w:left w:val="none" w:sz="0" w:space="0" w:color="auto"/>
        <w:bottom w:val="none" w:sz="0" w:space="0" w:color="auto"/>
        <w:right w:val="none" w:sz="0" w:space="0" w:color="auto"/>
      </w:divBdr>
    </w:div>
    <w:div w:id="31423452">
      <w:bodyDiv w:val="1"/>
      <w:marLeft w:val="0"/>
      <w:marRight w:val="0"/>
      <w:marTop w:val="0"/>
      <w:marBottom w:val="0"/>
      <w:divBdr>
        <w:top w:val="none" w:sz="0" w:space="0" w:color="auto"/>
        <w:left w:val="none" w:sz="0" w:space="0" w:color="auto"/>
        <w:bottom w:val="none" w:sz="0" w:space="0" w:color="auto"/>
        <w:right w:val="none" w:sz="0" w:space="0" w:color="auto"/>
      </w:divBdr>
    </w:div>
    <w:div w:id="39210473">
      <w:bodyDiv w:val="1"/>
      <w:marLeft w:val="0"/>
      <w:marRight w:val="0"/>
      <w:marTop w:val="0"/>
      <w:marBottom w:val="0"/>
      <w:divBdr>
        <w:top w:val="none" w:sz="0" w:space="0" w:color="auto"/>
        <w:left w:val="none" w:sz="0" w:space="0" w:color="auto"/>
        <w:bottom w:val="none" w:sz="0" w:space="0" w:color="auto"/>
        <w:right w:val="none" w:sz="0" w:space="0" w:color="auto"/>
      </w:divBdr>
    </w:div>
    <w:div w:id="39214418">
      <w:bodyDiv w:val="1"/>
      <w:marLeft w:val="0"/>
      <w:marRight w:val="0"/>
      <w:marTop w:val="0"/>
      <w:marBottom w:val="0"/>
      <w:divBdr>
        <w:top w:val="none" w:sz="0" w:space="0" w:color="auto"/>
        <w:left w:val="none" w:sz="0" w:space="0" w:color="auto"/>
        <w:bottom w:val="none" w:sz="0" w:space="0" w:color="auto"/>
        <w:right w:val="none" w:sz="0" w:space="0" w:color="auto"/>
      </w:divBdr>
    </w:div>
    <w:div w:id="40518537">
      <w:bodyDiv w:val="1"/>
      <w:marLeft w:val="0"/>
      <w:marRight w:val="0"/>
      <w:marTop w:val="0"/>
      <w:marBottom w:val="0"/>
      <w:divBdr>
        <w:top w:val="none" w:sz="0" w:space="0" w:color="auto"/>
        <w:left w:val="none" w:sz="0" w:space="0" w:color="auto"/>
        <w:bottom w:val="none" w:sz="0" w:space="0" w:color="auto"/>
        <w:right w:val="none" w:sz="0" w:space="0" w:color="auto"/>
      </w:divBdr>
    </w:div>
    <w:div w:id="43874686">
      <w:bodyDiv w:val="1"/>
      <w:marLeft w:val="0"/>
      <w:marRight w:val="0"/>
      <w:marTop w:val="0"/>
      <w:marBottom w:val="0"/>
      <w:divBdr>
        <w:top w:val="none" w:sz="0" w:space="0" w:color="auto"/>
        <w:left w:val="none" w:sz="0" w:space="0" w:color="auto"/>
        <w:bottom w:val="none" w:sz="0" w:space="0" w:color="auto"/>
        <w:right w:val="none" w:sz="0" w:space="0" w:color="auto"/>
      </w:divBdr>
    </w:div>
    <w:div w:id="44182596">
      <w:bodyDiv w:val="1"/>
      <w:marLeft w:val="0"/>
      <w:marRight w:val="0"/>
      <w:marTop w:val="0"/>
      <w:marBottom w:val="0"/>
      <w:divBdr>
        <w:top w:val="none" w:sz="0" w:space="0" w:color="auto"/>
        <w:left w:val="none" w:sz="0" w:space="0" w:color="auto"/>
        <w:bottom w:val="none" w:sz="0" w:space="0" w:color="auto"/>
        <w:right w:val="none" w:sz="0" w:space="0" w:color="auto"/>
      </w:divBdr>
    </w:div>
    <w:div w:id="51970098">
      <w:bodyDiv w:val="1"/>
      <w:marLeft w:val="0"/>
      <w:marRight w:val="0"/>
      <w:marTop w:val="0"/>
      <w:marBottom w:val="0"/>
      <w:divBdr>
        <w:top w:val="none" w:sz="0" w:space="0" w:color="auto"/>
        <w:left w:val="none" w:sz="0" w:space="0" w:color="auto"/>
        <w:bottom w:val="none" w:sz="0" w:space="0" w:color="auto"/>
        <w:right w:val="none" w:sz="0" w:space="0" w:color="auto"/>
      </w:divBdr>
    </w:div>
    <w:div w:id="53235105">
      <w:bodyDiv w:val="1"/>
      <w:marLeft w:val="0"/>
      <w:marRight w:val="0"/>
      <w:marTop w:val="0"/>
      <w:marBottom w:val="0"/>
      <w:divBdr>
        <w:top w:val="none" w:sz="0" w:space="0" w:color="auto"/>
        <w:left w:val="none" w:sz="0" w:space="0" w:color="auto"/>
        <w:bottom w:val="none" w:sz="0" w:space="0" w:color="auto"/>
        <w:right w:val="none" w:sz="0" w:space="0" w:color="auto"/>
      </w:divBdr>
    </w:div>
    <w:div w:id="59058692">
      <w:bodyDiv w:val="1"/>
      <w:marLeft w:val="0"/>
      <w:marRight w:val="0"/>
      <w:marTop w:val="0"/>
      <w:marBottom w:val="0"/>
      <w:divBdr>
        <w:top w:val="none" w:sz="0" w:space="0" w:color="auto"/>
        <w:left w:val="none" w:sz="0" w:space="0" w:color="auto"/>
        <w:bottom w:val="none" w:sz="0" w:space="0" w:color="auto"/>
        <w:right w:val="none" w:sz="0" w:space="0" w:color="auto"/>
      </w:divBdr>
    </w:div>
    <w:div w:id="62411809">
      <w:bodyDiv w:val="1"/>
      <w:marLeft w:val="0"/>
      <w:marRight w:val="0"/>
      <w:marTop w:val="0"/>
      <w:marBottom w:val="0"/>
      <w:divBdr>
        <w:top w:val="none" w:sz="0" w:space="0" w:color="auto"/>
        <w:left w:val="none" w:sz="0" w:space="0" w:color="auto"/>
        <w:bottom w:val="none" w:sz="0" w:space="0" w:color="auto"/>
        <w:right w:val="none" w:sz="0" w:space="0" w:color="auto"/>
      </w:divBdr>
    </w:div>
    <w:div w:id="68236905">
      <w:bodyDiv w:val="1"/>
      <w:marLeft w:val="0"/>
      <w:marRight w:val="0"/>
      <w:marTop w:val="0"/>
      <w:marBottom w:val="0"/>
      <w:divBdr>
        <w:top w:val="none" w:sz="0" w:space="0" w:color="auto"/>
        <w:left w:val="none" w:sz="0" w:space="0" w:color="auto"/>
        <w:bottom w:val="none" w:sz="0" w:space="0" w:color="auto"/>
        <w:right w:val="none" w:sz="0" w:space="0" w:color="auto"/>
      </w:divBdr>
    </w:div>
    <w:div w:id="69354242">
      <w:bodyDiv w:val="1"/>
      <w:marLeft w:val="0"/>
      <w:marRight w:val="0"/>
      <w:marTop w:val="0"/>
      <w:marBottom w:val="0"/>
      <w:divBdr>
        <w:top w:val="none" w:sz="0" w:space="0" w:color="auto"/>
        <w:left w:val="none" w:sz="0" w:space="0" w:color="auto"/>
        <w:bottom w:val="none" w:sz="0" w:space="0" w:color="auto"/>
        <w:right w:val="none" w:sz="0" w:space="0" w:color="auto"/>
      </w:divBdr>
    </w:div>
    <w:div w:id="70125846">
      <w:bodyDiv w:val="1"/>
      <w:marLeft w:val="0"/>
      <w:marRight w:val="0"/>
      <w:marTop w:val="0"/>
      <w:marBottom w:val="0"/>
      <w:divBdr>
        <w:top w:val="none" w:sz="0" w:space="0" w:color="auto"/>
        <w:left w:val="none" w:sz="0" w:space="0" w:color="auto"/>
        <w:bottom w:val="none" w:sz="0" w:space="0" w:color="auto"/>
        <w:right w:val="none" w:sz="0" w:space="0" w:color="auto"/>
      </w:divBdr>
    </w:div>
    <w:div w:id="74515360">
      <w:bodyDiv w:val="1"/>
      <w:marLeft w:val="0"/>
      <w:marRight w:val="0"/>
      <w:marTop w:val="0"/>
      <w:marBottom w:val="0"/>
      <w:divBdr>
        <w:top w:val="none" w:sz="0" w:space="0" w:color="auto"/>
        <w:left w:val="none" w:sz="0" w:space="0" w:color="auto"/>
        <w:bottom w:val="none" w:sz="0" w:space="0" w:color="auto"/>
        <w:right w:val="none" w:sz="0" w:space="0" w:color="auto"/>
      </w:divBdr>
    </w:div>
    <w:div w:id="76636463">
      <w:bodyDiv w:val="1"/>
      <w:marLeft w:val="0"/>
      <w:marRight w:val="0"/>
      <w:marTop w:val="0"/>
      <w:marBottom w:val="0"/>
      <w:divBdr>
        <w:top w:val="none" w:sz="0" w:space="0" w:color="auto"/>
        <w:left w:val="none" w:sz="0" w:space="0" w:color="auto"/>
        <w:bottom w:val="none" w:sz="0" w:space="0" w:color="auto"/>
        <w:right w:val="none" w:sz="0" w:space="0" w:color="auto"/>
      </w:divBdr>
    </w:div>
    <w:div w:id="83694187">
      <w:bodyDiv w:val="1"/>
      <w:marLeft w:val="0"/>
      <w:marRight w:val="0"/>
      <w:marTop w:val="0"/>
      <w:marBottom w:val="0"/>
      <w:divBdr>
        <w:top w:val="none" w:sz="0" w:space="0" w:color="auto"/>
        <w:left w:val="none" w:sz="0" w:space="0" w:color="auto"/>
        <w:bottom w:val="none" w:sz="0" w:space="0" w:color="auto"/>
        <w:right w:val="none" w:sz="0" w:space="0" w:color="auto"/>
      </w:divBdr>
    </w:div>
    <w:div w:id="90899802">
      <w:bodyDiv w:val="1"/>
      <w:marLeft w:val="0"/>
      <w:marRight w:val="0"/>
      <w:marTop w:val="0"/>
      <w:marBottom w:val="0"/>
      <w:divBdr>
        <w:top w:val="none" w:sz="0" w:space="0" w:color="auto"/>
        <w:left w:val="none" w:sz="0" w:space="0" w:color="auto"/>
        <w:bottom w:val="none" w:sz="0" w:space="0" w:color="auto"/>
        <w:right w:val="none" w:sz="0" w:space="0" w:color="auto"/>
      </w:divBdr>
    </w:div>
    <w:div w:id="92629242">
      <w:bodyDiv w:val="1"/>
      <w:marLeft w:val="0"/>
      <w:marRight w:val="0"/>
      <w:marTop w:val="0"/>
      <w:marBottom w:val="0"/>
      <w:divBdr>
        <w:top w:val="none" w:sz="0" w:space="0" w:color="auto"/>
        <w:left w:val="none" w:sz="0" w:space="0" w:color="auto"/>
        <w:bottom w:val="none" w:sz="0" w:space="0" w:color="auto"/>
        <w:right w:val="none" w:sz="0" w:space="0" w:color="auto"/>
      </w:divBdr>
    </w:div>
    <w:div w:id="93865403">
      <w:bodyDiv w:val="1"/>
      <w:marLeft w:val="0"/>
      <w:marRight w:val="0"/>
      <w:marTop w:val="0"/>
      <w:marBottom w:val="0"/>
      <w:divBdr>
        <w:top w:val="none" w:sz="0" w:space="0" w:color="auto"/>
        <w:left w:val="none" w:sz="0" w:space="0" w:color="auto"/>
        <w:bottom w:val="none" w:sz="0" w:space="0" w:color="auto"/>
        <w:right w:val="none" w:sz="0" w:space="0" w:color="auto"/>
      </w:divBdr>
    </w:div>
    <w:div w:id="95058172">
      <w:bodyDiv w:val="1"/>
      <w:marLeft w:val="0"/>
      <w:marRight w:val="0"/>
      <w:marTop w:val="0"/>
      <w:marBottom w:val="0"/>
      <w:divBdr>
        <w:top w:val="none" w:sz="0" w:space="0" w:color="auto"/>
        <w:left w:val="none" w:sz="0" w:space="0" w:color="auto"/>
        <w:bottom w:val="none" w:sz="0" w:space="0" w:color="auto"/>
        <w:right w:val="none" w:sz="0" w:space="0" w:color="auto"/>
      </w:divBdr>
    </w:div>
    <w:div w:id="97525627">
      <w:bodyDiv w:val="1"/>
      <w:marLeft w:val="0"/>
      <w:marRight w:val="0"/>
      <w:marTop w:val="0"/>
      <w:marBottom w:val="0"/>
      <w:divBdr>
        <w:top w:val="none" w:sz="0" w:space="0" w:color="auto"/>
        <w:left w:val="none" w:sz="0" w:space="0" w:color="auto"/>
        <w:bottom w:val="none" w:sz="0" w:space="0" w:color="auto"/>
        <w:right w:val="none" w:sz="0" w:space="0" w:color="auto"/>
      </w:divBdr>
    </w:div>
    <w:div w:id="105589311">
      <w:bodyDiv w:val="1"/>
      <w:marLeft w:val="0"/>
      <w:marRight w:val="0"/>
      <w:marTop w:val="0"/>
      <w:marBottom w:val="0"/>
      <w:divBdr>
        <w:top w:val="none" w:sz="0" w:space="0" w:color="auto"/>
        <w:left w:val="none" w:sz="0" w:space="0" w:color="auto"/>
        <w:bottom w:val="none" w:sz="0" w:space="0" w:color="auto"/>
        <w:right w:val="none" w:sz="0" w:space="0" w:color="auto"/>
      </w:divBdr>
    </w:div>
    <w:div w:id="108399213">
      <w:bodyDiv w:val="1"/>
      <w:marLeft w:val="0"/>
      <w:marRight w:val="0"/>
      <w:marTop w:val="0"/>
      <w:marBottom w:val="0"/>
      <w:divBdr>
        <w:top w:val="none" w:sz="0" w:space="0" w:color="auto"/>
        <w:left w:val="none" w:sz="0" w:space="0" w:color="auto"/>
        <w:bottom w:val="none" w:sz="0" w:space="0" w:color="auto"/>
        <w:right w:val="none" w:sz="0" w:space="0" w:color="auto"/>
      </w:divBdr>
    </w:div>
    <w:div w:id="109663714">
      <w:bodyDiv w:val="1"/>
      <w:marLeft w:val="0"/>
      <w:marRight w:val="0"/>
      <w:marTop w:val="0"/>
      <w:marBottom w:val="0"/>
      <w:divBdr>
        <w:top w:val="none" w:sz="0" w:space="0" w:color="auto"/>
        <w:left w:val="none" w:sz="0" w:space="0" w:color="auto"/>
        <w:bottom w:val="none" w:sz="0" w:space="0" w:color="auto"/>
        <w:right w:val="none" w:sz="0" w:space="0" w:color="auto"/>
      </w:divBdr>
    </w:div>
    <w:div w:id="118649075">
      <w:bodyDiv w:val="1"/>
      <w:marLeft w:val="0"/>
      <w:marRight w:val="0"/>
      <w:marTop w:val="0"/>
      <w:marBottom w:val="0"/>
      <w:divBdr>
        <w:top w:val="none" w:sz="0" w:space="0" w:color="auto"/>
        <w:left w:val="none" w:sz="0" w:space="0" w:color="auto"/>
        <w:bottom w:val="none" w:sz="0" w:space="0" w:color="auto"/>
        <w:right w:val="none" w:sz="0" w:space="0" w:color="auto"/>
      </w:divBdr>
    </w:div>
    <w:div w:id="122038913">
      <w:bodyDiv w:val="1"/>
      <w:marLeft w:val="0"/>
      <w:marRight w:val="0"/>
      <w:marTop w:val="0"/>
      <w:marBottom w:val="0"/>
      <w:divBdr>
        <w:top w:val="none" w:sz="0" w:space="0" w:color="auto"/>
        <w:left w:val="none" w:sz="0" w:space="0" w:color="auto"/>
        <w:bottom w:val="none" w:sz="0" w:space="0" w:color="auto"/>
        <w:right w:val="none" w:sz="0" w:space="0" w:color="auto"/>
      </w:divBdr>
    </w:div>
    <w:div w:id="122382272">
      <w:bodyDiv w:val="1"/>
      <w:marLeft w:val="0"/>
      <w:marRight w:val="0"/>
      <w:marTop w:val="0"/>
      <w:marBottom w:val="0"/>
      <w:divBdr>
        <w:top w:val="none" w:sz="0" w:space="0" w:color="auto"/>
        <w:left w:val="none" w:sz="0" w:space="0" w:color="auto"/>
        <w:bottom w:val="none" w:sz="0" w:space="0" w:color="auto"/>
        <w:right w:val="none" w:sz="0" w:space="0" w:color="auto"/>
      </w:divBdr>
    </w:div>
    <w:div w:id="124085092">
      <w:bodyDiv w:val="1"/>
      <w:marLeft w:val="0"/>
      <w:marRight w:val="0"/>
      <w:marTop w:val="0"/>
      <w:marBottom w:val="0"/>
      <w:divBdr>
        <w:top w:val="none" w:sz="0" w:space="0" w:color="auto"/>
        <w:left w:val="none" w:sz="0" w:space="0" w:color="auto"/>
        <w:bottom w:val="none" w:sz="0" w:space="0" w:color="auto"/>
        <w:right w:val="none" w:sz="0" w:space="0" w:color="auto"/>
      </w:divBdr>
    </w:div>
    <w:div w:id="126895449">
      <w:bodyDiv w:val="1"/>
      <w:marLeft w:val="0"/>
      <w:marRight w:val="0"/>
      <w:marTop w:val="0"/>
      <w:marBottom w:val="0"/>
      <w:divBdr>
        <w:top w:val="none" w:sz="0" w:space="0" w:color="auto"/>
        <w:left w:val="none" w:sz="0" w:space="0" w:color="auto"/>
        <w:bottom w:val="none" w:sz="0" w:space="0" w:color="auto"/>
        <w:right w:val="none" w:sz="0" w:space="0" w:color="auto"/>
      </w:divBdr>
    </w:div>
    <w:div w:id="132218331">
      <w:bodyDiv w:val="1"/>
      <w:marLeft w:val="0"/>
      <w:marRight w:val="0"/>
      <w:marTop w:val="0"/>
      <w:marBottom w:val="0"/>
      <w:divBdr>
        <w:top w:val="none" w:sz="0" w:space="0" w:color="auto"/>
        <w:left w:val="none" w:sz="0" w:space="0" w:color="auto"/>
        <w:bottom w:val="none" w:sz="0" w:space="0" w:color="auto"/>
        <w:right w:val="none" w:sz="0" w:space="0" w:color="auto"/>
      </w:divBdr>
    </w:div>
    <w:div w:id="132409683">
      <w:bodyDiv w:val="1"/>
      <w:marLeft w:val="0"/>
      <w:marRight w:val="0"/>
      <w:marTop w:val="0"/>
      <w:marBottom w:val="0"/>
      <w:divBdr>
        <w:top w:val="none" w:sz="0" w:space="0" w:color="auto"/>
        <w:left w:val="none" w:sz="0" w:space="0" w:color="auto"/>
        <w:bottom w:val="none" w:sz="0" w:space="0" w:color="auto"/>
        <w:right w:val="none" w:sz="0" w:space="0" w:color="auto"/>
      </w:divBdr>
    </w:div>
    <w:div w:id="137962877">
      <w:bodyDiv w:val="1"/>
      <w:marLeft w:val="0"/>
      <w:marRight w:val="0"/>
      <w:marTop w:val="0"/>
      <w:marBottom w:val="0"/>
      <w:divBdr>
        <w:top w:val="none" w:sz="0" w:space="0" w:color="auto"/>
        <w:left w:val="none" w:sz="0" w:space="0" w:color="auto"/>
        <w:bottom w:val="none" w:sz="0" w:space="0" w:color="auto"/>
        <w:right w:val="none" w:sz="0" w:space="0" w:color="auto"/>
      </w:divBdr>
    </w:div>
    <w:div w:id="138958869">
      <w:bodyDiv w:val="1"/>
      <w:marLeft w:val="0"/>
      <w:marRight w:val="0"/>
      <w:marTop w:val="0"/>
      <w:marBottom w:val="0"/>
      <w:divBdr>
        <w:top w:val="none" w:sz="0" w:space="0" w:color="auto"/>
        <w:left w:val="none" w:sz="0" w:space="0" w:color="auto"/>
        <w:bottom w:val="none" w:sz="0" w:space="0" w:color="auto"/>
        <w:right w:val="none" w:sz="0" w:space="0" w:color="auto"/>
      </w:divBdr>
    </w:div>
    <w:div w:id="144124057">
      <w:bodyDiv w:val="1"/>
      <w:marLeft w:val="0"/>
      <w:marRight w:val="0"/>
      <w:marTop w:val="0"/>
      <w:marBottom w:val="0"/>
      <w:divBdr>
        <w:top w:val="none" w:sz="0" w:space="0" w:color="auto"/>
        <w:left w:val="none" w:sz="0" w:space="0" w:color="auto"/>
        <w:bottom w:val="none" w:sz="0" w:space="0" w:color="auto"/>
        <w:right w:val="none" w:sz="0" w:space="0" w:color="auto"/>
      </w:divBdr>
    </w:div>
    <w:div w:id="149441948">
      <w:bodyDiv w:val="1"/>
      <w:marLeft w:val="0"/>
      <w:marRight w:val="0"/>
      <w:marTop w:val="0"/>
      <w:marBottom w:val="0"/>
      <w:divBdr>
        <w:top w:val="none" w:sz="0" w:space="0" w:color="auto"/>
        <w:left w:val="none" w:sz="0" w:space="0" w:color="auto"/>
        <w:bottom w:val="none" w:sz="0" w:space="0" w:color="auto"/>
        <w:right w:val="none" w:sz="0" w:space="0" w:color="auto"/>
      </w:divBdr>
    </w:div>
    <w:div w:id="153380252">
      <w:bodyDiv w:val="1"/>
      <w:marLeft w:val="0"/>
      <w:marRight w:val="0"/>
      <w:marTop w:val="0"/>
      <w:marBottom w:val="0"/>
      <w:divBdr>
        <w:top w:val="none" w:sz="0" w:space="0" w:color="auto"/>
        <w:left w:val="none" w:sz="0" w:space="0" w:color="auto"/>
        <w:bottom w:val="none" w:sz="0" w:space="0" w:color="auto"/>
        <w:right w:val="none" w:sz="0" w:space="0" w:color="auto"/>
      </w:divBdr>
    </w:div>
    <w:div w:id="163975209">
      <w:bodyDiv w:val="1"/>
      <w:marLeft w:val="0"/>
      <w:marRight w:val="0"/>
      <w:marTop w:val="0"/>
      <w:marBottom w:val="0"/>
      <w:divBdr>
        <w:top w:val="none" w:sz="0" w:space="0" w:color="auto"/>
        <w:left w:val="none" w:sz="0" w:space="0" w:color="auto"/>
        <w:bottom w:val="none" w:sz="0" w:space="0" w:color="auto"/>
        <w:right w:val="none" w:sz="0" w:space="0" w:color="auto"/>
      </w:divBdr>
    </w:div>
    <w:div w:id="165292953">
      <w:bodyDiv w:val="1"/>
      <w:marLeft w:val="0"/>
      <w:marRight w:val="0"/>
      <w:marTop w:val="0"/>
      <w:marBottom w:val="0"/>
      <w:divBdr>
        <w:top w:val="none" w:sz="0" w:space="0" w:color="auto"/>
        <w:left w:val="none" w:sz="0" w:space="0" w:color="auto"/>
        <w:bottom w:val="none" w:sz="0" w:space="0" w:color="auto"/>
        <w:right w:val="none" w:sz="0" w:space="0" w:color="auto"/>
      </w:divBdr>
    </w:div>
    <w:div w:id="165479138">
      <w:bodyDiv w:val="1"/>
      <w:marLeft w:val="0"/>
      <w:marRight w:val="0"/>
      <w:marTop w:val="0"/>
      <w:marBottom w:val="0"/>
      <w:divBdr>
        <w:top w:val="none" w:sz="0" w:space="0" w:color="auto"/>
        <w:left w:val="none" w:sz="0" w:space="0" w:color="auto"/>
        <w:bottom w:val="none" w:sz="0" w:space="0" w:color="auto"/>
        <w:right w:val="none" w:sz="0" w:space="0" w:color="auto"/>
      </w:divBdr>
    </w:div>
    <w:div w:id="167866683">
      <w:bodyDiv w:val="1"/>
      <w:marLeft w:val="0"/>
      <w:marRight w:val="0"/>
      <w:marTop w:val="0"/>
      <w:marBottom w:val="0"/>
      <w:divBdr>
        <w:top w:val="none" w:sz="0" w:space="0" w:color="auto"/>
        <w:left w:val="none" w:sz="0" w:space="0" w:color="auto"/>
        <w:bottom w:val="none" w:sz="0" w:space="0" w:color="auto"/>
        <w:right w:val="none" w:sz="0" w:space="0" w:color="auto"/>
      </w:divBdr>
    </w:div>
    <w:div w:id="169880433">
      <w:bodyDiv w:val="1"/>
      <w:marLeft w:val="0"/>
      <w:marRight w:val="0"/>
      <w:marTop w:val="0"/>
      <w:marBottom w:val="0"/>
      <w:divBdr>
        <w:top w:val="none" w:sz="0" w:space="0" w:color="auto"/>
        <w:left w:val="none" w:sz="0" w:space="0" w:color="auto"/>
        <w:bottom w:val="none" w:sz="0" w:space="0" w:color="auto"/>
        <w:right w:val="none" w:sz="0" w:space="0" w:color="auto"/>
      </w:divBdr>
    </w:div>
    <w:div w:id="174420160">
      <w:bodyDiv w:val="1"/>
      <w:marLeft w:val="0"/>
      <w:marRight w:val="0"/>
      <w:marTop w:val="0"/>
      <w:marBottom w:val="0"/>
      <w:divBdr>
        <w:top w:val="none" w:sz="0" w:space="0" w:color="auto"/>
        <w:left w:val="none" w:sz="0" w:space="0" w:color="auto"/>
        <w:bottom w:val="none" w:sz="0" w:space="0" w:color="auto"/>
        <w:right w:val="none" w:sz="0" w:space="0" w:color="auto"/>
      </w:divBdr>
    </w:div>
    <w:div w:id="176963131">
      <w:bodyDiv w:val="1"/>
      <w:marLeft w:val="0"/>
      <w:marRight w:val="0"/>
      <w:marTop w:val="0"/>
      <w:marBottom w:val="0"/>
      <w:divBdr>
        <w:top w:val="none" w:sz="0" w:space="0" w:color="auto"/>
        <w:left w:val="none" w:sz="0" w:space="0" w:color="auto"/>
        <w:bottom w:val="none" w:sz="0" w:space="0" w:color="auto"/>
        <w:right w:val="none" w:sz="0" w:space="0" w:color="auto"/>
      </w:divBdr>
    </w:div>
    <w:div w:id="177356583">
      <w:bodyDiv w:val="1"/>
      <w:marLeft w:val="0"/>
      <w:marRight w:val="0"/>
      <w:marTop w:val="0"/>
      <w:marBottom w:val="0"/>
      <w:divBdr>
        <w:top w:val="none" w:sz="0" w:space="0" w:color="auto"/>
        <w:left w:val="none" w:sz="0" w:space="0" w:color="auto"/>
        <w:bottom w:val="none" w:sz="0" w:space="0" w:color="auto"/>
        <w:right w:val="none" w:sz="0" w:space="0" w:color="auto"/>
      </w:divBdr>
    </w:div>
    <w:div w:id="180438459">
      <w:bodyDiv w:val="1"/>
      <w:marLeft w:val="0"/>
      <w:marRight w:val="0"/>
      <w:marTop w:val="0"/>
      <w:marBottom w:val="0"/>
      <w:divBdr>
        <w:top w:val="none" w:sz="0" w:space="0" w:color="auto"/>
        <w:left w:val="none" w:sz="0" w:space="0" w:color="auto"/>
        <w:bottom w:val="none" w:sz="0" w:space="0" w:color="auto"/>
        <w:right w:val="none" w:sz="0" w:space="0" w:color="auto"/>
      </w:divBdr>
    </w:div>
    <w:div w:id="181938692">
      <w:bodyDiv w:val="1"/>
      <w:marLeft w:val="0"/>
      <w:marRight w:val="0"/>
      <w:marTop w:val="0"/>
      <w:marBottom w:val="0"/>
      <w:divBdr>
        <w:top w:val="none" w:sz="0" w:space="0" w:color="auto"/>
        <w:left w:val="none" w:sz="0" w:space="0" w:color="auto"/>
        <w:bottom w:val="none" w:sz="0" w:space="0" w:color="auto"/>
        <w:right w:val="none" w:sz="0" w:space="0" w:color="auto"/>
      </w:divBdr>
    </w:div>
    <w:div w:id="186334811">
      <w:bodyDiv w:val="1"/>
      <w:marLeft w:val="0"/>
      <w:marRight w:val="0"/>
      <w:marTop w:val="0"/>
      <w:marBottom w:val="0"/>
      <w:divBdr>
        <w:top w:val="none" w:sz="0" w:space="0" w:color="auto"/>
        <w:left w:val="none" w:sz="0" w:space="0" w:color="auto"/>
        <w:bottom w:val="none" w:sz="0" w:space="0" w:color="auto"/>
        <w:right w:val="none" w:sz="0" w:space="0" w:color="auto"/>
      </w:divBdr>
    </w:div>
    <w:div w:id="189607660">
      <w:bodyDiv w:val="1"/>
      <w:marLeft w:val="0"/>
      <w:marRight w:val="0"/>
      <w:marTop w:val="0"/>
      <w:marBottom w:val="0"/>
      <w:divBdr>
        <w:top w:val="none" w:sz="0" w:space="0" w:color="auto"/>
        <w:left w:val="none" w:sz="0" w:space="0" w:color="auto"/>
        <w:bottom w:val="none" w:sz="0" w:space="0" w:color="auto"/>
        <w:right w:val="none" w:sz="0" w:space="0" w:color="auto"/>
      </w:divBdr>
    </w:div>
    <w:div w:id="191503775">
      <w:bodyDiv w:val="1"/>
      <w:marLeft w:val="0"/>
      <w:marRight w:val="0"/>
      <w:marTop w:val="0"/>
      <w:marBottom w:val="0"/>
      <w:divBdr>
        <w:top w:val="none" w:sz="0" w:space="0" w:color="auto"/>
        <w:left w:val="none" w:sz="0" w:space="0" w:color="auto"/>
        <w:bottom w:val="none" w:sz="0" w:space="0" w:color="auto"/>
        <w:right w:val="none" w:sz="0" w:space="0" w:color="auto"/>
      </w:divBdr>
    </w:div>
    <w:div w:id="192882515">
      <w:bodyDiv w:val="1"/>
      <w:marLeft w:val="0"/>
      <w:marRight w:val="0"/>
      <w:marTop w:val="0"/>
      <w:marBottom w:val="0"/>
      <w:divBdr>
        <w:top w:val="none" w:sz="0" w:space="0" w:color="auto"/>
        <w:left w:val="none" w:sz="0" w:space="0" w:color="auto"/>
        <w:bottom w:val="none" w:sz="0" w:space="0" w:color="auto"/>
        <w:right w:val="none" w:sz="0" w:space="0" w:color="auto"/>
      </w:divBdr>
    </w:div>
    <w:div w:id="194734948">
      <w:bodyDiv w:val="1"/>
      <w:marLeft w:val="0"/>
      <w:marRight w:val="0"/>
      <w:marTop w:val="0"/>
      <w:marBottom w:val="0"/>
      <w:divBdr>
        <w:top w:val="none" w:sz="0" w:space="0" w:color="auto"/>
        <w:left w:val="none" w:sz="0" w:space="0" w:color="auto"/>
        <w:bottom w:val="none" w:sz="0" w:space="0" w:color="auto"/>
        <w:right w:val="none" w:sz="0" w:space="0" w:color="auto"/>
      </w:divBdr>
    </w:div>
    <w:div w:id="202058964">
      <w:bodyDiv w:val="1"/>
      <w:marLeft w:val="0"/>
      <w:marRight w:val="0"/>
      <w:marTop w:val="0"/>
      <w:marBottom w:val="0"/>
      <w:divBdr>
        <w:top w:val="none" w:sz="0" w:space="0" w:color="auto"/>
        <w:left w:val="none" w:sz="0" w:space="0" w:color="auto"/>
        <w:bottom w:val="none" w:sz="0" w:space="0" w:color="auto"/>
        <w:right w:val="none" w:sz="0" w:space="0" w:color="auto"/>
      </w:divBdr>
    </w:div>
    <w:div w:id="203644217">
      <w:bodyDiv w:val="1"/>
      <w:marLeft w:val="0"/>
      <w:marRight w:val="0"/>
      <w:marTop w:val="0"/>
      <w:marBottom w:val="0"/>
      <w:divBdr>
        <w:top w:val="none" w:sz="0" w:space="0" w:color="auto"/>
        <w:left w:val="none" w:sz="0" w:space="0" w:color="auto"/>
        <w:bottom w:val="none" w:sz="0" w:space="0" w:color="auto"/>
        <w:right w:val="none" w:sz="0" w:space="0" w:color="auto"/>
      </w:divBdr>
    </w:div>
    <w:div w:id="213856747">
      <w:bodyDiv w:val="1"/>
      <w:marLeft w:val="0"/>
      <w:marRight w:val="0"/>
      <w:marTop w:val="0"/>
      <w:marBottom w:val="0"/>
      <w:divBdr>
        <w:top w:val="none" w:sz="0" w:space="0" w:color="auto"/>
        <w:left w:val="none" w:sz="0" w:space="0" w:color="auto"/>
        <w:bottom w:val="none" w:sz="0" w:space="0" w:color="auto"/>
        <w:right w:val="none" w:sz="0" w:space="0" w:color="auto"/>
      </w:divBdr>
    </w:div>
    <w:div w:id="220674050">
      <w:bodyDiv w:val="1"/>
      <w:marLeft w:val="0"/>
      <w:marRight w:val="0"/>
      <w:marTop w:val="0"/>
      <w:marBottom w:val="0"/>
      <w:divBdr>
        <w:top w:val="none" w:sz="0" w:space="0" w:color="auto"/>
        <w:left w:val="none" w:sz="0" w:space="0" w:color="auto"/>
        <w:bottom w:val="none" w:sz="0" w:space="0" w:color="auto"/>
        <w:right w:val="none" w:sz="0" w:space="0" w:color="auto"/>
      </w:divBdr>
    </w:div>
    <w:div w:id="220755822">
      <w:bodyDiv w:val="1"/>
      <w:marLeft w:val="0"/>
      <w:marRight w:val="0"/>
      <w:marTop w:val="0"/>
      <w:marBottom w:val="0"/>
      <w:divBdr>
        <w:top w:val="none" w:sz="0" w:space="0" w:color="auto"/>
        <w:left w:val="none" w:sz="0" w:space="0" w:color="auto"/>
        <w:bottom w:val="none" w:sz="0" w:space="0" w:color="auto"/>
        <w:right w:val="none" w:sz="0" w:space="0" w:color="auto"/>
      </w:divBdr>
    </w:div>
    <w:div w:id="222179968">
      <w:bodyDiv w:val="1"/>
      <w:marLeft w:val="0"/>
      <w:marRight w:val="0"/>
      <w:marTop w:val="0"/>
      <w:marBottom w:val="0"/>
      <w:divBdr>
        <w:top w:val="none" w:sz="0" w:space="0" w:color="auto"/>
        <w:left w:val="none" w:sz="0" w:space="0" w:color="auto"/>
        <w:bottom w:val="none" w:sz="0" w:space="0" w:color="auto"/>
        <w:right w:val="none" w:sz="0" w:space="0" w:color="auto"/>
      </w:divBdr>
    </w:div>
    <w:div w:id="233902488">
      <w:bodyDiv w:val="1"/>
      <w:marLeft w:val="0"/>
      <w:marRight w:val="0"/>
      <w:marTop w:val="0"/>
      <w:marBottom w:val="0"/>
      <w:divBdr>
        <w:top w:val="none" w:sz="0" w:space="0" w:color="auto"/>
        <w:left w:val="none" w:sz="0" w:space="0" w:color="auto"/>
        <w:bottom w:val="none" w:sz="0" w:space="0" w:color="auto"/>
        <w:right w:val="none" w:sz="0" w:space="0" w:color="auto"/>
      </w:divBdr>
    </w:div>
    <w:div w:id="235213408">
      <w:bodyDiv w:val="1"/>
      <w:marLeft w:val="0"/>
      <w:marRight w:val="0"/>
      <w:marTop w:val="0"/>
      <w:marBottom w:val="0"/>
      <w:divBdr>
        <w:top w:val="none" w:sz="0" w:space="0" w:color="auto"/>
        <w:left w:val="none" w:sz="0" w:space="0" w:color="auto"/>
        <w:bottom w:val="none" w:sz="0" w:space="0" w:color="auto"/>
        <w:right w:val="none" w:sz="0" w:space="0" w:color="auto"/>
      </w:divBdr>
    </w:div>
    <w:div w:id="247732289">
      <w:bodyDiv w:val="1"/>
      <w:marLeft w:val="0"/>
      <w:marRight w:val="0"/>
      <w:marTop w:val="0"/>
      <w:marBottom w:val="0"/>
      <w:divBdr>
        <w:top w:val="none" w:sz="0" w:space="0" w:color="auto"/>
        <w:left w:val="none" w:sz="0" w:space="0" w:color="auto"/>
        <w:bottom w:val="none" w:sz="0" w:space="0" w:color="auto"/>
        <w:right w:val="none" w:sz="0" w:space="0" w:color="auto"/>
      </w:divBdr>
    </w:div>
    <w:div w:id="249897991">
      <w:bodyDiv w:val="1"/>
      <w:marLeft w:val="0"/>
      <w:marRight w:val="0"/>
      <w:marTop w:val="0"/>
      <w:marBottom w:val="0"/>
      <w:divBdr>
        <w:top w:val="none" w:sz="0" w:space="0" w:color="auto"/>
        <w:left w:val="none" w:sz="0" w:space="0" w:color="auto"/>
        <w:bottom w:val="none" w:sz="0" w:space="0" w:color="auto"/>
        <w:right w:val="none" w:sz="0" w:space="0" w:color="auto"/>
      </w:divBdr>
    </w:div>
    <w:div w:id="251821143">
      <w:bodyDiv w:val="1"/>
      <w:marLeft w:val="0"/>
      <w:marRight w:val="0"/>
      <w:marTop w:val="0"/>
      <w:marBottom w:val="0"/>
      <w:divBdr>
        <w:top w:val="none" w:sz="0" w:space="0" w:color="auto"/>
        <w:left w:val="none" w:sz="0" w:space="0" w:color="auto"/>
        <w:bottom w:val="none" w:sz="0" w:space="0" w:color="auto"/>
        <w:right w:val="none" w:sz="0" w:space="0" w:color="auto"/>
      </w:divBdr>
    </w:div>
    <w:div w:id="258680677">
      <w:bodyDiv w:val="1"/>
      <w:marLeft w:val="0"/>
      <w:marRight w:val="0"/>
      <w:marTop w:val="0"/>
      <w:marBottom w:val="0"/>
      <w:divBdr>
        <w:top w:val="none" w:sz="0" w:space="0" w:color="auto"/>
        <w:left w:val="none" w:sz="0" w:space="0" w:color="auto"/>
        <w:bottom w:val="none" w:sz="0" w:space="0" w:color="auto"/>
        <w:right w:val="none" w:sz="0" w:space="0" w:color="auto"/>
      </w:divBdr>
    </w:div>
    <w:div w:id="264466496">
      <w:bodyDiv w:val="1"/>
      <w:marLeft w:val="0"/>
      <w:marRight w:val="0"/>
      <w:marTop w:val="0"/>
      <w:marBottom w:val="0"/>
      <w:divBdr>
        <w:top w:val="none" w:sz="0" w:space="0" w:color="auto"/>
        <w:left w:val="none" w:sz="0" w:space="0" w:color="auto"/>
        <w:bottom w:val="none" w:sz="0" w:space="0" w:color="auto"/>
        <w:right w:val="none" w:sz="0" w:space="0" w:color="auto"/>
      </w:divBdr>
    </w:div>
    <w:div w:id="271011646">
      <w:bodyDiv w:val="1"/>
      <w:marLeft w:val="0"/>
      <w:marRight w:val="0"/>
      <w:marTop w:val="0"/>
      <w:marBottom w:val="0"/>
      <w:divBdr>
        <w:top w:val="none" w:sz="0" w:space="0" w:color="auto"/>
        <w:left w:val="none" w:sz="0" w:space="0" w:color="auto"/>
        <w:bottom w:val="none" w:sz="0" w:space="0" w:color="auto"/>
        <w:right w:val="none" w:sz="0" w:space="0" w:color="auto"/>
      </w:divBdr>
    </w:div>
    <w:div w:id="275067491">
      <w:bodyDiv w:val="1"/>
      <w:marLeft w:val="0"/>
      <w:marRight w:val="0"/>
      <w:marTop w:val="0"/>
      <w:marBottom w:val="0"/>
      <w:divBdr>
        <w:top w:val="none" w:sz="0" w:space="0" w:color="auto"/>
        <w:left w:val="none" w:sz="0" w:space="0" w:color="auto"/>
        <w:bottom w:val="none" w:sz="0" w:space="0" w:color="auto"/>
        <w:right w:val="none" w:sz="0" w:space="0" w:color="auto"/>
      </w:divBdr>
    </w:div>
    <w:div w:id="285622968">
      <w:bodyDiv w:val="1"/>
      <w:marLeft w:val="0"/>
      <w:marRight w:val="0"/>
      <w:marTop w:val="0"/>
      <w:marBottom w:val="0"/>
      <w:divBdr>
        <w:top w:val="none" w:sz="0" w:space="0" w:color="auto"/>
        <w:left w:val="none" w:sz="0" w:space="0" w:color="auto"/>
        <w:bottom w:val="none" w:sz="0" w:space="0" w:color="auto"/>
        <w:right w:val="none" w:sz="0" w:space="0" w:color="auto"/>
      </w:divBdr>
    </w:div>
    <w:div w:id="287250621">
      <w:bodyDiv w:val="1"/>
      <w:marLeft w:val="0"/>
      <w:marRight w:val="0"/>
      <w:marTop w:val="0"/>
      <w:marBottom w:val="0"/>
      <w:divBdr>
        <w:top w:val="none" w:sz="0" w:space="0" w:color="auto"/>
        <w:left w:val="none" w:sz="0" w:space="0" w:color="auto"/>
        <w:bottom w:val="none" w:sz="0" w:space="0" w:color="auto"/>
        <w:right w:val="none" w:sz="0" w:space="0" w:color="auto"/>
      </w:divBdr>
    </w:div>
    <w:div w:id="291983789">
      <w:bodyDiv w:val="1"/>
      <w:marLeft w:val="0"/>
      <w:marRight w:val="0"/>
      <w:marTop w:val="0"/>
      <w:marBottom w:val="0"/>
      <w:divBdr>
        <w:top w:val="none" w:sz="0" w:space="0" w:color="auto"/>
        <w:left w:val="none" w:sz="0" w:space="0" w:color="auto"/>
        <w:bottom w:val="none" w:sz="0" w:space="0" w:color="auto"/>
        <w:right w:val="none" w:sz="0" w:space="0" w:color="auto"/>
      </w:divBdr>
    </w:div>
    <w:div w:id="297220936">
      <w:bodyDiv w:val="1"/>
      <w:marLeft w:val="0"/>
      <w:marRight w:val="0"/>
      <w:marTop w:val="0"/>
      <w:marBottom w:val="0"/>
      <w:divBdr>
        <w:top w:val="none" w:sz="0" w:space="0" w:color="auto"/>
        <w:left w:val="none" w:sz="0" w:space="0" w:color="auto"/>
        <w:bottom w:val="none" w:sz="0" w:space="0" w:color="auto"/>
        <w:right w:val="none" w:sz="0" w:space="0" w:color="auto"/>
      </w:divBdr>
    </w:div>
    <w:div w:id="302927049">
      <w:bodyDiv w:val="1"/>
      <w:marLeft w:val="0"/>
      <w:marRight w:val="0"/>
      <w:marTop w:val="0"/>
      <w:marBottom w:val="0"/>
      <w:divBdr>
        <w:top w:val="none" w:sz="0" w:space="0" w:color="auto"/>
        <w:left w:val="none" w:sz="0" w:space="0" w:color="auto"/>
        <w:bottom w:val="none" w:sz="0" w:space="0" w:color="auto"/>
        <w:right w:val="none" w:sz="0" w:space="0" w:color="auto"/>
      </w:divBdr>
    </w:div>
    <w:div w:id="303776636">
      <w:bodyDiv w:val="1"/>
      <w:marLeft w:val="0"/>
      <w:marRight w:val="0"/>
      <w:marTop w:val="0"/>
      <w:marBottom w:val="0"/>
      <w:divBdr>
        <w:top w:val="none" w:sz="0" w:space="0" w:color="auto"/>
        <w:left w:val="none" w:sz="0" w:space="0" w:color="auto"/>
        <w:bottom w:val="none" w:sz="0" w:space="0" w:color="auto"/>
        <w:right w:val="none" w:sz="0" w:space="0" w:color="auto"/>
      </w:divBdr>
    </w:div>
    <w:div w:id="306057451">
      <w:bodyDiv w:val="1"/>
      <w:marLeft w:val="0"/>
      <w:marRight w:val="0"/>
      <w:marTop w:val="0"/>
      <w:marBottom w:val="0"/>
      <w:divBdr>
        <w:top w:val="none" w:sz="0" w:space="0" w:color="auto"/>
        <w:left w:val="none" w:sz="0" w:space="0" w:color="auto"/>
        <w:bottom w:val="none" w:sz="0" w:space="0" w:color="auto"/>
        <w:right w:val="none" w:sz="0" w:space="0" w:color="auto"/>
      </w:divBdr>
    </w:div>
    <w:div w:id="317081324">
      <w:bodyDiv w:val="1"/>
      <w:marLeft w:val="0"/>
      <w:marRight w:val="0"/>
      <w:marTop w:val="0"/>
      <w:marBottom w:val="0"/>
      <w:divBdr>
        <w:top w:val="none" w:sz="0" w:space="0" w:color="auto"/>
        <w:left w:val="none" w:sz="0" w:space="0" w:color="auto"/>
        <w:bottom w:val="none" w:sz="0" w:space="0" w:color="auto"/>
        <w:right w:val="none" w:sz="0" w:space="0" w:color="auto"/>
      </w:divBdr>
    </w:div>
    <w:div w:id="318000531">
      <w:bodyDiv w:val="1"/>
      <w:marLeft w:val="0"/>
      <w:marRight w:val="0"/>
      <w:marTop w:val="0"/>
      <w:marBottom w:val="0"/>
      <w:divBdr>
        <w:top w:val="none" w:sz="0" w:space="0" w:color="auto"/>
        <w:left w:val="none" w:sz="0" w:space="0" w:color="auto"/>
        <w:bottom w:val="none" w:sz="0" w:space="0" w:color="auto"/>
        <w:right w:val="none" w:sz="0" w:space="0" w:color="auto"/>
      </w:divBdr>
    </w:div>
    <w:div w:id="323507238">
      <w:bodyDiv w:val="1"/>
      <w:marLeft w:val="0"/>
      <w:marRight w:val="0"/>
      <w:marTop w:val="0"/>
      <w:marBottom w:val="0"/>
      <w:divBdr>
        <w:top w:val="none" w:sz="0" w:space="0" w:color="auto"/>
        <w:left w:val="none" w:sz="0" w:space="0" w:color="auto"/>
        <w:bottom w:val="none" w:sz="0" w:space="0" w:color="auto"/>
        <w:right w:val="none" w:sz="0" w:space="0" w:color="auto"/>
      </w:divBdr>
    </w:div>
    <w:div w:id="327294470">
      <w:bodyDiv w:val="1"/>
      <w:marLeft w:val="0"/>
      <w:marRight w:val="0"/>
      <w:marTop w:val="0"/>
      <w:marBottom w:val="0"/>
      <w:divBdr>
        <w:top w:val="none" w:sz="0" w:space="0" w:color="auto"/>
        <w:left w:val="none" w:sz="0" w:space="0" w:color="auto"/>
        <w:bottom w:val="none" w:sz="0" w:space="0" w:color="auto"/>
        <w:right w:val="none" w:sz="0" w:space="0" w:color="auto"/>
      </w:divBdr>
    </w:div>
    <w:div w:id="328094664">
      <w:bodyDiv w:val="1"/>
      <w:marLeft w:val="0"/>
      <w:marRight w:val="0"/>
      <w:marTop w:val="0"/>
      <w:marBottom w:val="0"/>
      <w:divBdr>
        <w:top w:val="none" w:sz="0" w:space="0" w:color="auto"/>
        <w:left w:val="none" w:sz="0" w:space="0" w:color="auto"/>
        <w:bottom w:val="none" w:sz="0" w:space="0" w:color="auto"/>
        <w:right w:val="none" w:sz="0" w:space="0" w:color="auto"/>
      </w:divBdr>
    </w:div>
    <w:div w:id="333151401">
      <w:bodyDiv w:val="1"/>
      <w:marLeft w:val="0"/>
      <w:marRight w:val="0"/>
      <w:marTop w:val="0"/>
      <w:marBottom w:val="0"/>
      <w:divBdr>
        <w:top w:val="none" w:sz="0" w:space="0" w:color="auto"/>
        <w:left w:val="none" w:sz="0" w:space="0" w:color="auto"/>
        <w:bottom w:val="none" w:sz="0" w:space="0" w:color="auto"/>
        <w:right w:val="none" w:sz="0" w:space="0" w:color="auto"/>
      </w:divBdr>
    </w:div>
    <w:div w:id="338196860">
      <w:bodyDiv w:val="1"/>
      <w:marLeft w:val="0"/>
      <w:marRight w:val="0"/>
      <w:marTop w:val="0"/>
      <w:marBottom w:val="0"/>
      <w:divBdr>
        <w:top w:val="none" w:sz="0" w:space="0" w:color="auto"/>
        <w:left w:val="none" w:sz="0" w:space="0" w:color="auto"/>
        <w:bottom w:val="none" w:sz="0" w:space="0" w:color="auto"/>
        <w:right w:val="none" w:sz="0" w:space="0" w:color="auto"/>
      </w:divBdr>
    </w:div>
    <w:div w:id="339503431">
      <w:bodyDiv w:val="1"/>
      <w:marLeft w:val="0"/>
      <w:marRight w:val="0"/>
      <w:marTop w:val="0"/>
      <w:marBottom w:val="0"/>
      <w:divBdr>
        <w:top w:val="none" w:sz="0" w:space="0" w:color="auto"/>
        <w:left w:val="none" w:sz="0" w:space="0" w:color="auto"/>
        <w:bottom w:val="none" w:sz="0" w:space="0" w:color="auto"/>
        <w:right w:val="none" w:sz="0" w:space="0" w:color="auto"/>
      </w:divBdr>
    </w:div>
    <w:div w:id="342710250">
      <w:bodyDiv w:val="1"/>
      <w:marLeft w:val="0"/>
      <w:marRight w:val="0"/>
      <w:marTop w:val="0"/>
      <w:marBottom w:val="0"/>
      <w:divBdr>
        <w:top w:val="none" w:sz="0" w:space="0" w:color="auto"/>
        <w:left w:val="none" w:sz="0" w:space="0" w:color="auto"/>
        <w:bottom w:val="none" w:sz="0" w:space="0" w:color="auto"/>
        <w:right w:val="none" w:sz="0" w:space="0" w:color="auto"/>
      </w:divBdr>
    </w:div>
    <w:div w:id="348020524">
      <w:bodyDiv w:val="1"/>
      <w:marLeft w:val="0"/>
      <w:marRight w:val="0"/>
      <w:marTop w:val="0"/>
      <w:marBottom w:val="0"/>
      <w:divBdr>
        <w:top w:val="none" w:sz="0" w:space="0" w:color="auto"/>
        <w:left w:val="none" w:sz="0" w:space="0" w:color="auto"/>
        <w:bottom w:val="none" w:sz="0" w:space="0" w:color="auto"/>
        <w:right w:val="none" w:sz="0" w:space="0" w:color="auto"/>
      </w:divBdr>
    </w:div>
    <w:div w:id="359011853">
      <w:bodyDiv w:val="1"/>
      <w:marLeft w:val="0"/>
      <w:marRight w:val="0"/>
      <w:marTop w:val="0"/>
      <w:marBottom w:val="0"/>
      <w:divBdr>
        <w:top w:val="none" w:sz="0" w:space="0" w:color="auto"/>
        <w:left w:val="none" w:sz="0" w:space="0" w:color="auto"/>
        <w:bottom w:val="none" w:sz="0" w:space="0" w:color="auto"/>
        <w:right w:val="none" w:sz="0" w:space="0" w:color="auto"/>
      </w:divBdr>
    </w:div>
    <w:div w:id="364987066">
      <w:bodyDiv w:val="1"/>
      <w:marLeft w:val="0"/>
      <w:marRight w:val="0"/>
      <w:marTop w:val="0"/>
      <w:marBottom w:val="0"/>
      <w:divBdr>
        <w:top w:val="none" w:sz="0" w:space="0" w:color="auto"/>
        <w:left w:val="none" w:sz="0" w:space="0" w:color="auto"/>
        <w:bottom w:val="none" w:sz="0" w:space="0" w:color="auto"/>
        <w:right w:val="none" w:sz="0" w:space="0" w:color="auto"/>
      </w:divBdr>
    </w:div>
    <w:div w:id="365183310">
      <w:bodyDiv w:val="1"/>
      <w:marLeft w:val="0"/>
      <w:marRight w:val="0"/>
      <w:marTop w:val="0"/>
      <w:marBottom w:val="0"/>
      <w:divBdr>
        <w:top w:val="none" w:sz="0" w:space="0" w:color="auto"/>
        <w:left w:val="none" w:sz="0" w:space="0" w:color="auto"/>
        <w:bottom w:val="none" w:sz="0" w:space="0" w:color="auto"/>
        <w:right w:val="none" w:sz="0" w:space="0" w:color="auto"/>
      </w:divBdr>
    </w:div>
    <w:div w:id="366682972">
      <w:bodyDiv w:val="1"/>
      <w:marLeft w:val="0"/>
      <w:marRight w:val="0"/>
      <w:marTop w:val="0"/>
      <w:marBottom w:val="0"/>
      <w:divBdr>
        <w:top w:val="none" w:sz="0" w:space="0" w:color="auto"/>
        <w:left w:val="none" w:sz="0" w:space="0" w:color="auto"/>
        <w:bottom w:val="none" w:sz="0" w:space="0" w:color="auto"/>
        <w:right w:val="none" w:sz="0" w:space="0" w:color="auto"/>
      </w:divBdr>
    </w:div>
    <w:div w:id="368992022">
      <w:bodyDiv w:val="1"/>
      <w:marLeft w:val="0"/>
      <w:marRight w:val="0"/>
      <w:marTop w:val="0"/>
      <w:marBottom w:val="0"/>
      <w:divBdr>
        <w:top w:val="none" w:sz="0" w:space="0" w:color="auto"/>
        <w:left w:val="none" w:sz="0" w:space="0" w:color="auto"/>
        <w:bottom w:val="none" w:sz="0" w:space="0" w:color="auto"/>
        <w:right w:val="none" w:sz="0" w:space="0" w:color="auto"/>
      </w:divBdr>
    </w:div>
    <w:div w:id="376779192">
      <w:bodyDiv w:val="1"/>
      <w:marLeft w:val="0"/>
      <w:marRight w:val="0"/>
      <w:marTop w:val="0"/>
      <w:marBottom w:val="0"/>
      <w:divBdr>
        <w:top w:val="none" w:sz="0" w:space="0" w:color="auto"/>
        <w:left w:val="none" w:sz="0" w:space="0" w:color="auto"/>
        <w:bottom w:val="none" w:sz="0" w:space="0" w:color="auto"/>
        <w:right w:val="none" w:sz="0" w:space="0" w:color="auto"/>
      </w:divBdr>
    </w:div>
    <w:div w:id="387261198">
      <w:bodyDiv w:val="1"/>
      <w:marLeft w:val="0"/>
      <w:marRight w:val="0"/>
      <w:marTop w:val="0"/>
      <w:marBottom w:val="0"/>
      <w:divBdr>
        <w:top w:val="none" w:sz="0" w:space="0" w:color="auto"/>
        <w:left w:val="none" w:sz="0" w:space="0" w:color="auto"/>
        <w:bottom w:val="none" w:sz="0" w:space="0" w:color="auto"/>
        <w:right w:val="none" w:sz="0" w:space="0" w:color="auto"/>
      </w:divBdr>
    </w:div>
    <w:div w:id="388697168">
      <w:bodyDiv w:val="1"/>
      <w:marLeft w:val="0"/>
      <w:marRight w:val="0"/>
      <w:marTop w:val="0"/>
      <w:marBottom w:val="0"/>
      <w:divBdr>
        <w:top w:val="none" w:sz="0" w:space="0" w:color="auto"/>
        <w:left w:val="none" w:sz="0" w:space="0" w:color="auto"/>
        <w:bottom w:val="none" w:sz="0" w:space="0" w:color="auto"/>
        <w:right w:val="none" w:sz="0" w:space="0" w:color="auto"/>
      </w:divBdr>
    </w:div>
    <w:div w:id="390227307">
      <w:bodyDiv w:val="1"/>
      <w:marLeft w:val="0"/>
      <w:marRight w:val="0"/>
      <w:marTop w:val="0"/>
      <w:marBottom w:val="0"/>
      <w:divBdr>
        <w:top w:val="none" w:sz="0" w:space="0" w:color="auto"/>
        <w:left w:val="none" w:sz="0" w:space="0" w:color="auto"/>
        <w:bottom w:val="none" w:sz="0" w:space="0" w:color="auto"/>
        <w:right w:val="none" w:sz="0" w:space="0" w:color="auto"/>
      </w:divBdr>
    </w:div>
    <w:div w:id="396175968">
      <w:bodyDiv w:val="1"/>
      <w:marLeft w:val="0"/>
      <w:marRight w:val="0"/>
      <w:marTop w:val="0"/>
      <w:marBottom w:val="0"/>
      <w:divBdr>
        <w:top w:val="none" w:sz="0" w:space="0" w:color="auto"/>
        <w:left w:val="none" w:sz="0" w:space="0" w:color="auto"/>
        <w:bottom w:val="none" w:sz="0" w:space="0" w:color="auto"/>
        <w:right w:val="none" w:sz="0" w:space="0" w:color="auto"/>
      </w:divBdr>
    </w:div>
    <w:div w:id="399061938">
      <w:bodyDiv w:val="1"/>
      <w:marLeft w:val="0"/>
      <w:marRight w:val="0"/>
      <w:marTop w:val="0"/>
      <w:marBottom w:val="0"/>
      <w:divBdr>
        <w:top w:val="none" w:sz="0" w:space="0" w:color="auto"/>
        <w:left w:val="none" w:sz="0" w:space="0" w:color="auto"/>
        <w:bottom w:val="none" w:sz="0" w:space="0" w:color="auto"/>
        <w:right w:val="none" w:sz="0" w:space="0" w:color="auto"/>
      </w:divBdr>
    </w:div>
    <w:div w:id="400178848">
      <w:bodyDiv w:val="1"/>
      <w:marLeft w:val="0"/>
      <w:marRight w:val="0"/>
      <w:marTop w:val="0"/>
      <w:marBottom w:val="0"/>
      <w:divBdr>
        <w:top w:val="none" w:sz="0" w:space="0" w:color="auto"/>
        <w:left w:val="none" w:sz="0" w:space="0" w:color="auto"/>
        <w:bottom w:val="none" w:sz="0" w:space="0" w:color="auto"/>
        <w:right w:val="none" w:sz="0" w:space="0" w:color="auto"/>
      </w:divBdr>
    </w:div>
    <w:div w:id="400569338">
      <w:bodyDiv w:val="1"/>
      <w:marLeft w:val="0"/>
      <w:marRight w:val="0"/>
      <w:marTop w:val="0"/>
      <w:marBottom w:val="0"/>
      <w:divBdr>
        <w:top w:val="none" w:sz="0" w:space="0" w:color="auto"/>
        <w:left w:val="none" w:sz="0" w:space="0" w:color="auto"/>
        <w:bottom w:val="none" w:sz="0" w:space="0" w:color="auto"/>
        <w:right w:val="none" w:sz="0" w:space="0" w:color="auto"/>
      </w:divBdr>
    </w:div>
    <w:div w:id="400837662">
      <w:bodyDiv w:val="1"/>
      <w:marLeft w:val="0"/>
      <w:marRight w:val="0"/>
      <w:marTop w:val="0"/>
      <w:marBottom w:val="0"/>
      <w:divBdr>
        <w:top w:val="none" w:sz="0" w:space="0" w:color="auto"/>
        <w:left w:val="none" w:sz="0" w:space="0" w:color="auto"/>
        <w:bottom w:val="none" w:sz="0" w:space="0" w:color="auto"/>
        <w:right w:val="none" w:sz="0" w:space="0" w:color="auto"/>
      </w:divBdr>
    </w:div>
    <w:div w:id="409278998">
      <w:bodyDiv w:val="1"/>
      <w:marLeft w:val="0"/>
      <w:marRight w:val="0"/>
      <w:marTop w:val="0"/>
      <w:marBottom w:val="0"/>
      <w:divBdr>
        <w:top w:val="none" w:sz="0" w:space="0" w:color="auto"/>
        <w:left w:val="none" w:sz="0" w:space="0" w:color="auto"/>
        <w:bottom w:val="none" w:sz="0" w:space="0" w:color="auto"/>
        <w:right w:val="none" w:sz="0" w:space="0" w:color="auto"/>
      </w:divBdr>
    </w:div>
    <w:div w:id="421414799">
      <w:bodyDiv w:val="1"/>
      <w:marLeft w:val="0"/>
      <w:marRight w:val="0"/>
      <w:marTop w:val="0"/>
      <w:marBottom w:val="0"/>
      <w:divBdr>
        <w:top w:val="none" w:sz="0" w:space="0" w:color="auto"/>
        <w:left w:val="none" w:sz="0" w:space="0" w:color="auto"/>
        <w:bottom w:val="none" w:sz="0" w:space="0" w:color="auto"/>
        <w:right w:val="none" w:sz="0" w:space="0" w:color="auto"/>
      </w:divBdr>
    </w:div>
    <w:div w:id="422798814">
      <w:bodyDiv w:val="1"/>
      <w:marLeft w:val="0"/>
      <w:marRight w:val="0"/>
      <w:marTop w:val="0"/>
      <w:marBottom w:val="0"/>
      <w:divBdr>
        <w:top w:val="none" w:sz="0" w:space="0" w:color="auto"/>
        <w:left w:val="none" w:sz="0" w:space="0" w:color="auto"/>
        <w:bottom w:val="none" w:sz="0" w:space="0" w:color="auto"/>
        <w:right w:val="none" w:sz="0" w:space="0" w:color="auto"/>
      </w:divBdr>
    </w:div>
    <w:div w:id="424956973">
      <w:bodyDiv w:val="1"/>
      <w:marLeft w:val="0"/>
      <w:marRight w:val="0"/>
      <w:marTop w:val="0"/>
      <w:marBottom w:val="0"/>
      <w:divBdr>
        <w:top w:val="none" w:sz="0" w:space="0" w:color="auto"/>
        <w:left w:val="none" w:sz="0" w:space="0" w:color="auto"/>
        <w:bottom w:val="none" w:sz="0" w:space="0" w:color="auto"/>
        <w:right w:val="none" w:sz="0" w:space="0" w:color="auto"/>
      </w:divBdr>
    </w:div>
    <w:div w:id="425346389">
      <w:bodyDiv w:val="1"/>
      <w:marLeft w:val="0"/>
      <w:marRight w:val="0"/>
      <w:marTop w:val="0"/>
      <w:marBottom w:val="0"/>
      <w:divBdr>
        <w:top w:val="none" w:sz="0" w:space="0" w:color="auto"/>
        <w:left w:val="none" w:sz="0" w:space="0" w:color="auto"/>
        <w:bottom w:val="none" w:sz="0" w:space="0" w:color="auto"/>
        <w:right w:val="none" w:sz="0" w:space="0" w:color="auto"/>
      </w:divBdr>
    </w:div>
    <w:div w:id="429590442">
      <w:bodyDiv w:val="1"/>
      <w:marLeft w:val="0"/>
      <w:marRight w:val="0"/>
      <w:marTop w:val="0"/>
      <w:marBottom w:val="0"/>
      <w:divBdr>
        <w:top w:val="none" w:sz="0" w:space="0" w:color="auto"/>
        <w:left w:val="none" w:sz="0" w:space="0" w:color="auto"/>
        <w:bottom w:val="none" w:sz="0" w:space="0" w:color="auto"/>
        <w:right w:val="none" w:sz="0" w:space="0" w:color="auto"/>
      </w:divBdr>
    </w:div>
    <w:div w:id="437718786">
      <w:bodyDiv w:val="1"/>
      <w:marLeft w:val="0"/>
      <w:marRight w:val="0"/>
      <w:marTop w:val="0"/>
      <w:marBottom w:val="0"/>
      <w:divBdr>
        <w:top w:val="none" w:sz="0" w:space="0" w:color="auto"/>
        <w:left w:val="none" w:sz="0" w:space="0" w:color="auto"/>
        <w:bottom w:val="none" w:sz="0" w:space="0" w:color="auto"/>
        <w:right w:val="none" w:sz="0" w:space="0" w:color="auto"/>
      </w:divBdr>
    </w:div>
    <w:div w:id="438381607">
      <w:bodyDiv w:val="1"/>
      <w:marLeft w:val="0"/>
      <w:marRight w:val="0"/>
      <w:marTop w:val="0"/>
      <w:marBottom w:val="0"/>
      <w:divBdr>
        <w:top w:val="none" w:sz="0" w:space="0" w:color="auto"/>
        <w:left w:val="none" w:sz="0" w:space="0" w:color="auto"/>
        <w:bottom w:val="none" w:sz="0" w:space="0" w:color="auto"/>
        <w:right w:val="none" w:sz="0" w:space="0" w:color="auto"/>
      </w:divBdr>
    </w:div>
    <w:div w:id="443691880">
      <w:bodyDiv w:val="1"/>
      <w:marLeft w:val="0"/>
      <w:marRight w:val="0"/>
      <w:marTop w:val="0"/>
      <w:marBottom w:val="0"/>
      <w:divBdr>
        <w:top w:val="none" w:sz="0" w:space="0" w:color="auto"/>
        <w:left w:val="none" w:sz="0" w:space="0" w:color="auto"/>
        <w:bottom w:val="none" w:sz="0" w:space="0" w:color="auto"/>
        <w:right w:val="none" w:sz="0" w:space="0" w:color="auto"/>
      </w:divBdr>
    </w:div>
    <w:div w:id="443891278">
      <w:bodyDiv w:val="1"/>
      <w:marLeft w:val="0"/>
      <w:marRight w:val="0"/>
      <w:marTop w:val="0"/>
      <w:marBottom w:val="0"/>
      <w:divBdr>
        <w:top w:val="none" w:sz="0" w:space="0" w:color="auto"/>
        <w:left w:val="none" w:sz="0" w:space="0" w:color="auto"/>
        <w:bottom w:val="none" w:sz="0" w:space="0" w:color="auto"/>
        <w:right w:val="none" w:sz="0" w:space="0" w:color="auto"/>
      </w:divBdr>
    </w:div>
    <w:div w:id="445196785">
      <w:bodyDiv w:val="1"/>
      <w:marLeft w:val="0"/>
      <w:marRight w:val="0"/>
      <w:marTop w:val="0"/>
      <w:marBottom w:val="0"/>
      <w:divBdr>
        <w:top w:val="none" w:sz="0" w:space="0" w:color="auto"/>
        <w:left w:val="none" w:sz="0" w:space="0" w:color="auto"/>
        <w:bottom w:val="none" w:sz="0" w:space="0" w:color="auto"/>
        <w:right w:val="none" w:sz="0" w:space="0" w:color="auto"/>
      </w:divBdr>
    </w:div>
    <w:div w:id="447041484">
      <w:bodyDiv w:val="1"/>
      <w:marLeft w:val="0"/>
      <w:marRight w:val="0"/>
      <w:marTop w:val="0"/>
      <w:marBottom w:val="0"/>
      <w:divBdr>
        <w:top w:val="none" w:sz="0" w:space="0" w:color="auto"/>
        <w:left w:val="none" w:sz="0" w:space="0" w:color="auto"/>
        <w:bottom w:val="none" w:sz="0" w:space="0" w:color="auto"/>
        <w:right w:val="none" w:sz="0" w:space="0" w:color="auto"/>
      </w:divBdr>
    </w:div>
    <w:div w:id="447965533">
      <w:bodyDiv w:val="1"/>
      <w:marLeft w:val="0"/>
      <w:marRight w:val="0"/>
      <w:marTop w:val="0"/>
      <w:marBottom w:val="0"/>
      <w:divBdr>
        <w:top w:val="none" w:sz="0" w:space="0" w:color="auto"/>
        <w:left w:val="none" w:sz="0" w:space="0" w:color="auto"/>
        <w:bottom w:val="none" w:sz="0" w:space="0" w:color="auto"/>
        <w:right w:val="none" w:sz="0" w:space="0" w:color="auto"/>
      </w:divBdr>
    </w:div>
    <w:div w:id="450713767">
      <w:bodyDiv w:val="1"/>
      <w:marLeft w:val="0"/>
      <w:marRight w:val="0"/>
      <w:marTop w:val="0"/>
      <w:marBottom w:val="0"/>
      <w:divBdr>
        <w:top w:val="none" w:sz="0" w:space="0" w:color="auto"/>
        <w:left w:val="none" w:sz="0" w:space="0" w:color="auto"/>
        <w:bottom w:val="none" w:sz="0" w:space="0" w:color="auto"/>
        <w:right w:val="none" w:sz="0" w:space="0" w:color="auto"/>
      </w:divBdr>
    </w:div>
    <w:div w:id="451902066">
      <w:bodyDiv w:val="1"/>
      <w:marLeft w:val="0"/>
      <w:marRight w:val="0"/>
      <w:marTop w:val="0"/>
      <w:marBottom w:val="0"/>
      <w:divBdr>
        <w:top w:val="none" w:sz="0" w:space="0" w:color="auto"/>
        <w:left w:val="none" w:sz="0" w:space="0" w:color="auto"/>
        <w:bottom w:val="none" w:sz="0" w:space="0" w:color="auto"/>
        <w:right w:val="none" w:sz="0" w:space="0" w:color="auto"/>
      </w:divBdr>
    </w:div>
    <w:div w:id="452752967">
      <w:bodyDiv w:val="1"/>
      <w:marLeft w:val="0"/>
      <w:marRight w:val="0"/>
      <w:marTop w:val="0"/>
      <w:marBottom w:val="0"/>
      <w:divBdr>
        <w:top w:val="none" w:sz="0" w:space="0" w:color="auto"/>
        <w:left w:val="none" w:sz="0" w:space="0" w:color="auto"/>
        <w:bottom w:val="none" w:sz="0" w:space="0" w:color="auto"/>
        <w:right w:val="none" w:sz="0" w:space="0" w:color="auto"/>
      </w:divBdr>
    </w:div>
    <w:div w:id="454449551">
      <w:bodyDiv w:val="1"/>
      <w:marLeft w:val="0"/>
      <w:marRight w:val="0"/>
      <w:marTop w:val="0"/>
      <w:marBottom w:val="0"/>
      <w:divBdr>
        <w:top w:val="none" w:sz="0" w:space="0" w:color="auto"/>
        <w:left w:val="none" w:sz="0" w:space="0" w:color="auto"/>
        <w:bottom w:val="none" w:sz="0" w:space="0" w:color="auto"/>
        <w:right w:val="none" w:sz="0" w:space="0" w:color="auto"/>
      </w:divBdr>
    </w:div>
    <w:div w:id="454521427">
      <w:bodyDiv w:val="1"/>
      <w:marLeft w:val="0"/>
      <w:marRight w:val="0"/>
      <w:marTop w:val="0"/>
      <w:marBottom w:val="0"/>
      <w:divBdr>
        <w:top w:val="none" w:sz="0" w:space="0" w:color="auto"/>
        <w:left w:val="none" w:sz="0" w:space="0" w:color="auto"/>
        <w:bottom w:val="none" w:sz="0" w:space="0" w:color="auto"/>
        <w:right w:val="none" w:sz="0" w:space="0" w:color="auto"/>
      </w:divBdr>
    </w:div>
    <w:div w:id="458033911">
      <w:bodyDiv w:val="1"/>
      <w:marLeft w:val="0"/>
      <w:marRight w:val="0"/>
      <w:marTop w:val="0"/>
      <w:marBottom w:val="0"/>
      <w:divBdr>
        <w:top w:val="none" w:sz="0" w:space="0" w:color="auto"/>
        <w:left w:val="none" w:sz="0" w:space="0" w:color="auto"/>
        <w:bottom w:val="none" w:sz="0" w:space="0" w:color="auto"/>
        <w:right w:val="none" w:sz="0" w:space="0" w:color="auto"/>
      </w:divBdr>
    </w:div>
    <w:div w:id="459108574">
      <w:bodyDiv w:val="1"/>
      <w:marLeft w:val="0"/>
      <w:marRight w:val="0"/>
      <w:marTop w:val="0"/>
      <w:marBottom w:val="0"/>
      <w:divBdr>
        <w:top w:val="none" w:sz="0" w:space="0" w:color="auto"/>
        <w:left w:val="none" w:sz="0" w:space="0" w:color="auto"/>
        <w:bottom w:val="none" w:sz="0" w:space="0" w:color="auto"/>
        <w:right w:val="none" w:sz="0" w:space="0" w:color="auto"/>
      </w:divBdr>
    </w:div>
    <w:div w:id="462383267">
      <w:bodyDiv w:val="1"/>
      <w:marLeft w:val="0"/>
      <w:marRight w:val="0"/>
      <w:marTop w:val="0"/>
      <w:marBottom w:val="0"/>
      <w:divBdr>
        <w:top w:val="none" w:sz="0" w:space="0" w:color="auto"/>
        <w:left w:val="none" w:sz="0" w:space="0" w:color="auto"/>
        <w:bottom w:val="none" w:sz="0" w:space="0" w:color="auto"/>
        <w:right w:val="none" w:sz="0" w:space="0" w:color="auto"/>
      </w:divBdr>
    </w:div>
    <w:div w:id="463432771">
      <w:bodyDiv w:val="1"/>
      <w:marLeft w:val="0"/>
      <w:marRight w:val="0"/>
      <w:marTop w:val="0"/>
      <w:marBottom w:val="0"/>
      <w:divBdr>
        <w:top w:val="none" w:sz="0" w:space="0" w:color="auto"/>
        <w:left w:val="none" w:sz="0" w:space="0" w:color="auto"/>
        <w:bottom w:val="none" w:sz="0" w:space="0" w:color="auto"/>
        <w:right w:val="none" w:sz="0" w:space="0" w:color="auto"/>
      </w:divBdr>
    </w:div>
    <w:div w:id="470249443">
      <w:bodyDiv w:val="1"/>
      <w:marLeft w:val="0"/>
      <w:marRight w:val="0"/>
      <w:marTop w:val="0"/>
      <w:marBottom w:val="0"/>
      <w:divBdr>
        <w:top w:val="none" w:sz="0" w:space="0" w:color="auto"/>
        <w:left w:val="none" w:sz="0" w:space="0" w:color="auto"/>
        <w:bottom w:val="none" w:sz="0" w:space="0" w:color="auto"/>
        <w:right w:val="none" w:sz="0" w:space="0" w:color="auto"/>
      </w:divBdr>
    </w:div>
    <w:div w:id="481429364">
      <w:bodyDiv w:val="1"/>
      <w:marLeft w:val="0"/>
      <w:marRight w:val="0"/>
      <w:marTop w:val="0"/>
      <w:marBottom w:val="0"/>
      <w:divBdr>
        <w:top w:val="none" w:sz="0" w:space="0" w:color="auto"/>
        <w:left w:val="none" w:sz="0" w:space="0" w:color="auto"/>
        <w:bottom w:val="none" w:sz="0" w:space="0" w:color="auto"/>
        <w:right w:val="none" w:sz="0" w:space="0" w:color="auto"/>
      </w:divBdr>
    </w:div>
    <w:div w:id="482743563">
      <w:bodyDiv w:val="1"/>
      <w:marLeft w:val="0"/>
      <w:marRight w:val="0"/>
      <w:marTop w:val="0"/>
      <w:marBottom w:val="0"/>
      <w:divBdr>
        <w:top w:val="none" w:sz="0" w:space="0" w:color="auto"/>
        <w:left w:val="none" w:sz="0" w:space="0" w:color="auto"/>
        <w:bottom w:val="none" w:sz="0" w:space="0" w:color="auto"/>
        <w:right w:val="none" w:sz="0" w:space="0" w:color="auto"/>
      </w:divBdr>
    </w:div>
    <w:div w:id="483089491">
      <w:bodyDiv w:val="1"/>
      <w:marLeft w:val="0"/>
      <w:marRight w:val="0"/>
      <w:marTop w:val="0"/>
      <w:marBottom w:val="0"/>
      <w:divBdr>
        <w:top w:val="none" w:sz="0" w:space="0" w:color="auto"/>
        <w:left w:val="none" w:sz="0" w:space="0" w:color="auto"/>
        <w:bottom w:val="none" w:sz="0" w:space="0" w:color="auto"/>
        <w:right w:val="none" w:sz="0" w:space="0" w:color="auto"/>
      </w:divBdr>
    </w:div>
    <w:div w:id="508563752">
      <w:bodyDiv w:val="1"/>
      <w:marLeft w:val="0"/>
      <w:marRight w:val="0"/>
      <w:marTop w:val="0"/>
      <w:marBottom w:val="0"/>
      <w:divBdr>
        <w:top w:val="none" w:sz="0" w:space="0" w:color="auto"/>
        <w:left w:val="none" w:sz="0" w:space="0" w:color="auto"/>
        <w:bottom w:val="none" w:sz="0" w:space="0" w:color="auto"/>
        <w:right w:val="none" w:sz="0" w:space="0" w:color="auto"/>
      </w:divBdr>
    </w:div>
    <w:div w:id="508719065">
      <w:bodyDiv w:val="1"/>
      <w:marLeft w:val="0"/>
      <w:marRight w:val="0"/>
      <w:marTop w:val="0"/>
      <w:marBottom w:val="0"/>
      <w:divBdr>
        <w:top w:val="none" w:sz="0" w:space="0" w:color="auto"/>
        <w:left w:val="none" w:sz="0" w:space="0" w:color="auto"/>
        <w:bottom w:val="none" w:sz="0" w:space="0" w:color="auto"/>
        <w:right w:val="none" w:sz="0" w:space="0" w:color="auto"/>
      </w:divBdr>
    </w:div>
    <w:div w:id="511841679">
      <w:bodyDiv w:val="1"/>
      <w:marLeft w:val="0"/>
      <w:marRight w:val="0"/>
      <w:marTop w:val="0"/>
      <w:marBottom w:val="0"/>
      <w:divBdr>
        <w:top w:val="none" w:sz="0" w:space="0" w:color="auto"/>
        <w:left w:val="none" w:sz="0" w:space="0" w:color="auto"/>
        <w:bottom w:val="none" w:sz="0" w:space="0" w:color="auto"/>
        <w:right w:val="none" w:sz="0" w:space="0" w:color="auto"/>
      </w:divBdr>
    </w:div>
    <w:div w:id="512258722">
      <w:bodyDiv w:val="1"/>
      <w:marLeft w:val="0"/>
      <w:marRight w:val="0"/>
      <w:marTop w:val="0"/>
      <w:marBottom w:val="0"/>
      <w:divBdr>
        <w:top w:val="none" w:sz="0" w:space="0" w:color="auto"/>
        <w:left w:val="none" w:sz="0" w:space="0" w:color="auto"/>
        <w:bottom w:val="none" w:sz="0" w:space="0" w:color="auto"/>
        <w:right w:val="none" w:sz="0" w:space="0" w:color="auto"/>
      </w:divBdr>
    </w:div>
    <w:div w:id="517547889">
      <w:bodyDiv w:val="1"/>
      <w:marLeft w:val="0"/>
      <w:marRight w:val="0"/>
      <w:marTop w:val="0"/>
      <w:marBottom w:val="0"/>
      <w:divBdr>
        <w:top w:val="none" w:sz="0" w:space="0" w:color="auto"/>
        <w:left w:val="none" w:sz="0" w:space="0" w:color="auto"/>
        <w:bottom w:val="none" w:sz="0" w:space="0" w:color="auto"/>
        <w:right w:val="none" w:sz="0" w:space="0" w:color="auto"/>
      </w:divBdr>
    </w:div>
    <w:div w:id="517889207">
      <w:bodyDiv w:val="1"/>
      <w:marLeft w:val="0"/>
      <w:marRight w:val="0"/>
      <w:marTop w:val="0"/>
      <w:marBottom w:val="0"/>
      <w:divBdr>
        <w:top w:val="none" w:sz="0" w:space="0" w:color="auto"/>
        <w:left w:val="none" w:sz="0" w:space="0" w:color="auto"/>
        <w:bottom w:val="none" w:sz="0" w:space="0" w:color="auto"/>
        <w:right w:val="none" w:sz="0" w:space="0" w:color="auto"/>
      </w:divBdr>
    </w:div>
    <w:div w:id="520172171">
      <w:bodyDiv w:val="1"/>
      <w:marLeft w:val="0"/>
      <w:marRight w:val="0"/>
      <w:marTop w:val="0"/>
      <w:marBottom w:val="0"/>
      <w:divBdr>
        <w:top w:val="none" w:sz="0" w:space="0" w:color="auto"/>
        <w:left w:val="none" w:sz="0" w:space="0" w:color="auto"/>
        <w:bottom w:val="none" w:sz="0" w:space="0" w:color="auto"/>
        <w:right w:val="none" w:sz="0" w:space="0" w:color="auto"/>
      </w:divBdr>
    </w:div>
    <w:div w:id="530529804">
      <w:bodyDiv w:val="1"/>
      <w:marLeft w:val="0"/>
      <w:marRight w:val="0"/>
      <w:marTop w:val="0"/>
      <w:marBottom w:val="0"/>
      <w:divBdr>
        <w:top w:val="none" w:sz="0" w:space="0" w:color="auto"/>
        <w:left w:val="none" w:sz="0" w:space="0" w:color="auto"/>
        <w:bottom w:val="none" w:sz="0" w:space="0" w:color="auto"/>
        <w:right w:val="none" w:sz="0" w:space="0" w:color="auto"/>
      </w:divBdr>
    </w:div>
    <w:div w:id="533076138">
      <w:bodyDiv w:val="1"/>
      <w:marLeft w:val="0"/>
      <w:marRight w:val="0"/>
      <w:marTop w:val="0"/>
      <w:marBottom w:val="0"/>
      <w:divBdr>
        <w:top w:val="none" w:sz="0" w:space="0" w:color="auto"/>
        <w:left w:val="none" w:sz="0" w:space="0" w:color="auto"/>
        <w:bottom w:val="none" w:sz="0" w:space="0" w:color="auto"/>
        <w:right w:val="none" w:sz="0" w:space="0" w:color="auto"/>
      </w:divBdr>
    </w:div>
    <w:div w:id="533422509">
      <w:bodyDiv w:val="1"/>
      <w:marLeft w:val="0"/>
      <w:marRight w:val="0"/>
      <w:marTop w:val="0"/>
      <w:marBottom w:val="0"/>
      <w:divBdr>
        <w:top w:val="none" w:sz="0" w:space="0" w:color="auto"/>
        <w:left w:val="none" w:sz="0" w:space="0" w:color="auto"/>
        <w:bottom w:val="none" w:sz="0" w:space="0" w:color="auto"/>
        <w:right w:val="none" w:sz="0" w:space="0" w:color="auto"/>
      </w:divBdr>
    </w:div>
    <w:div w:id="533925491">
      <w:bodyDiv w:val="1"/>
      <w:marLeft w:val="0"/>
      <w:marRight w:val="0"/>
      <w:marTop w:val="0"/>
      <w:marBottom w:val="0"/>
      <w:divBdr>
        <w:top w:val="none" w:sz="0" w:space="0" w:color="auto"/>
        <w:left w:val="none" w:sz="0" w:space="0" w:color="auto"/>
        <w:bottom w:val="none" w:sz="0" w:space="0" w:color="auto"/>
        <w:right w:val="none" w:sz="0" w:space="0" w:color="auto"/>
      </w:divBdr>
    </w:div>
    <w:div w:id="537204396">
      <w:bodyDiv w:val="1"/>
      <w:marLeft w:val="0"/>
      <w:marRight w:val="0"/>
      <w:marTop w:val="0"/>
      <w:marBottom w:val="0"/>
      <w:divBdr>
        <w:top w:val="none" w:sz="0" w:space="0" w:color="auto"/>
        <w:left w:val="none" w:sz="0" w:space="0" w:color="auto"/>
        <w:bottom w:val="none" w:sz="0" w:space="0" w:color="auto"/>
        <w:right w:val="none" w:sz="0" w:space="0" w:color="auto"/>
      </w:divBdr>
    </w:div>
    <w:div w:id="540485147">
      <w:bodyDiv w:val="1"/>
      <w:marLeft w:val="0"/>
      <w:marRight w:val="0"/>
      <w:marTop w:val="0"/>
      <w:marBottom w:val="0"/>
      <w:divBdr>
        <w:top w:val="none" w:sz="0" w:space="0" w:color="auto"/>
        <w:left w:val="none" w:sz="0" w:space="0" w:color="auto"/>
        <w:bottom w:val="none" w:sz="0" w:space="0" w:color="auto"/>
        <w:right w:val="none" w:sz="0" w:space="0" w:color="auto"/>
      </w:divBdr>
    </w:div>
    <w:div w:id="541401549">
      <w:bodyDiv w:val="1"/>
      <w:marLeft w:val="0"/>
      <w:marRight w:val="0"/>
      <w:marTop w:val="0"/>
      <w:marBottom w:val="0"/>
      <w:divBdr>
        <w:top w:val="none" w:sz="0" w:space="0" w:color="auto"/>
        <w:left w:val="none" w:sz="0" w:space="0" w:color="auto"/>
        <w:bottom w:val="none" w:sz="0" w:space="0" w:color="auto"/>
        <w:right w:val="none" w:sz="0" w:space="0" w:color="auto"/>
      </w:divBdr>
    </w:div>
    <w:div w:id="550385211">
      <w:bodyDiv w:val="1"/>
      <w:marLeft w:val="0"/>
      <w:marRight w:val="0"/>
      <w:marTop w:val="0"/>
      <w:marBottom w:val="0"/>
      <w:divBdr>
        <w:top w:val="none" w:sz="0" w:space="0" w:color="auto"/>
        <w:left w:val="none" w:sz="0" w:space="0" w:color="auto"/>
        <w:bottom w:val="none" w:sz="0" w:space="0" w:color="auto"/>
        <w:right w:val="none" w:sz="0" w:space="0" w:color="auto"/>
      </w:divBdr>
    </w:div>
    <w:div w:id="550577794">
      <w:bodyDiv w:val="1"/>
      <w:marLeft w:val="0"/>
      <w:marRight w:val="0"/>
      <w:marTop w:val="0"/>
      <w:marBottom w:val="0"/>
      <w:divBdr>
        <w:top w:val="none" w:sz="0" w:space="0" w:color="auto"/>
        <w:left w:val="none" w:sz="0" w:space="0" w:color="auto"/>
        <w:bottom w:val="none" w:sz="0" w:space="0" w:color="auto"/>
        <w:right w:val="none" w:sz="0" w:space="0" w:color="auto"/>
      </w:divBdr>
    </w:div>
    <w:div w:id="551890023">
      <w:bodyDiv w:val="1"/>
      <w:marLeft w:val="0"/>
      <w:marRight w:val="0"/>
      <w:marTop w:val="0"/>
      <w:marBottom w:val="0"/>
      <w:divBdr>
        <w:top w:val="none" w:sz="0" w:space="0" w:color="auto"/>
        <w:left w:val="none" w:sz="0" w:space="0" w:color="auto"/>
        <w:bottom w:val="none" w:sz="0" w:space="0" w:color="auto"/>
        <w:right w:val="none" w:sz="0" w:space="0" w:color="auto"/>
      </w:divBdr>
    </w:div>
    <w:div w:id="563687764">
      <w:bodyDiv w:val="1"/>
      <w:marLeft w:val="0"/>
      <w:marRight w:val="0"/>
      <w:marTop w:val="0"/>
      <w:marBottom w:val="0"/>
      <w:divBdr>
        <w:top w:val="none" w:sz="0" w:space="0" w:color="auto"/>
        <w:left w:val="none" w:sz="0" w:space="0" w:color="auto"/>
        <w:bottom w:val="none" w:sz="0" w:space="0" w:color="auto"/>
        <w:right w:val="none" w:sz="0" w:space="0" w:color="auto"/>
      </w:divBdr>
    </w:div>
    <w:div w:id="564413315">
      <w:bodyDiv w:val="1"/>
      <w:marLeft w:val="0"/>
      <w:marRight w:val="0"/>
      <w:marTop w:val="0"/>
      <w:marBottom w:val="0"/>
      <w:divBdr>
        <w:top w:val="none" w:sz="0" w:space="0" w:color="auto"/>
        <w:left w:val="none" w:sz="0" w:space="0" w:color="auto"/>
        <w:bottom w:val="none" w:sz="0" w:space="0" w:color="auto"/>
        <w:right w:val="none" w:sz="0" w:space="0" w:color="auto"/>
      </w:divBdr>
    </w:div>
    <w:div w:id="569079177">
      <w:bodyDiv w:val="1"/>
      <w:marLeft w:val="0"/>
      <w:marRight w:val="0"/>
      <w:marTop w:val="0"/>
      <w:marBottom w:val="0"/>
      <w:divBdr>
        <w:top w:val="none" w:sz="0" w:space="0" w:color="auto"/>
        <w:left w:val="none" w:sz="0" w:space="0" w:color="auto"/>
        <w:bottom w:val="none" w:sz="0" w:space="0" w:color="auto"/>
        <w:right w:val="none" w:sz="0" w:space="0" w:color="auto"/>
      </w:divBdr>
    </w:div>
    <w:div w:id="569659502">
      <w:bodyDiv w:val="1"/>
      <w:marLeft w:val="0"/>
      <w:marRight w:val="0"/>
      <w:marTop w:val="0"/>
      <w:marBottom w:val="0"/>
      <w:divBdr>
        <w:top w:val="none" w:sz="0" w:space="0" w:color="auto"/>
        <w:left w:val="none" w:sz="0" w:space="0" w:color="auto"/>
        <w:bottom w:val="none" w:sz="0" w:space="0" w:color="auto"/>
        <w:right w:val="none" w:sz="0" w:space="0" w:color="auto"/>
      </w:divBdr>
    </w:div>
    <w:div w:id="570123549">
      <w:bodyDiv w:val="1"/>
      <w:marLeft w:val="0"/>
      <w:marRight w:val="0"/>
      <w:marTop w:val="0"/>
      <w:marBottom w:val="0"/>
      <w:divBdr>
        <w:top w:val="none" w:sz="0" w:space="0" w:color="auto"/>
        <w:left w:val="none" w:sz="0" w:space="0" w:color="auto"/>
        <w:bottom w:val="none" w:sz="0" w:space="0" w:color="auto"/>
        <w:right w:val="none" w:sz="0" w:space="0" w:color="auto"/>
      </w:divBdr>
    </w:div>
    <w:div w:id="570506462">
      <w:bodyDiv w:val="1"/>
      <w:marLeft w:val="0"/>
      <w:marRight w:val="0"/>
      <w:marTop w:val="0"/>
      <w:marBottom w:val="0"/>
      <w:divBdr>
        <w:top w:val="none" w:sz="0" w:space="0" w:color="auto"/>
        <w:left w:val="none" w:sz="0" w:space="0" w:color="auto"/>
        <w:bottom w:val="none" w:sz="0" w:space="0" w:color="auto"/>
        <w:right w:val="none" w:sz="0" w:space="0" w:color="auto"/>
      </w:divBdr>
    </w:div>
    <w:div w:id="575943802">
      <w:bodyDiv w:val="1"/>
      <w:marLeft w:val="0"/>
      <w:marRight w:val="0"/>
      <w:marTop w:val="0"/>
      <w:marBottom w:val="0"/>
      <w:divBdr>
        <w:top w:val="none" w:sz="0" w:space="0" w:color="auto"/>
        <w:left w:val="none" w:sz="0" w:space="0" w:color="auto"/>
        <w:bottom w:val="none" w:sz="0" w:space="0" w:color="auto"/>
        <w:right w:val="none" w:sz="0" w:space="0" w:color="auto"/>
      </w:divBdr>
    </w:div>
    <w:div w:id="580942497">
      <w:bodyDiv w:val="1"/>
      <w:marLeft w:val="0"/>
      <w:marRight w:val="0"/>
      <w:marTop w:val="0"/>
      <w:marBottom w:val="0"/>
      <w:divBdr>
        <w:top w:val="none" w:sz="0" w:space="0" w:color="auto"/>
        <w:left w:val="none" w:sz="0" w:space="0" w:color="auto"/>
        <w:bottom w:val="none" w:sz="0" w:space="0" w:color="auto"/>
        <w:right w:val="none" w:sz="0" w:space="0" w:color="auto"/>
      </w:divBdr>
    </w:div>
    <w:div w:id="581568880">
      <w:bodyDiv w:val="1"/>
      <w:marLeft w:val="0"/>
      <w:marRight w:val="0"/>
      <w:marTop w:val="0"/>
      <w:marBottom w:val="0"/>
      <w:divBdr>
        <w:top w:val="none" w:sz="0" w:space="0" w:color="auto"/>
        <w:left w:val="none" w:sz="0" w:space="0" w:color="auto"/>
        <w:bottom w:val="none" w:sz="0" w:space="0" w:color="auto"/>
        <w:right w:val="none" w:sz="0" w:space="0" w:color="auto"/>
      </w:divBdr>
    </w:div>
    <w:div w:id="584874192">
      <w:bodyDiv w:val="1"/>
      <w:marLeft w:val="0"/>
      <w:marRight w:val="0"/>
      <w:marTop w:val="0"/>
      <w:marBottom w:val="0"/>
      <w:divBdr>
        <w:top w:val="none" w:sz="0" w:space="0" w:color="auto"/>
        <w:left w:val="none" w:sz="0" w:space="0" w:color="auto"/>
        <w:bottom w:val="none" w:sz="0" w:space="0" w:color="auto"/>
        <w:right w:val="none" w:sz="0" w:space="0" w:color="auto"/>
      </w:divBdr>
    </w:div>
    <w:div w:id="586771897">
      <w:bodyDiv w:val="1"/>
      <w:marLeft w:val="0"/>
      <w:marRight w:val="0"/>
      <w:marTop w:val="0"/>
      <w:marBottom w:val="0"/>
      <w:divBdr>
        <w:top w:val="none" w:sz="0" w:space="0" w:color="auto"/>
        <w:left w:val="none" w:sz="0" w:space="0" w:color="auto"/>
        <w:bottom w:val="none" w:sz="0" w:space="0" w:color="auto"/>
        <w:right w:val="none" w:sz="0" w:space="0" w:color="auto"/>
      </w:divBdr>
    </w:div>
    <w:div w:id="595749041">
      <w:bodyDiv w:val="1"/>
      <w:marLeft w:val="0"/>
      <w:marRight w:val="0"/>
      <w:marTop w:val="0"/>
      <w:marBottom w:val="0"/>
      <w:divBdr>
        <w:top w:val="none" w:sz="0" w:space="0" w:color="auto"/>
        <w:left w:val="none" w:sz="0" w:space="0" w:color="auto"/>
        <w:bottom w:val="none" w:sz="0" w:space="0" w:color="auto"/>
        <w:right w:val="none" w:sz="0" w:space="0" w:color="auto"/>
      </w:divBdr>
    </w:div>
    <w:div w:id="600453360">
      <w:bodyDiv w:val="1"/>
      <w:marLeft w:val="0"/>
      <w:marRight w:val="0"/>
      <w:marTop w:val="0"/>
      <w:marBottom w:val="0"/>
      <w:divBdr>
        <w:top w:val="none" w:sz="0" w:space="0" w:color="auto"/>
        <w:left w:val="none" w:sz="0" w:space="0" w:color="auto"/>
        <w:bottom w:val="none" w:sz="0" w:space="0" w:color="auto"/>
        <w:right w:val="none" w:sz="0" w:space="0" w:color="auto"/>
      </w:divBdr>
    </w:div>
    <w:div w:id="610818662">
      <w:bodyDiv w:val="1"/>
      <w:marLeft w:val="0"/>
      <w:marRight w:val="0"/>
      <w:marTop w:val="0"/>
      <w:marBottom w:val="0"/>
      <w:divBdr>
        <w:top w:val="none" w:sz="0" w:space="0" w:color="auto"/>
        <w:left w:val="none" w:sz="0" w:space="0" w:color="auto"/>
        <w:bottom w:val="none" w:sz="0" w:space="0" w:color="auto"/>
        <w:right w:val="none" w:sz="0" w:space="0" w:color="auto"/>
      </w:divBdr>
    </w:div>
    <w:div w:id="610943374">
      <w:bodyDiv w:val="1"/>
      <w:marLeft w:val="0"/>
      <w:marRight w:val="0"/>
      <w:marTop w:val="0"/>
      <w:marBottom w:val="0"/>
      <w:divBdr>
        <w:top w:val="none" w:sz="0" w:space="0" w:color="auto"/>
        <w:left w:val="none" w:sz="0" w:space="0" w:color="auto"/>
        <w:bottom w:val="none" w:sz="0" w:space="0" w:color="auto"/>
        <w:right w:val="none" w:sz="0" w:space="0" w:color="auto"/>
      </w:divBdr>
    </w:div>
    <w:div w:id="612899871">
      <w:bodyDiv w:val="1"/>
      <w:marLeft w:val="0"/>
      <w:marRight w:val="0"/>
      <w:marTop w:val="0"/>
      <w:marBottom w:val="0"/>
      <w:divBdr>
        <w:top w:val="none" w:sz="0" w:space="0" w:color="auto"/>
        <w:left w:val="none" w:sz="0" w:space="0" w:color="auto"/>
        <w:bottom w:val="none" w:sz="0" w:space="0" w:color="auto"/>
        <w:right w:val="none" w:sz="0" w:space="0" w:color="auto"/>
      </w:divBdr>
    </w:div>
    <w:div w:id="620695882">
      <w:bodyDiv w:val="1"/>
      <w:marLeft w:val="0"/>
      <w:marRight w:val="0"/>
      <w:marTop w:val="0"/>
      <w:marBottom w:val="0"/>
      <w:divBdr>
        <w:top w:val="none" w:sz="0" w:space="0" w:color="auto"/>
        <w:left w:val="none" w:sz="0" w:space="0" w:color="auto"/>
        <w:bottom w:val="none" w:sz="0" w:space="0" w:color="auto"/>
        <w:right w:val="none" w:sz="0" w:space="0" w:color="auto"/>
      </w:divBdr>
    </w:div>
    <w:div w:id="622423236">
      <w:bodyDiv w:val="1"/>
      <w:marLeft w:val="0"/>
      <w:marRight w:val="0"/>
      <w:marTop w:val="0"/>
      <w:marBottom w:val="0"/>
      <w:divBdr>
        <w:top w:val="none" w:sz="0" w:space="0" w:color="auto"/>
        <w:left w:val="none" w:sz="0" w:space="0" w:color="auto"/>
        <w:bottom w:val="none" w:sz="0" w:space="0" w:color="auto"/>
        <w:right w:val="none" w:sz="0" w:space="0" w:color="auto"/>
      </w:divBdr>
    </w:div>
    <w:div w:id="627931932">
      <w:bodyDiv w:val="1"/>
      <w:marLeft w:val="0"/>
      <w:marRight w:val="0"/>
      <w:marTop w:val="0"/>
      <w:marBottom w:val="0"/>
      <w:divBdr>
        <w:top w:val="none" w:sz="0" w:space="0" w:color="auto"/>
        <w:left w:val="none" w:sz="0" w:space="0" w:color="auto"/>
        <w:bottom w:val="none" w:sz="0" w:space="0" w:color="auto"/>
        <w:right w:val="none" w:sz="0" w:space="0" w:color="auto"/>
      </w:divBdr>
    </w:div>
    <w:div w:id="628894874">
      <w:bodyDiv w:val="1"/>
      <w:marLeft w:val="0"/>
      <w:marRight w:val="0"/>
      <w:marTop w:val="0"/>
      <w:marBottom w:val="0"/>
      <w:divBdr>
        <w:top w:val="none" w:sz="0" w:space="0" w:color="auto"/>
        <w:left w:val="none" w:sz="0" w:space="0" w:color="auto"/>
        <w:bottom w:val="none" w:sz="0" w:space="0" w:color="auto"/>
        <w:right w:val="none" w:sz="0" w:space="0" w:color="auto"/>
      </w:divBdr>
    </w:div>
    <w:div w:id="629744882">
      <w:bodyDiv w:val="1"/>
      <w:marLeft w:val="0"/>
      <w:marRight w:val="0"/>
      <w:marTop w:val="0"/>
      <w:marBottom w:val="0"/>
      <w:divBdr>
        <w:top w:val="none" w:sz="0" w:space="0" w:color="auto"/>
        <w:left w:val="none" w:sz="0" w:space="0" w:color="auto"/>
        <w:bottom w:val="none" w:sz="0" w:space="0" w:color="auto"/>
        <w:right w:val="none" w:sz="0" w:space="0" w:color="auto"/>
      </w:divBdr>
    </w:div>
    <w:div w:id="636229973">
      <w:bodyDiv w:val="1"/>
      <w:marLeft w:val="0"/>
      <w:marRight w:val="0"/>
      <w:marTop w:val="0"/>
      <w:marBottom w:val="0"/>
      <w:divBdr>
        <w:top w:val="none" w:sz="0" w:space="0" w:color="auto"/>
        <w:left w:val="none" w:sz="0" w:space="0" w:color="auto"/>
        <w:bottom w:val="none" w:sz="0" w:space="0" w:color="auto"/>
        <w:right w:val="none" w:sz="0" w:space="0" w:color="auto"/>
      </w:divBdr>
    </w:div>
    <w:div w:id="637955695">
      <w:bodyDiv w:val="1"/>
      <w:marLeft w:val="0"/>
      <w:marRight w:val="0"/>
      <w:marTop w:val="0"/>
      <w:marBottom w:val="0"/>
      <w:divBdr>
        <w:top w:val="none" w:sz="0" w:space="0" w:color="auto"/>
        <w:left w:val="none" w:sz="0" w:space="0" w:color="auto"/>
        <w:bottom w:val="none" w:sz="0" w:space="0" w:color="auto"/>
        <w:right w:val="none" w:sz="0" w:space="0" w:color="auto"/>
      </w:divBdr>
    </w:div>
    <w:div w:id="640576150">
      <w:bodyDiv w:val="1"/>
      <w:marLeft w:val="0"/>
      <w:marRight w:val="0"/>
      <w:marTop w:val="0"/>
      <w:marBottom w:val="0"/>
      <w:divBdr>
        <w:top w:val="none" w:sz="0" w:space="0" w:color="auto"/>
        <w:left w:val="none" w:sz="0" w:space="0" w:color="auto"/>
        <w:bottom w:val="none" w:sz="0" w:space="0" w:color="auto"/>
        <w:right w:val="none" w:sz="0" w:space="0" w:color="auto"/>
      </w:divBdr>
    </w:div>
    <w:div w:id="641468459">
      <w:bodyDiv w:val="1"/>
      <w:marLeft w:val="0"/>
      <w:marRight w:val="0"/>
      <w:marTop w:val="0"/>
      <w:marBottom w:val="0"/>
      <w:divBdr>
        <w:top w:val="none" w:sz="0" w:space="0" w:color="auto"/>
        <w:left w:val="none" w:sz="0" w:space="0" w:color="auto"/>
        <w:bottom w:val="none" w:sz="0" w:space="0" w:color="auto"/>
        <w:right w:val="none" w:sz="0" w:space="0" w:color="auto"/>
      </w:divBdr>
    </w:div>
    <w:div w:id="644941954">
      <w:bodyDiv w:val="1"/>
      <w:marLeft w:val="0"/>
      <w:marRight w:val="0"/>
      <w:marTop w:val="0"/>
      <w:marBottom w:val="0"/>
      <w:divBdr>
        <w:top w:val="none" w:sz="0" w:space="0" w:color="auto"/>
        <w:left w:val="none" w:sz="0" w:space="0" w:color="auto"/>
        <w:bottom w:val="none" w:sz="0" w:space="0" w:color="auto"/>
        <w:right w:val="none" w:sz="0" w:space="0" w:color="auto"/>
      </w:divBdr>
    </w:div>
    <w:div w:id="649137406">
      <w:bodyDiv w:val="1"/>
      <w:marLeft w:val="0"/>
      <w:marRight w:val="0"/>
      <w:marTop w:val="0"/>
      <w:marBottom w:val="0"/>
      <w:divBdr>
        <w:top w:val="none" w:sz="0" w:space="0" w:color="auto"/>
        <w:left w:val="none" w:sz="0" w:space="0" w:color="auto"/>
        <w:bottom w:val="none" w:sz="0" w:space="0" w:color="auto"/>
        <w:right w:val="none" w:sz="0" w:space="0" w:color="auto"/>
      </w:divBdr>
    </w:div>
    <w:div w:id="650981496">
      <w:bodyDiv w:val="1"/>
      <w:marLeft w:val="0"/>
      <w:marRight w:val="0"/>
      <w:marTop w:val="0"/>
      <w:marBottom w:val="0"/>
      <w:divBdr>
        <w:top w:val="none" w:sz="0" w:space="0" w:color="auto"/>
        <w:left w:val="none" w:sz="0" w:space="0" w:color="auto"/>
        <w:bottom w:val="none" w:sz="0" w:space="0" w:color="auto"/>
        <w:right w:val="none" w:sz="0" w:space="0" w:color="auto"/>
      </w:divBdr>
    </w:div>
    <w:div w:id="655689354">
      <w:bodyDiv w:val="1"/>
      <w:marLeft w:val="0"/>
      <w:marRight w:val="0"/>
      <w:marTop w:val="0"/>
      <w:marBottom w:val="0"/>
      <w:divBdr>
        <w:top w:val="none" w:sz="0" w:space="0" w:color="auto"/>
        <w:left w:val="none" w:sz="0" w:space="0" w:color="auto"/>
        <w:bottom w:val="none" w:sz="0" w:space="0" w:color="auto"/>
        <w:right w:val="none" w:sz="0" w:space="0" w:color="auto"/>
      </w:divBdr>
    </w:div>
    <w:div w:id="658577154">
      <w:bodyDiv w:val="1"/>
      <w:marLeft w:val="0"/>
      <w:marRight w:val="0"/>
      <w:marTop w:val="0"/>
      <w:marBottom w:val="0"/>
      <w:divBdr>
        <w:top w:val="none" w:sz="0" w:space="0" w:color="auto"/>
        <w:left w:val="none" w:sz="0" w:space="0" w:color="auto"/>
        <w:bottom w:val="none" w:sz="0" w:space="0" w:color="auto"/>
        <w:right w:val="none" w:sz="0" w:space="0" w:color="auto"/>
      </w:divBdr>
    </w:div>
    <w:div w:id="658580638">
      <w:bodyDiv w:val="1"/>
      <w:marLeft w:val="0"/>
      <w:marRight w:val="0"/>
      <w:marTop w:val="0"/>
      <w:marBottom w:val="0"/>
      <w:divBdr>
        <w:top w:val="none" w:sz="0" w:space="0" w:color="auto"/>
        <w:left w:val="none" w:sz="0" w:space="0" w:color="auto"/>
        <w:bottom w:val="none" w:sz="0" w:space="0" w:color="auto"/>
        <w:right w:val="none" w:sz="0" w:space="0" w:color="auto"/>
      </w:divBdr>
    </w:div>
    <w:div w:id="660933475">
      <w:bodyDiv w:val="1"/>
      <w:marLeft w:val="0"/>
      <w:marRight w:val="0"/>
      <w:marTop w:val="0"/>
      <w:marBottom w:val="0"/>
      <w:divBdr>
        <w:top w:val="none" w:sz="0" w:space="0" w:color="auto"/>
        <w:left w:val="none" w:sz="0" w:space="0" w:color="auto"/>
        <w:bottom w:val="none" w:sz="0" w:space="0" w:color="auto"/>
        <w:right w:val="none" w:sz="0" w:space="0" w:color="auto"/>
      </w:divBdr>
    </w:div>
    <w:div w:id="664478192">
      <w:bodyDiv w:val="1"/>
      <w:marLeft w:val="0"/>
      <w:marRight w:val="0"/>
      <w:marTop w:val="0"/>
      <w:marBottom w:val="0"/>
      <w:divBdr>
        <w:top w:val="none" w:sz="0" w:space="0" w:color="auto"/>
        <w:left w:val="none" w:sz="0" w:space="0" w:color="auto"/>
        <w:bottom w:val="none" w:sz="0" w:space="0" w:color="auto"/>
        <w:right w:val="none" w:sz="0" w:space="0" w:color="auto"/>
      </w:divBdr>
    </w:div>
    <w:div w:id="668487671">
      <w:bodyDiv w:val="1"/>
      <w:marLeft w:val="0"/>
      <w:marRight w:val="0"/>
      <w:marTop w:val="0"/>
      <w:marBottom w:val="0"/>
      <w:divBdr>
        <w:top w:val="none" w:sz="0" w:space="0" w:color="auto"/>
        <w:left w:val="none" w:sz="0" w:space="0" w:color="auto"/>
        <w:bottom w:val="none" w:sz="0" w:space="0" w:color="auto"/>
        <w:right w:val="none" w:sz="0" w:space="0" w:color="auto"/>
      </w:divBdr>
    </w:div>
    <w:div w:id="673263454">
      <w:bodyDiv w:val="1"/>
      <w:marLeft w:val="0"/>
      <w:marRight w:val="0"/>
      <w:marTop w:val="0"/>
      <w:marBottom w:val="0"/>
      <w:divBdr>
        <w:top w:val="none" w:sz="0" w:space="0" w:color="auto"/>
        <w:left w:val="none" w:sz="0" w:space="0" w:color="auto"/>
        <w:bottom w:val="none" w:sz="0" w:space="0" w:color="auto"/>
        <w:right w:val="none" w:sz="0" w:space="0" w:color="auto"/>
      </w:divBdr>
    </w:div>
    <w:div w:id="673264082">
      <w:bodyDiv w:val="1"/>
      <w:marLeft w:val="0"/>
      <w:marRight w:val="0"/>
      <w:marTop w:val="0"/>
      <w:marBottom w:val="0"/>
      <w:divBdr>
        <w:top w:val="none" w:sz="0" w:space="0" w:color="auto"/>
        <w:left w:val="none" w:sz="0" w:space="0" w:color="auto"/>
        <w:bottom w:val="none" w:sz="0" w:space="0" w:color="auto"/>
        <w:right w:val="none" w:sz="0" w:space="0" w:color="auto"/>
      </w:divBdr>
    </w:div>
    <w:div w:id="680475188">
      <w:bodyDiv w:val="1"/>
      <w:marLeft w:val="0"/>
      <w:marRight w:val="0"/>
      <w:marTop w:val="0"/>
      <w:marBottom w:val="0"/>
      <w:divBdr>
        <w:top w:val="none" w:sz="0" w:space="0" w:color="auto"/>
        <w:left w:val="none" w:sz="0" w:space="0" w:color="auto"/>
        <w:bottom w:val="none" w:sz="0" w:space="0" w:color="auto"/>
        <w:right w:val="none" w:sz="0" w:space="0" w:color="auto"/>
      </w:divBdr>
    </w:div>
    <w:div w:id="682896720">
      <w:bodyDiv w:val="1"/>
      <w:marLeft w:val="0"/>
      <w:marRight w:val="0"/>
      <w:marTop w:val="0"/>
      <w:marBottom w:val="0"/>
      <w:divBdr>
        <w:top w:val="none" w:sz="0" w:space="0" w:color="auto"/>
        <w:left w:val="none" w:sz="0" w:space="0" w:color="auto"/>
        <w:bottom w:val="none" w:sz="0" w:space="0" w:color="auto"/>
        <w:right w:val="none" w:sz="0" w:space="0" w:color="auto"/>
      </w:divBdr>
    </w:div>
    <w:div w:id="684672264">
      <w:bodyDiv w:val="1"/>
      <w:marLeft w:val="0"/>
      <w:marRight w:val="0"/>
      <w:marTop w:val="0"/>
      <w:marBottom w:val="0"/>
      <w:divBdr>
        <w:top w:val="none" w:sz="0" w:space="0" w:color="auto"/>
        <w:left w:val="none" w:sz="0" w:space="0" w:color="auto"/>
        <w:bottom w:val="none" w:sz="0" w:space="0" w:color="auto"/>
        <w:right w:val="none" w:sz="0" w:space="0" w:color="auto"/>
      </w:divBdr>
    </w:div>
    <w:div w:id="686950722">
      <w:bodyDiv w:val="1"/>
      <w:marLeft w:val="0"/>
      <w:marRight w:val="0"/>
      <w:marTop w:val="0"/>
      <w:marBottom w:val="0"/>
      <w:divBdr>
        <w:top w:val="none" w:sz="0" w:space="0" w:color="auto"/>
        <w:left w:val="none" w:sz="0" w:space="0" w:color="auto"/>
        <w:bottom w:val="none" w:sz="0" w:space="0" w:color="auto"/>
        <w:right w:val="none" w:sz="0" w:space="0" w:color="auto"/>
      </w:divBdr>
    </w:div>
    <w:div w:id="687484479">
      <w:bodyDiv w:val="1"/>
      <w:marLeft w:val="0"/>
      <w:marRight w:val="0"/>
      <w:marTop w:val="0"/>
      <w:marBottom w:val="0"/>
      <w:divBdr>
        <w:top w:val="none" w:sz="0" w:space="0" w:color="auto"/>
        <w:left w:val="none" w:sz="0" w:space="0" w:color="auto"/>
        <w:bottom w:val="none" w:sz="0" w:space="0" w:color="auto"/>
        <w:right w:val="none" w:sz="0" w:space="0" w:color="auto"/>
      </w:divBdr>
    </w:div>
    <w:div w:id="688410309">
      <w:bodyDiv w:val="1"/>
      <w:marLeft w:val="0"/>
      <w:marRight w:val="0"/>
      <w:marTop w:val="0"/>
      <w:marBottom w:val="0"/>
      <w:divBdr>
        <w:top w:val="none" w:sz="0" w:space="0" w:color="auto"/>
        <w:left w:val="none" w:sz="0" w:space="0" w:color="auto"/>
        <w:bottom w:val="none" w:sz="0" w:space="0" w:color="auto"/>
        <w:right w:val="none" w:sz="0" w:space="0" w:color="auto"/>
      </w:divBdr>
    </w:div>
    <w:div w:id="688799689">
      <w:bodyDiv w:val="1"/>
      <w:marLeft w:val="0"/>
      <w:marRight w:val="0"/>
      <w:marTop w:val="0"/>
      <w:marBottom w:val="0"/>
      <w:divBdr>
        <w:top w:val="none" w:sz="0" w:space="0" w:color="auto"/>
        <w:left w:val="none" w:sz="0" w:space="0" w:color="auto"/>
        <w:bottom w:val="none" w:sz="0" w:space="0" w:color="auto"/>
        <w:right w:val="none" w:sz="0" w:space="0" w:color="auto"/>
      </w:divBdr>
    </w:div>
    <w:div w:id="691103966">
      <w:bodyDiv w:val="1"/>
      <w:marLeft w:val="0"/>
      <w:marRight w:val="0"/>
      <w:marTop w:val="0"/>
      <w:marBottom w:val="0"/>
      <w:divBdr>
        <w:top w:val="none" w:sz="0" w:space="0" w:color="auto"/>
        <w:left w:val="none" w:sz="0" w:space="0" w:color="auto"/>
        <w:bottom w:val="none" w:sz="0" w:space="0" w:color="auto"/>
        <w:right w:val="none" w:sz="0" w:space="0" w:color="auto"/>
      </w:divBdr>
    </w:div>
    <w:div w:id="691686565">
      <w:bodyDiv w:val="1"/>
      <w:marLeft w:val="0"/>
      <w:marRight w:val="0"/>
      <w:marTop w:val="0"/>
      <w:marBottom w:val="0"/>
      <w:divBdr>
        <w:top w:val="none" w:sz="0" w:space="0" w:color="auto"/>
        <w:left w:val="none" w:sz="0" w:space="0" w:color="auto"/>
        <w:bottom w:val="none" w:sz="0" w:space="0" w:color="auto"/>
        <w:right w:val="none" w:sz="0" w:space="0" w:color="auto"/>
      </w:divBdr>
    </w:div>
    <w:div w:id="700085598">
      <w:bodyDiv w:val="1"/>
      <w:marLeft w:val="0"/>
      <w:marRight w:val="0"/>
      <w:marTop w:val="0"/>
      <w:marBottom w:val="0"/>
      <w:divBdr>
        <w:top w:val="none" w:sz="0" w:space="0" w:color="auto"/>
        <w:left w:val="none" w:sz="0" w:space="0" w:color="auto"/>
        <w:bottom w:val="none" w:sz="0" w:space="0" w:color="auto"/>
        <w:right w:val="none" w:sz="0" w:space="0" w:color="auto"/>
      </w:divBdr>
    </w:div>
    <w:div w:id="702899555">
      <w:bodyDiv w:val="1"/>
      <w:marLeft w:val="0"/>
      <w:marRight w:val="0"/>
      <w:marTop w:val="0"/>
      <w:marBottom w:val="0"/>
      <w:divBdr>
        <w:top w:val="none" w:sz="0" w:space="0" w:color="auto"/>
        <w:left w:val="none" w:sz="0" w:space="0" w:color="auto"/>
        <w:bottom w:val="none" w:sz="0" w:space="0" w:color="auto"/>
        <w:right w:val="none" w:sz="0" w:space="0" w:color="auto"/>
      </w:divBdr>
    </w:div>
    <w:div w:id="706295158">
      <w:bodyDiv w:val="1"/>
      <w:marLeft w:val="0"/>
      <w:marRight w:val="0"/>
      <w:marTop w:val="0"/>
      <w:marBottom w:val="0"/>
      <w:divBdr>
        <w:top w:val="none" w:sz="0" w:space="0" w:color="auto"/>
        <w:left w:val="none" w:sz="0" w:space="0" w:color="auto"/>
        <w:bottom w:val="none" w:sz="0" w:space="0" w:color="auto"/>
        <w:right w:val="none" w:sz="0" w:space="0" w:color="auto"/>
      </w:divBdr>
    </w:div>
    <w:div w:id="706950848">
      <w:bodyDiv w:val="1"/>
      <w:marLeft w:val="0"/>
      <w:marRight w:val="0"/>
      <w:marTop w:val="0"/>
      <w:marBottom w:val="0"/>
      <w:divBdr>
        <w:top w:val="none" w:sz="0" w:space="0" w:color="auto"/>
        <w:left w:val="none" w:sz="0" w:space="0" w:color="auto"/>
        <w:bottom w:val="none" w:sz="0" w:space="0" w:color="auto"/>
        <w:right w:val="none" w:sz="0" w:space="0" w:color="auto"/>
      </w:divBdr>
    </w:div>
    <w:div w:id="707073210">
      <w:bodyDiv w:val="1"/>
      <w:marLeft w:val="0"/>
      <w:marRight w:val="0"/>
      <w:marTop w:val="0"/>
      <w:marBottom w:val="0"/>
      <w:divBdr>
        <w:top w:val="none" w:sz="0" w:space="0" w:color="auto"/>
        <w:left w:val="none" w:sz="0" w:space="0" w:color="auto"/>
        <w:bottom w:val="none" w:sz="0" w:space="0" w:color="auto"/>
        <w:right w:val="none" w:sz="0" w:space="0" w:color="auto"/>
      </w:divBdr>
    </w:div>
    <w:div w:id="707488140">
      <w:bodyDiv w:val="1"/>
      <w:marLeft w:val="0"/>
      <w:marRight w:val="0"/>
      <w:marTop w:val="0"/>
      <w:marBottom w:val="0"/>
      <w:divBdr>
        <w:top w:val="none" w:sz="0" w:space="0" w:color="auto"/>
        <w:left w:val="none" w:sz="0" w:space="0" w:color="auto"/>
        <w:bottom w:val="none" w:sz="0" w:space="0" w:color="auto"/>
        <w:right w:val="none" w:sz="0" w:space="0" w:color="auto"/>
      </w:divBdr>
    </w:div>
    <w:div w:id="711268476">
      <w:bodyDiv w:val="1"/>
      <w:marLeft w:val="0"/>
      <w:marRight w:val="0"/>
      <w:marTop w:val="0"/>
      <w:marBottom w:val="0"/>
      <w:divBdr>
        <w:top w:val="none" w:sz="0" w:space="0" w:color="auto"/>
        <w:left w:val="none" w:sz="0" w:space="0" w:color="auto"/>
        <w:bottom w:val="none" w:sz="0" w:space="0" w:color="auto"/>
        <w:right w:val="none" w:sz="0" w:space="0" w:color="auto"/>
      </w:divBdr>
    </w:div>
    <w:div w:id="714357411">
      <w:bodyDiv w:val="1"/>
      <w:marLeft w:val="0"/>
      <w:marRight w:val="0"/>
      <w:marTop w:val="0"/>
      <w:marBottom w:val="0"/>
      <w:divBdr>
        <w:top w:val="none" w:sz="0" w:space="0" w:color="auto"/>
        <w:left w:val="none" w:sz="0" w:space="0" w:color="auto"/>
        <w:bottom w:val="none" w:sz="0" w:space="0" w:color="auto"/>
        <w:right w:val="none" w:sz="0" w:space="0" w:color="auto"/>
      </w:divBdr>
    </w:div>
    <w:div w:id="732119380">
      <w:bodyDiv w:val="1"/>
      <w:marLeft w:val="0"/>
      <w:marRight w:val="0"/>
      <w:marTop w:val="0"/>
      <w:marBottom w:val="0"/>
      <w:divBdr>
        <w:top w:val="none" w:sz="0" w:space="0" w:color="auto"/>
        <w:left w:val="none" w:sz="0" w:space="0" w:color="auto"/>
        <w:bottom w:val="none" w:sz="0" w:space="0" w:color="auto"/>
        <w:right w:val="none" w:sz="0" w:space="0" w:color="auto"/>
      </w:divBdr>
    </w:div>
    <w:div w:id="732504602">
      <w:bodyDiv w:val="1"/>
      <w:marLeft w:val="0"/>
      <w:marRight w:val="0"/>
      <w:marTop w:val="0"/>
      <w:marBottom w:val="0"/>
      <w:divBdr>
        <w:top w:val="none" w:sz="0" w:space="0" w:color="auto"/>
        <w:left w:val="none" w:sz="0" w:space="0" w:color="auto"/>
        <w:bottom w:val="none" w:sz="0" w:space="0" w:color="auto"/>
        <w:right w:val="none" w:sz="0" w:space="0" w:color="auto"/>
      </w:divBdr>
    </w:div>
    <w:div w:id="735862906">
      <w:bodyDiv w:val="1"/>
      <w:marLeft w:val="0"/>
      <w:marRight w:val="0"/>
      <w:marTop w:val="0"/>
      <w:marBottom w:val="0"/>
      <w:divBdr>
        <w:top w:val="none" w:sz="0" w:space="0" w:color="auto"/>
        <w:left w:val="none" w:sz="0" w:space="0" w:color="auto"/>
        <w:bottom w:val="none" w:sz="0" w:space="0" w:color="auto"/>
        <w:right w:val="none" w:sz="0" w:space="0" w:color="auto"/>
      </w:divBdr>
    </w:div>
    <w:div w:id="745616694">
      <w:bodyDiv w:val="1"/>
      <w:marLeft w:val="0"/>
      <w:marRight w:val="0"/>
      <w:marTop w:val="0"/>
      <w:marBottom w:val="0"/>
      <w:divBdr>
        <w:top w:val="none" w:sz="0" w:space="0" w:color="auto"/>
        <w:left w:val="none" w:sz="0" w:space="0" w:color="auto"/>
        <w:bottom w:val="none" w:sz="0" w:space="0" w:color="auto"/>
        <w:right w:val="none" w:sz="0" w:space="0" w:color="auto"/>
      </w:divBdr>
    </w:div>
    <w:div w:id="748888838">
      <w:bodyDiv w:val="1"/>
      <w:marLeft w:val="0"/>
      <w:marRight w:val="0"/>
      <w:marTop w:val="0"/>
      <w:marBottom w:val="0"/>
      <w:divBdr>
        <w:top w:val="none" w:sz="0" w:space="0" w:color="auto"/>
        <w:left w:val="none" w:sz="0" w:space="0" w:color="auto"/>
        <w:bottom w:val="none" w:sz="0" w:space="0" w:color="auto"/>
        <w:right w:val="none" w:sz="0" w:space="0" w:color="auto"/>
      </w:divBdr>
    </w:div>
    <w:div w:id="750348315">
      <w:bodyDiv w:val="1"/>
      <w:marLeft w:val="0"/>
      <w:marRight w:val="0"/>
      <w:marTop w:val="0"/>
      <w:marBottom w:val="0"/>
      <w:divBdr>
        <w:top w:val="none" w:sz="0" w:space="0" w:color="auto"/>
        <w:left w:val="none" w:sz="0" w:space="0" w:color="auto"/>
        <w:bottom w:val="none" w:sz="0" w:space="0" w:color="auto"/>
        <w:right w:val="none" w:sz="0" w:space="0" w:color="auto"/>
      </w:divBdr>
    </w:div>
    <w:div w:id="757024469">
      <w:bodyDiv w:val="1"/>
      <w:marLeft w:val="0"/>
      <w:marRight w:val="0"/>
      <w:marTop w:val="0"/>
      <w:marBottom w:val="0"/>
      <w:divBdr>
        <w:top w:val="none" w:sz="0" w:space="0" w:color="auto"/>
        <w:left w:val="none" w:sz="0" w:space="0" w:color="auto"/>
        <w:bottom w:val="none" w:sz="0" w:space="0" w:color="auto"/>
        <w:right w:val="none" w:sz="0" w:space="0" w:color="auto"/>
      </w:divBdr>
    </w:div>
    <w:div w:id="759258729">
      <w:bodyDiv w:val="1"/>
      <w:marLeft w:val="0"/>
      <w:marRight w:val="0"/>
      <w:marTop w:val="0"/>
      <w:marBottom w:val="0"/>
      <w:divBdr>
        <w:top w:val="none" w:sz="0" w:space="0" w:color="auto"/>
        <w:left w:val="none" w:sz="0" w:space="0" w:color="auto"/>
        <w:bottom w:val="none" w:sz="0" w:space="0" w:color="auto"/>
        <w:right w:val="none" w:sz="0" w:space="0" w:color="auto"/>
      </w:divBdr>
    </w:div>
    <w:div w:id="759839321">
      <w:bodyDiv w:val="1"/>
      <w:marLeft w:val="0"/>
      <w:marRight w:val="0"/>
      <w:marTop w:val="0"/>
      <w:marBottom w:val="0"/>
      <w:divBdr>
        <w:top w:val="none" w:sz="0" w:space="0" w:color="auto"/>
        <w:left w:val="none" w:sz="0" w:space="0" w:color="auto"/>
        <w:bottom w:val="none" w:sz="0" w:space="0" w:color="auto"/>
        <w:right w:val="none" w:sz="0" w:space="0" w:color="auto"/>
      </w:divBdr>
    </w:div>
    <w:div w:id="762190754">
      <w:bodyDiv w:val="1"/>
      <w:marLeft w:val="0"/>
      <w:marRight w:val="0"/>
      <w:marTop w:val="0"/>
      <w:marBottom w:val="0"/>
      <w:divBdr>
        <w:top w:val="none" w:sz="0" w:space="0" w:color="auto"/>
        <w:left w:val="none" w:sz="0" w:space="0" w:color="auto"/>
        <w:bottom w:val="none" w:sz="0" w:space="0" w:color="auto"/>
        <w:right w:val="none" w:sz="0" w:space="0" w:color="auto"/>
      </w:divBdr>
    </w:div>
    <w:div w:id="770471154">
      <w:bodyDiv w:val="1"/>
      <w:marLeft w:val="0"/>
      <w:marRight w:val="0"/>
      <w:marTop w:val="0"/>
      <w:marBottom w:val="0"/>
      <w:divBdr>
        <w:top w:val="none" w:sz="0" w:space="0" w:color="auto"/>
        <w:left w:val="none" w:sz="0" w:space="0" w:color="auto"/>
        <w:bottom w:val="none" w:sz="0" w:space="0" w:color="auto"/>
        <w:right w:val="none" w:sz="0" w:space="0" w:color="auto"/>
      </w:divBdr>
    </w:div>
    <w:div w:id="774328436">
      <w:bodyDiv w:val="1"/>
      <w:marLeft w:val="0"/>
      <w:marRight w:val="0"/>
      <w:marTop w:val="0"/>
      <w:marBottom w:val="0"/>
      <w:divBdr>
        <w:top w:val="none" w:sz="0" w:space="0" w:color="auto"/>
        <w:left w:val="none" w:sz="0" w:space="0" w:color="auto"/>
        <w:bottom w:val="none" w:sz="0" w:space="0" w:color="auto"/>
        <w:right w:val="none" w:sz="0" w:space="0" w:color="auto"/>
      </w:divBdr>
    </w:div>
    <w:div w:id="781415973">
      <w:bodyDiv w:val="1"/>
      <w:marLeft w:val="0"/>
      <w:marRight w:val="0"/>
      <w:marTop w:val="0"/>
      <w:marBottom w:val="0"/>
      <w:divBdr>
        <w:top w:val="none" w:sz="0" w:space="0" w:color="auto"/>
        <w:left w:val="none" w:sz="0" w:space="0" w:color="auto"/>
        <w:bottom w:val="none" w:sz="0" w:space="0" w:color="auto"/>
        <w:right w:val="none" w:sz="0" w:space="0" w:color="auto"/>
      </w:divBdr>
    </w:div>
    <w:div w:id="786002886">
      <w:bodyDiv w:val="1"/>
      <w:marLeft w:val="0"/>
      <w:marRight w:val="0"/>
      <w:marTop w:val="0"/>
      <w:marBottom w:val="0"/>
      <w:divBdr>
        <w:top w:val="none" w:sz="0" w:space="0" w:color="auto"/>
        <w:left w:val="none" w:sz="0" w:space="0" w:color="auto"/>
        <w:bottom w:val="none" w:sz="0" w:space="0" w:color="auto"/>
        <w:right w:val="none" w:sz="0" w:space="0" w:color="auto"/>
      </w:divBdr>
    </w:div>
    <w:div w:id="787971717">
      <w:bodyDiv w:val="1"/>
      <w:marLeft w:val="0"/>
      <w:marRight w:val="0"/>
      <w:marTop w:val="0"/>
      <w:marBottom w:val="0"/>
      <w:divBdr>
        <w:top w:val="none" w:sz="0" w:space="0" w:color="auto"/>
        <w:left w:val="none" w:sz="0" w:space="0" w:color="auto"/>
        <w:bottom w:val="none" w:sz="0" w:space="0" w:color="auto"/>
        <w:right w:val="none" w:sz="0" w:space="0" w:color="auto"/>
      </w:divBdr>
    </w:div>
    <w:div w:id="788358146">
      <w:bodyDiv w:val="1"/>
      <w:marLeft w:val="0"/>
      <w:marRight w:val="0"/>
      <w:marTop w:val="0"/>
      <w:marBottom w:val="0"/>
      <w:divBdr>
        <w:top w:val="none" w:sz="0" w:space="0" w:color="auto"/>
        <w:left w:val="none" w:sz="0" w:space="0" w:color="auto"/>
        <w:bottom w:val="none" w:sz="0" w:space="0" w:color="auto"/>
        <w:right w:val="none" w:sz="0" w:space="0" w:color="auto"/>
      </w:divBdr>
    </w:div>
    <w:div w:id="788595870">
      <w:bodyDiv w:val="1"/>
      <w:marLeft w:val="0"/>
      <w:marRight w:val="0"/>
      <w:marTop w:val="0"/>
      <w:marBottom w:val="0"/>
      <w:divBdr>
        <w:top w:val="none" w:sz="0" w:space="0" w:color="auto"/>
        <w:left w:val="none" w:sz="0" w:space="0" w:color="auto"/>
        <w:bottom w:val="none" w:sz="0" w:space="0" w:color="auto"/>
        <w:right w:val="none" w:sz="0" w:space="0" w:color="auto"/>
      </w:divBdr>
    </w:div>
    <w:div w:id="788626111">
      <w:bodyDiv w:val="1"/>
      <w:marLeft w:val="0"/>
      <w:marRight w:val="0"/>
      <w:marTop w:val="0"/>
      <w:marBottom w:val="0"/>
      <w:divBdr>
        <w:top w:val="none" w:sz="0" w:space="0" w:color="auto"/>
        <w:left w:val="none" w:sz="0" w:space="0" w:color="auto"/>
        <w:bottom w:val="none" w:sz="0" w:space="0" w:color="auto"/>
        <w:right w:val="none" w:sz="0" w:space="0" w:color="auto"/>
      </w:divBdr>
    </w:div>
    <w:div w:id="793864788">
      <w:bodyDiv w:val="1"/>
      <w:marLeft w:val="0"/>
      <w:marRight w:val="0"/>
      <w:marTop w:val="0"/>
      <w:marBottom w:val="0"/>
      <w:divBdr>
        <w:top w:val="none" w:sz="0" w:space="0" w:color="auto"/>
        <w:left w:val="none" w:sz="0" w:space="0" w:color="auto"/>
        <w:bottom w:val="none" w:sz="0" w:space="0" w:color="auto"/>
        <w:right w:val="none" w:sz="0" w:space="0" w:color="auto"/>
      </w:divBdr>
    </w:div>
    <w:div w:id="795563719">
      <w:bodyDiv w:val="1"/>
      <w:marLeft w:val="0"/>
      <w:marRight w:val="0"/>
      <w:marTop w:val="0"/>
      <w:marBottom w:val="0"/>
      <w:divBdr>
        <w:top w:val="none" w:sz="0" w:space="0" w:color="auto"/>
        <w:left w:val="none" w:sz="0" w:space="0" w:color="auto"/>
        <w:bottom w:val="none" w:sz="0" w:space="0" w:color="auto"/>
        <w:right w:val="none" w:sz="0" w:space="0" w:color="auto"/>
      </w:divBdr>
    </w:div>
    <w:div w:id="799497141">
      <w:bodyDiv w:val="1"/>
      <w:marLeft w:val="0"/>
      <w:marRight w:val="0"/>
      <w:marTop w:val="0"/>
      <w:marBottom w:val="0"/>
      <w:divBdr>
        <w:top w:val="none" w:sz="0" w:space="0" w:color="auto"/>
        <w:left w:val="none" w:sz="0" w:space="0" w:color="auto"/>
        <w:bottom w:val="none" w:sz="0" w:space="0" w:color="auto"/>
        <w:right w:val="none" w:sz="0" w:space="0" w:color="auto"/>
      </w:divBdr>
    </w:div>
    <w:div w:id="801077569">
      <w:bodyDiv w:val="1"/>
      <w:marLeft w:val="0"/>
      <w:marRight w:val="0"/>
      <w:marTop w:val="0"/>
      <w:marBottom w:val="0"/>
      <w:divBdr>
        <w:top w:val="none" w:sz="0" w:space="0" w:color="auto"/>
        <w:left w:val="none" w:sz="0" w:space="0" w:color="auto"/>
        <w:bottom w:val="none" w:sz="0" w:space="0" w:color="auto"/>
        <w:right w:val="none" w:sz="0" w:space="0" w:color="auto"/>
      </w:divBdr>
    </w:div>
    <w:div w:id="807016422">
      <w:bodyDiv w:val="1"/>
      <w:marLeft w:val="0"/>
      <w:marRight w:val="0"/>
      <w:marTop w:val="0"/>
      <w:marBottom w:val="0"/>
      <w:divBdr>
        <w:top w:val="none" w:sz="0" w:space="0" w:color="auto"/>
        <w:left w:val="none" w:sz="0" w:space="0" w:color="auto"/>
        <w:bottom w:val="none" w:sz="0" w:space="0" w:color="auto"/>
        <w:right w:val="none" w:sz="0" w:space="0" w:color="auto"/>
      </w:divBdr>
    </w:div>
    <w:div w:id="807555217">
      <w:bodyDiv w:val="1"/>
      <w:marLeft w:val="0"/>
      <w:marRight w:val="0"/>
      <w:marTop w:val="0"/>
      <w:marBottom w:val="0"/>
      <w:divBdr>
        <w:top w:val="none" w:sz="0" w:space="0" w:color="auto"/>
        <w:left w:val="none" w:sz="0" w:space="0" w:color="auto"/>
        <w:bottom w:val="none" w:sz="0" w:space="0" w:color="auto"/>
        <w:right w:val="none" w:sz="0" w:space="0" w:color="auto"/>
      </w:divBdr>
    </w:div>
    <w:div w:id="809784275">
      <w:bodyDiv w:val="1"/>
      <w:marLeft w:val="0"/>
      <w:marRight w:val="0"/>
      <w:marTop w:val="0"/>
      <w:marBottom w:val="0"/>
      <w:divBdr>
        <w:top w:val="none" w:sz="0" w:space="0" w:color="auto"/>
        <w:left w:val="none" w:sz="0" w:space="0" w:color="auto"/>
        <w:bottom w:val="none" w:sz="0" w:space="0" w:color="auto"/>
        <w:right w:val="none" w:sz="0" w:space="0" w:color="auto"/>
      </w:divBdr>
    </w:div>
    <w:div w:id="814376958">
      <w:bodyDiv w:val="1"/>
      <w:marLeft w:val="0"/>
      <w:marRight w:val="0"/>
      <w:marTop w:val="0"/>
      <w:marBottom w:val="0"/>
      <w:divBdr>
        <w:top w:val="none" w:sz="0" w:space="0" w:color="auto"/>
        <w:left w:val="none" w:sz="0" w:space="0" w:color="auto"/>
        <w:bottom w:val="none" w:sz="0" w:space="0" w:color="auto"/>
        <w:right w:val="none" w:sz="0" w:space="0" w:color="auto"/>
      </w:divBdr>
    </w:div>
    <w:div w:id="820077310">
      <w:bodyDiv w:val="1"/>
      <w:marLeft w:val="0"/>
      <w:marRight w:val="0"/>
      <w:marTop w:val="0"/>
      <w:marBottom w:val="0"/>
      <w:divBdr>
        <w:top w:val="none" w:sz="0" w:space="0" w:color="auto"/>
        <w:left w:val="none" w:sz="0" w:space="0" w:color="auto"/>
        <w:bottom w:val="none" w:sz="0" w:space="0" w:color="auto"/>
        <w:right w:val="none" w:sz="0" w:space="0" w:color="auto"/>
      </w:divBdr>
    </w:div>
    <w:div w:id="821312401">
      <w:bodyDiv w:val="1"/>
      <w:marLeft w:val="0"/>
      <w:marRight w:val="0"/>
      <w:marTop w:val="0"/>
      <w:marBottom w:val="0"/>
      <w:divBdr>
        <w:top w:val="none" w:sz="0" w:space="0" w:color="auto"/>
        <w:left w:val="none" w:sz="0" w:space="0" w:color="auto"/>
        <w:bottom w:val="none" w:sz="0" w:space="0" w:color="auto"/>
        <w:right w:val="none" w:sz="0" w:space="0" w:color="auto"/>
      </w:divBdr>
    </w:div>
    <w:div w:id="821388415">
      <w:bodyDiv w:val="1"/>
      <w:marLeft w:val="0"/>
      <w:marRight w:val="0"/>
      <w:marTop w:val="0"/>
      <w:marBottom w:val="0"/>
      <w:divBdr>
        <w:top w:val="none" w:sz="0" w:space="0" w:color="auto"/>
        <w:left w:val="none" w:sz="0" w:space="0" w:color="auto"/>
        <w:bottom w:val="none" w:sz="0" w:space="0" w:color="auto"/>
        <w:right w:val="none" w:sz="0" w:space="0" w:color="auto"/>
      </w:divBdr>
    </w:div>
    <w:div w:id="822280374">
      <w:bodyDiv w:val="1"/>
      <w:marLeft w:val="0"/>
      <w:marRight w:val="0"/>
      <w:marTop w:val="0"/>
      <w:marBottom w:val="0"/>
      <w:divBdr>
        <w:top w:val="none" w:sz="0" w:space="0" w:color="auto"/>
        <w:left w:val="none" w:sz="0" w:space="0" w:color="auto"/>
        <w:bottom w:val="none" w:sz="0" w:space="0" w:color="auto"/>
        <w:right w:val="none" w:sz="0" w:space="0" w:color="auto"/>
      </w:divBdr>
    </w:div>
    <w:div w:id="826895945">
      <w:bodyDiv w:val="1"/>
      <w:marLeft w:val="0"/>
      <w:marRight w:val="0"/>
      <w:marTop w:val="0"/>
      <w:marBottom w:val="0"/>
      <w:divBdr>
        <w:top w:val="none" w:sz="0" w:space="0" w:color="auto"/>
        <w:left w:val="none" w:sz="0" w:space="0" w:color="auto"/>
        <w:bottom w:val="none" w:sz="0" w:space="0" w:color="auto"/>
        <w:right w:val="none" w:sz="0" w:space="0" w:color="auto"/>
      </w:divBdr>
    </w:div>
    <w:div w:id="828595827">
      <w:bodyDiv w:val="1"/>
      <w:marLeft w:val="0"/>
      <w:marRight w:val="0"/>
      <w:marTop w:val="0"/>
      <w:marBottom w:val="0"/>
      <w:divBdr>
        <w:top w:val="none" w:sz="0" w:space="0" w:color="auto"/>
        <w:left w:val="none" w:sz="0" w:space="0" w:color="auto"/>
        <w:bottom w:val="none" w:sz="0" w:space="0" w:color="auto"/>
        <w:right w:val="none" w:sz="0" w:space="0" w:color="auto"/>
      </w:divBdr>
    </w:div>
    <w:div w:id="830025605">
      <w:bodyDiv w:val="1"/>
      <w:marLeft w:val="0"/>
      <w:marRight w:val="0"/>
      <w:marTop w:val="0"/>
      <w:marBottom w:val="0"/>
      <w:divBdr>
        <w:top w:val="none" w:sz="0" w:space="0" w:color="auto"/>
        <w:left w:val="none" w:sz="0" w:space="0" w:color="auto"/>
        <w:bottom w:val="none" w:sz="0" w:space="0" w:color="auto"/>
        <w:right w:val="none" w:sz="0" w:space="0" w:color="auto"/>
      </w:divBdr>
    </w:div>
    <w:div w:id="830490707">
      <w:bodyDiv w:val="1"/>
      <w:marLeft w:val="0"/>
      <w:marRight w:val="0"/>
      <w:marTop w:val="0"/>
      <w:marBottom w:val="0"/>
      <w:divBdr>
        <w:top w:val="none" w:sz="0" w:space="0" w:color="auto"/>
        <w:left w:val="none" w:sz="0" w:space="0" w:color="auto"/>
        <w:bottom w:val="none" w:sz="0" w:space="0" w:color="auto"/>
        <w:right w:val="none" w:sz="0" w:space="0" w:color="auto"/>
      </w:divBdr>
    </w:div>
    <w:div w:id="832061341">
      <w:bodyDiv w:val="1"/>
      <w:marLeft w:val="0"/>
      <w:marRight w:val="0"/>
      <w:marTop w:val="0"/>
      <w:marBottom w:val="0"/>
      <w:divBdr>
        <w:top w:val="none" w:sz="0" w:space="0" w:color="auto"/>
        <w:left w:val="none" w:sz="0" w:space="0" w:color="auto"/>
        <w:bottom w:val="none" w:sz="0" w:space="0" w:color="auto"/>
        <w:right w:val="none" w:sz="0" w:space="0" w:color="auto"/>
      </w:divBdr>
    </w:div>
    <w:div w:id="839930170">
      <w:bodyDiv w:val="1"/>
      <w:marLeft w:val="0"/>
      <w:marRight w:val="0"/>
      <w:marTop w:val="0"/>
      <w:marBottom w:val="0"/>
      <w:divBdr>
        <w:top w:val="none" w:sz="0" w:space="0" w:color="auto"/>
        <w:left w:val="none" w:sz="0" w:space="0" w:color="auto"/>
        <w:bottom w:val="none" w:sz="0" w:space="0" w:color="auto"/>
        <w:right w:val="none" w:sz="0" w:space="0" w:color="auto"/>
      </w:divBdr>
    </w:div>
    <w:div w:id="840315013">
      <w:bodyDiv w:val="1"/>
      <w:marLeft w:val="0"/>
      <w:marRight w:val="0"/>
      <w:marTop w:val="0"/>
      <w:marBottom w:val="0"/>
      <w:divBdr>
        <w:top w:val="none" w:sz="0" w:space="0" w:color="auto"/>
        <w:left w:val="none" w:sz="0" w:space="0" w:color="auto"/>
        <w:bottom w:val="none" w:sz="0" w:space="0" w:color="auto"/>
        <w:right w:val="none" w:sz="0" w:space="0" w:color="auto"/>
      </w:divBdr>
    </w:div>
    <w:div w:id="848299599">
      <w:bodyDiv w:val="1"/>
      <w:marLeft w:val="0"/>
      <w:marRight w:val="0"/>
      <w:marTop w:val="0"/>
      <w:marBottom w:val="0"/>
      <w:divBdr>
        <w:top w:val="none" w:sz="0" w:space="0" w:color="auto"/>
        <w:left w:val="none" w:sz="0" w:space="0" w:color="auto"/>
        <w:bottom w:val="none" w:sz="0" w:space="0" w:color="auto"/>
        <w:right w:val="none" w:sz="0" w:space="0" w:color="auto"/>
      </w:divBdr>
    </w:div>
    <w:div w:id="849637572">
      <w:bodyDiv w:val="1"/>
      <w:marLeft w:val="0"/>
      <w:marRight w:val="0"/>
      <w:marTop w:val="0"/>
      <w:marBottom w:val="0"/>
      <w:divBdr>
        <w:top w:val="none" w:sz="0" w:space="0" w:color="auto"/>
        <w:left w:val="none" w:sz="0" w:space="0" w:color="auto"/>
        <w:bottom w:val="none" w:sz="0" w:space="0" w:color="auto"/>
        <w:right w:val="none" w:sz="0" w:space="0" w:color="auto"/>
      </w:divBdr>
    </w:div>
    <w:div w:id="872956446">
      <w:bodyDiv w:val="1"/>
      <w:marLeft w:val="0"/>
      <w:marRight w:val="0"/>
      <w:marTop w:val="0"/>
      <w:marBottom w:val="0"/>
      <w:divBdr>
        <w:top w:val="none" w:sz="0" w:space="0" w:color="auto"/>
        <w:left w:val="none" w:sz="0" w:space="0" w:color="auto"/>
        <w:bottom w:val="none" w:sz="0" w:space="0" w:color="auto"/>
        <w:right w:val="none" w:sz="0" w:space="0" w:color="auto"/>
      </w:divBdr>
    </w:div>
    <w:div w:id="872960203">
      <w:bodyDiv w:val="1"/>
      <w:marLeft w:val="0"/>
      <w:marRight w:val="0"/>
      <w:marTop w:val="0"/>
      <w:marBottom w:val="0"/>
      <w:divBdr>
        <w:top w:val="none" w:sz="0" w:space="0" w:color="auto"/>
        <w:left w:val="none" w:sz="0" w:space="0" w:color="auto"/>
        <w:bottom w:val="none" w:sz="0" w:space="0" w:color="auto"/>
        <w:right w:val="none" w:sz="0" w:space="0" w:color="auto"/>
      </w:divBdr>
    </w:div>
    <w:div w:id="890075357">
      <w:bodyDiv w:val="1"/>
      <w:marLeft w:val="0"/>
      <w:marRight w:val="0"/>
      <w:marTop w:val="0"/>
      <w:marBottom w:val="0"/>
      <w:divBdr>
        <w:top w:val="none" w:sz="0" w:space="0" w:color="auto"/>
        <w:left w:val="none" w:sz="0" w:space="0" w:color="auto"/>
        <w:bottom w:val="none" w:sz="0" w:space="0" w:color="auto"/>
        <w:right w:val="none" w:sz="0" w:space="0" w:color="auto"/>
      </w:divBdr>
    </w:div>
    <w:div w:id="895360074">
      <w:bodyDiv w:val="1"/>
      <w:marLeft w:val="0"/>
      <w:marRight w:val="0"/>
      <w:marTop w:val="0"/>
      <w:marBottom w:val="0"/>
      <w:divBdr>
        <w:top w:val="none" w:sz="0" w:space="0" w:color="auto"/>
        <w:left w:val="none" w:sz="0" w:space="0" w:color="auto"/>
        <w:bottom w:val="none" w:sz="0" w:space="0" w:color="auto"/>
        <w:right w:val="none" w:sz="0" w:space="0" w:color="auto"/>
      </w:divBdr>
    </w:div>
    <w:div w:id="896748523">
      <w:bodyDiv w:val="1"/>
      <w:marLeft w:val="0"/>
      <w:marRight w:val="0"/>
      <w:marTop w:val="0"/>
      <w:marBottom w:val="0"/>
      <w:divBdr>
        <w:top w:val="none" w:sz="0" w:space="0" w:color="auto"/>
        <w:left w:val="none" w:sz="0" w:space="0" w:color="auto"/>
        <w:bottom w:val="none" w:sz="0" w:space="0" w:color="auto"/>
        <w:right w:val="none" w:sz="0" w:space="0" w:color="auto"/>
      </w:divBdr>
    </w:div>
    <w:div w:id="897321622">
      <w:bodyDiv w:val="1"/>
      <w:marLeft w:val="0"/>
      <w:marRight w:val="0"/>
      <w:marTop w:val="0"/>
      <w:marBottom w:val="0"/>
      <w:divBdr>
        <w:top w:val="none" w:sz="0" w:space="0" w:color="auto"/>
        <w:left w:val="none" w:sz="0" w:space="0" w:color="auto"/>
        <w:bottom w:val="none" w:sz="0" w:space="0" w:color="auto"/>
        <w:right w:val="none" w:sz="0" w:space="0" w:color="auto"/>
      </w:divBdr>
    </w:div>
    <w:div w:id="898595726">
      <w:bodyDiv w:val="1"/>
      <w:marLeft w:val="0"/>
      <w:marRight w:val="0"/>
      <w:marTop w:val="0"/>
      <w:marBottom w:val="0"/>
      <w:divBdr>
        <w:top w:val="none" w:sz="0" w:space="0" w:color="auto"/>
        <w:left w:val="none" w:sz="0" w:space="0" w:color="auto"/>
        <w:bottom w:val="none" w:sz="0" w:space="0" w:color="auto"/>
        <w:right w:val="none" w:sz="0" w:space="0" w:color="auto"/>
      </w:divBdr>
    </w:div>
    <w:div w:id="902176772">
      <w:bodyDiv w:val="1"/>
      <w:marLeft w:val="0"/>
      <w:marRight w:val="0"/>
      <w:marTop w:val="0"/>
      <w:marBottom w:val="0"/>
      <w:divBdr>
        <w:top w:val="none" w:sz="0" w:space="0" w:color="auto"/>
        <w:left w:val="none" w:sz="0" w:space="0" w:color="auto"/>
        <w:bottom w:val="none" w:sz="0" w:space="0" w:color="auto"/>
        <w:right w:val="none" w:sz="0" w:space="0" w:color="auto"/>
      </w:divBdr>
    </w:div>
    <w:div w:id="902594127">
      <w:bodyDiv w:val="1"/>
      <w:marLeft w:val="0"/>
      <w:marRight w:val="0"/>
      <w:marTop w:val="0"/>
      <w:marBottom w:val="0"/>
      <w:divBdr>
        <w:top w:val="none" w:sz="0" w:space="0" w:color="auto"/>
        <w:left w:val="none" w:sz="0" w:space="0" w:color="auto"/>
        <w:bottom w:val="none" w:sz="0" w:space="0" w:color="auto"/>
        <w:right w:val="none" w:sz="0" w:space="0" w:color="auto"/>
      </w:divBdr>
    </w:div>
    <w:div w:id="907686575">
      <w:bodyDiv w:val="1"/>
      <w:marLeft w:val="0"/>
      <w:marRight w:val="0"/>
      <w:marTop w:val="0"/>
      <w:marBottom w:val="0"/>
      <w:divBdr>
        <w:top w:val="none" w:sz="0" w:space="0" w:color="auto"/>
        <w:left w:val="none" w:sz="0" w:space="0" w:color="auto"/>
        <w:bottom w:val="none" w:sz="0" w:space="0" w:color="auto"/>
        <w:right w:val="none" w:sz="0" w:space="0" w:color="auto"/>
      </w:divBdr>
    </w:div>
    <w:div w:id="909004093">
      <w:bodyDiv w:val="1"/>
      <w:marLeft w:val="0"/>
      <w:marRight w:val="0"/>
      <w:marTop w:val="0"/>
      <w:marBottom w:val="0"/>
      <w:divBdr>
        <w:top w:val="none" w:sz="0" w:space="0" w:color="auto"/>
        <w:left w:val="none" w:sz="0" w:space="0" w:color="auto"/>
        <w:bottom w:val="none" w:sz="0" w:space="0" w:color="auto"/>
        <w:right w:val="none" w:sz="0" w:space="0" w:color="auto"/>
      </w:divBdr>
    </w:div>
    <w:div w:id="910236813">
      <w:bodyDiv w:val="1"/>
      <w:marLeft w:val="0"/>
      <w:marRight w:val="0"/>
      <w:marTop w:val="0"/>
      <w:marBottom w:val="0"/>
      <w:divBdr>
        <w:top w:val="none" w:sz="0" w:space="0" w:color="auto"/>
        <w:left w:val="none" w:sz="0" w:space="0" w:color="auto"/>
        <w:bottom w:val="none" w:sz="0" w:space="0" w:color="auto"/>
        <w:right w:val="none" w:sz="0" w:space="0" w:color="auto"/>
      </w:divBdr>
    </w:div>
    <w:div w:id="911279205">
      <w:bodyDiv w:val="1"/>
      <w:marLeft w:val="0"/>
      <w:marRight w:val="0"/>
      <w:marTop w:val="0"/>
      <w:marBottom w:val="0"/>
      <w:divBdr>
        <w:top w:val="none" w:sz="0" w:space="0" w:color="auto"/>
        <w:left w:val="none" w:sz="0" w:space="0" w:color="auto"/>
        <w:bottom w:val="none" w:sz="0" w:space="0" w:color="auto"/>
        <w:right w:val="none" w:sz="0" w:space="0" w:color="auto"/>
      </w:divBdr>
    </w:div>
    <w:div w:id="911355839">
      <w:bodyDiv w:val="1"/>
      <w:marLeft w:val="0"/>
      <w:marRight w:val="0"/>
      <w:marTop w:val="0"/>
      <w:marBottom w:val="0"/>
      <w:divBdr>
        <w:top w:val="none" w:sz="0" w:space="0" w:color="auto"/>
        <w:left w:val="none" w:sz="0" w:space="0" w:color="auto"/>
        <w:bottom w:val="none" w:sz="0" w:space="0" w:color="auto"/>
        <w:right w:val="none" w:sz="0" w:space="0" w:color="auto"/>
      </w:divBdr>
    </w:div>
    <w:div w:id="911545956">
      <w:bodyDiv w:val="1"/>
      <w:marLeft w:val="0"/>
      <w:marRight w:val="0"/>
      <w:marTop w:val="0"/>
      <w:marBottom w:val="0"/>
      <w:divBdr>
        <w:top w:val="none" w:sz="0" w:space="0" w:color="auto"/>
        <w:left w:val="none" w:sz="0" w:space="0" w:color="auto"/>
        <w:bottom w:val="none" w:sz="0" w:space="0" w:color="auto"/>
        <w:right w:val="none" w:sz="0" w:space="0" w:color="auto"/>
      </w:divBdr>
    </w:div>
    <w:div w:id="920526994">
      <w:bodyDiv w:val="1"/>
      <w:marLeft w:val="0"/>
      <w:marRight w:val="0"/>
      <w:marTop w:val="0"/>
      <w:marBottom w:val="0"/>
      <w:divBdr>
        <w:top w:val="none" w:sz="0" w:space="0" w:color="auto"/>
        <w:left w:val="none" w:sz="0" w:space="0" w:color="auto"/>
        <w:bottom w:val="none" w:sz="0" w:space="0" w:color="auto"/>
        <w:right w:val="none" w:sz="0" w:space="0" w:color="auto"/>
      </w:divBdr>
    </w:div>
    <w:div w:id="925959203">
      <w:bodyDiv w:val="1"/>
      <w:marLeft w:val="0"/>
      <w:marRight w:val="0"/>
      <w:marTop w:val="0"/>
      <w:marBottom w:val="0"/>
      <w:divBdr>
        <w:top w:val="none" w:sz="0" w:space="0" w:color="auto"/>
        <w:left w:val="none" w:sz="0" w:space="0" w:color="auto"/>
        <w:bottom w:val="none" w:sz="0" w:space="0" w:color="auto"/>
        <w:right w:val="none" w:sz="0" w:space="0" w:color="auto"/>
      </w:divBdr>
    </w:div>
    <w:div w:id="932054598">
      <w:bodyDiv w:val="1"/>
      <w:marLeft w:val="0"/>
      <w:marRight w:val="0"/>
      <w:marTop w:val="0"/>
      <w:marBottom w:val="0"/>
      <w:divBdr>
        <w:top w:val="none" w:sz="0" w:space="0" w:color="auto"/>
        <w:left w:val="none" w:sz="0" w:space="0" w:color="auto"/>
        <w:bottom w:val="none" w:sz="0" w:space="0" w:color="auto"/>
        <w:right w:val="none" w:sz="0" w:space="0" w:color="auto"/>
      </w:divBdr>
    </w:div>
    <w:div w:id="935752035">
      <w:bodyDiv w:val="1"/>
      <w:marLeft w:val="0"/>
      <w:marRight w:val="0"/>
      <w:marTop w:val="0"/>
      <w:marBottom w:val="0"/>
      <w:divBdr>
        <w:top w:val="none" w:sz="0" w:space="0" w:color="auto"/>
        <w:left w:val="none" w:sz="0" w:space="0" w:color="auto"/>
        <w:bottom w:val="none" w:sz="0" w:space="0" w:color="auto"/>
        <w:right w:val="none" w:sz="0" w:space="0" w:color="auto"/>
      </w:divBdr>
    </w:div>
    <w:div w:id="944001819">
      <w:bodyDiv w:val="1"/>
      <w:marLeft w:val="0"/>
      <w:marRight w:val="0"/>
      <w:marTop w:val="0"/>
      <w:marBottom w:val="0"/>
      <w:divBdr>
        <w:top w:val="none" w:sz="0" w:space="0" w:color="auto"/>
        <w:left w:val="none" w:sz="0" w:space="0" w:color="auto"/>
        <w:bottom w:val="none" w:sz="0" w:space="0" w:color="auto"/>
        <w:right w:val="none" w:sz="0" w:space="0" w:color="auto"/>
      </w:divBdr>
    </w:div>
    <w:div w:id="944270345">
      <w:bodyDiv w:val="1"/>
      <w:marLeft w:val="0"/>
      <w:marRight w:val="0"/>
      <w:marTop w:val="0"/>
      <w:marBottom w:val="0"/>
      <w:divBdr>
        <w:top w:val="none" w:sz="0" w:space="0" w:color="auto"/>
        <w:left w:val="none" w:sz="0" w:space="0" w:color="auto"/>
        <w:bottom w:val="none" w:sz="0" w:space="0" w:color="auto"/>
        <w:right w:val="none" w:sz="0" w:space="0" w:color="auto"/>
      </w:divBdr>
    </w:div>
    <w:div w:id="946038591">
      <w:bodyDiv w:val="1"/>
      <w:marLeft w:val="0"/>
      <w:marRight w:val="0"/>
      <w:marTop w:val="0"/>
      <w:marBottom w:val="0"/>
      <w:divBdr>
        <w:top w:val="none" w:sz="0" w:space="0" w:color="auto"/>
        <w:left w:val="none" w:sz="0" w:space="0" w:color="auto"/>
        <w:bottom w:val="none" w:sz="0" w:space="0" w:color="auto"/>
        <w:right w:val="none" w:sz="0" w:space="0" w:color="auto"/>
      </w:divBdr>
    </w:div>
    <w:div w:id="951669929">
      <w:bodyDiv w:val="1"/>
      <w:marLeft w:val="0"/>
      <w:marRight w:val="0"/>
      <w:marTop w:val="0"/>
      <w:marBottom w:val="0"/>
      <w:divBdr>
        <w:top w:val="none" w:sz="0" w:space="0" w:color="auto"/>
        <w:left w:val="none" w:sz="0" w:space="0" w:color="auto"/>
        <w:bottom w:val="none" w:sz="0" w:space="0" w:color="auto"/>
        <w:right w:val="none" w:sz="0" w:space="0" w:color="auto"/>
      </w:divBdr>
    </w:div>
    <w:div w:id="954560354">
      <w:bodyDiv w:val="1"/>
      <w:marLeft w:val="0"/>
      <w:marRight w:val="0"/>
      <w:marTop w:val="0"/>
      <w:marBottom w:val="0"/>
      <w:divBdr>
        <w:top w:val="none" w:sz="0" w:space="0" w:color="auto"/>
        <w:left w:val="none" w:sz="0" w:space="0" w:color="auto"/>
        <w:bottom w:val="none" w:sz="0" w:space="0" w:color="auto"/>
        <w:right w:val="none" w:sz="0" w:space="0" w:color="auto"/>
      </w:divBdr>
    </w:div>
    <w:div w:id="957443939">
      <w:bodyDiv w:val="1"/>
      <w:marLeft w:val="0"/>
      <w:marRight w:val="0"/>
      <w:marTop w:val="0"/>
      <w:marBottom w:val="0"/>
      <w:divBdr>
        <w:top w:val="none" w:sz="0" w:space="0" w:color="auto"/>
        <w:left w:val="none" w:sz="0" w:space="0" w:color="auto"/>
        <w:bottom w:val="none" w:sz="0" w:space="0" w:color="auto"/>
        <w:right w:val="none" w:sz="0" w:space="0" w:color="auto"/>
      </w:divBdr>
    </w:div>
    <w:div w:id="961037606">
      <w:bodyDiv w:val="1"/>
      <w:marLeft w:val="0"/>
      <w:marRight w:val="0"/>
      <w:marTop w:val="0"/>
      <w:marBottom w:val="0"/>
      <w:divBdr>
        <w:top w:val="none" w:sz="0" w:space="0" w:color="auto"/>
        <w:left w:val="none" w:sz="0" w:space="0" w:color="auto"/>
        <w:bottom w:val="none" w:sz="0" w:space="0" w:color="auto"/>
        <w:right w:val="none" w:sz="0" w:space="0" w:color="auto"/>
      </w:divBdr>
    </w:div>
    <w:div w:id="964896136">
      <w:bodyDiv w:val="1"/>
      <w:marLeft w:val="0"/>
      <w:marRight w:val="0"/>
      <w:marTop w:val="0"/>
      <w:marBottom w:val="0"/>
      <w:divBdr>
        <w:top w:val="none" w:sz="0" w:space="0" w:color="auto"/>
        <w:left w:val="none" w:sz="0" w:space="0" w:color="auto"/>
        <w:bottom w:val="none" w:sz="0" w:space="0" w:color="auto"/>
        <w:right w:val="none" w:sz="0" w:space="0" w:color="auto"/>
      </w:divBdr>
    </w:div>
    <w:div w:id="969744585">
      <w:bodyDiv w:val="1"/>
      <w:marLeft w:val="0"/>
      <w:marRight w:val="0"/>
      <w:marTop w:val="0"/>
      <w:marBottom w:val="0"/>
      <w:divBdr>
        <w:top w:val="none" w:sz="0" w:space="0" w:color="auto"/>
        <w:left w:val="none" w:sz="0" w:space="0" w:color="auto"/>
        <w:bottom w:val="none" w:sz="0" w:space="0" w:color="auto"/>
        <w:right w:val="none" w:sz="0" w:space="0" w:color="auto"/>
      </w:divBdr>
    </w:div>
    <w:div w:id="973752300">
      <w:bodyDiv w:val="1"/>
      <w:marLeft w:val="0"/>
      <w:marRight w:val="0"/>
      <w:marTop w:val="0"/>
      <w:marBottom w:val="0"/>
      <w:divBdr>
        <w:top w:val="none" w:sz="0" w:space="0" w:color="auto"/>
        <w:left w:val="none" w:sz="0" w:space="0" w:color="auto"/>
        <w:bottom w:val="none" w:sz="0" w:space="0" w:color="auto"/>
        <w:right w:val="none" w:sz="0" w:space="0" w:color="auto"/>
      </w:divBdr>
    </w:div>
    <w:div w:id="975260654">
      <w:bodyDiv w:val="1"/>
      <w:marLeft w:val="0"/>
      <w:marRight w:val="0"/>
      <w:marTop w:val="0"/>
      <w:marBottom w:val="0"/>
      <w:divBdr>
        <w:top w:val="none" w:sz="0" w:space="0" w:color="auto"/>
        <w:left w:val="none" w:sz="0" w:space="0" w:color="auto"/>
        <w:bottom w:val="none" w:sz="0" w:space="0" w:color="auto"/>
        <w:right w:val="none" w:sz="0" w:space="0" w:color="auto"/>
      </w:divBdr>
    </w:div>
    <w:div w:id="977028955">
      <w:bodyDiv w:val="1"/>
      <w:marLeft w:val="0"/>
      <w:marRight w:val="0"/>
      <w:marTop w:val="0"/>
      <w:marBottom w:val="0"/>
      <w:divBdr>
        <w:top w:val="none" w:sz="0" w:space="0" w:color="auto"/>
        <w:left w:val="none" w:sz="0" w:space="0" w:color="auto"/>
        <w:bottom w:val="none" w:sz="0" w:space="0" w:color="auto"/>
        <w:right w:val="none" w:sz="0" w:space="0" w:color="auto"/>
      </w:divBdr>
    </w:div>
    <w:div w:id="982002591">
      <w:bodyDiv w:val="1"/>
      <w:marLeft w:val="0"/>
      <w:marRight w:val="0"/>
      <w:marTop w:val="0"/>
      <w:marBottom w:val="0"/>
      <w:divBdr>
        <w:top w:val="none" w:sz="0" w:space="0" w:color="auto"/>
        <w:left w:val="none" w:sz="0" w:space="0" w:color="auto"/>
        <w:bottom w:val="none" w:sz="0" w:space="0" w:color="auto"/>
        <w:right w:val="none" w:sz="0" w:space="0" w:color="auto"/>
      </w:divBdr>
    </w:div>
    <w:div w:id="984048414">
      <w:bodyDiv w:val="1"/>
      <w:marLeft w:val="0"/>
      <w:marRight w:val="0"/>
      <w:marTop w:val="0"/>
      <w:marBottom w:val="0"/>
      <w:divBdr>
        <w:top w:val="none" w:sz="0" w:space="0" w:color="auto"/>
        <w:left w:val="none" w:sz="0" w:space="0" w:color="auto"/>
        <w:bottom w:val="none" w:sz="0" w:space="0" w:color="auto"/>
        <w:right w:val="none" w:sz="0" w:space="0" w:color="auto"/>
      </w:divBdr>
    </w:div>
    <w:div w:id="985088461">
      <w:bodyDiv w:val="1"/>
      <w:marLeft w:val="0"/>
      <w:marRight w:val="0"/>
      <w:marTop w:val="0"/>
      <w:marBottom w:val="0"/>
      <w:divBdr>
        <w:top w:val="none" w:sz="0" w:space="0" w:color="auto"/>
        <w:left w:val="none" w:sz="0" w:space="0" w:color="auto"/>
        <w:bottom w:val="none" w:sz="0" w:space="0" w:color="auto"/>
        <w:right w:val="none" w:sz="0" w:space="0" w:color="auto"/>
      </w:divBdr>
    </w:div>
    <w:div w:id="985890535">
      <w:bodyDiv w:val="1"/>
      <w:marLeft w:val="0"/>
      <w:marRight w:val="0"/>
      <w:marTop w:val="0"/>
      <w:marBottom w:val="0"/>
      <w:divBdr>
        <w:top w:val="none" w:sz="0" w:space="0" w:color="auto"/>
        <w:left w:val="none" w:sz="0" w:space="0" w:color="auto"/>
        <w:bottom w:val="none" w:sz="0" w:space="0" w:color="auto"/>
        <w:right w:val="none" w:sz="0" w:space="0" w:color="auto"/>
      </w:divBdr>
    </w:div>
    <w:div w:id="987199882">
      <w:bodyDiv w:val="1"/>
      <w:marLeft w:val="0"/>
      <w:marRight w:val="0"/>
      <w:marTop w:val="0"/>
      <w:marBottom w:val="0"/>
      <w:divBdr>
        <w:top w:val="none" w:sz="0" w:space="0" w:color="auto"/>
        <w:left w:val="none" w:sz="0" w:space="0" w:color="auto"/>
        <w:bottom w:val="none" w:sz="0" w:space="0" w:color="auto"/>
        <w:right w:val="none" w:sz="0" w:space="0" w:color="auto"/>
      </w:divBdr>
    </w:div>
    <w:div w:id="987323679">
      <w:bodyDiv w:val="1"/>
      <w:marLeft w:val="0"/>
      <w:marRight w:val="0"/>
      <w:marTop w:val="0"/>
      <w:marBottom w:val="0"/>
      <w:divBdr>
        <w:top w:val="none" w:sz="0" w:space="0" w:color="auto"/>
        <w:left w:val="none" w:sz="0" w:space="0" w:color="auto"/>
        <w:bottom w:val="none" w:sz="0" w:space="0" w:color="auto"/>
        <w:right w:val="none" w:sz="0" w:space="0" w:color="auto"/>
      </w:divBdr>
    </w:div>
    <w:div w:id="992486191">
      <w:bodyDiv w:val="1"/>
      <w:marLeft w:val="0"/>
      <w:marRight w:val="0"/>
      <w:marTop w:val="0"/>
      <w:marBottom w:val="0"/>
      <w:divBdr>
        <w:top w:val="none" w:sz="0" w:space="0" w:color="auto"/>
        <w:left w:val="none" w:sz="0" w:space="0" w:color="auto"/>
        <w:bottom w:val="none" w:sz="0" w:space="0" w:color="auto"/>
        <w:right w:val="none" w:sz="0" w:space="0" w:color="auto"/>
      </w:divBdr>
    </w:div>
    <w:div w:id="992954277">
      <w:bodyDiv w:val="1"/>
      <w:marLeft w:val="0"/>
      <w:marRight w:val="0"/>
      <w:marTop w:val="0"/>
      <w:marBottom w:val="0"/>
      <w:divBdr>
        <w:top w:val="none" w:sz="0" w:space="0" w:color="auto"/>
        <w:left w:val="none" w:sz="0" w:space="0" w:color="auto"/>
        <w:bottom w:val="none" w:sz="0" w:space="0" w:color="auto"/>
        <w:right w:val="none" w:sz="0" w:space="0" w:color="auto"/>
      </w:divBdr>
    </w:div>
    <w:div w:id="1000735305">
      <w:bodyDiv w:val="1"/>
      <w:marLeft w:val="0"/>
      <w:marRight w:val="0"/>
      <w:marTop w:val="0"/>
      <w:marBottom w:val="0"/>
      <w:divBdr>
        <w:top w:val="none" w:sz="0" w:space="0" w:color="auto"/>
        <w:left w:val="none" w:sz="0" w:space="0" w:color="auto"/>
        <w:bottom w:val="none" w:sz="0" w:space="0" w:color="auto"/>
        <w:right w:val="none" w:sz="0" w:space="0" w:color="auto"/>
      </w:divBdr>
    </w:div>
    <w:div w:id="1005398609">
      <w:bodyDiv w:val="1"/>
      <w:marLeft w:val="0"/>
      <w:marRight w:val="0"/>
      <w:marTop w:val="0"/>
      <w:marBottom w:val="0"/>
      <w:divBdr>
        <w:top w:val="none" w:sz="0" w:space="0" w:color="auto"/>
        <w:left w:val="none" w:sz="0" w:space="0" w:color="auto"/>
        <w:bottom w:val="none" w:sz="0" w:space="0" w:color="auto"/>
        <w:right w:val="none" w:sz="0" w:space="0" w:color="auto"/>
      </w:divBdr>
    </w:div>
    <w:div w:id="1007948297">
      <w:bodyDiv w:val="1"/>
      <w:marLeft w:val="0"/>
      <w:marRight w:val="0"/>
      <w:marTop w:val="0"/>
      <w:marBottom w:val="0"/>
      <w:divBdr>
        <w:top w:val="none" w:sz="0" w:space="0" w:color="auto"/>
        <w:left w:val="none" w:sz="0" w:space="0" w:color="auto"/>
        <w:bottom w:val="none" w:sz="0" w:space="0" w:color="auto"/>
        <w:right w:val="none" w:sz="0" w:space="0" w:color="auto"/>
      </w:divBdr>
    </w:div>
    <w:div w:id="1009217309">
      <w:bodyDiv w:val="1"/>
      <w:marLeft w:val="0"/>
      <w:marRight w:val="0"/>
      <w:marTop w:val="0"/>
      <w:marBottom w:val="0"/>
      <w:divBdr>
        <w:top w:val="none" w:sz="0" w:space="0" w:color="auto"/>
        <w:left w:val="none" w:sz="0" w:space="0" w:color="auto"/>
        <w:bottom w:val="none" w:sz="0" w:space="0" w:color="auto"/>
        <w:right w:val="none" w:sz="0" w:space="0" w:color="auto"/>
      </w:divBdr>
    </w:div>
    <w:div w:id="1010253963">
      <w:bodyDiv w:val="1"/>
      <w:marLeft w:val="0"/>
      <w:marRight w:val="0"/>
      <w:marTop w:val="0"/>
      <w:marBottom w:val="0"/>
      <w:divBdr>
        <w:top w:val="none" w:sz="0" w:space="0" w:color="auto"/>
        <w:left w:val="none" w:sz="0" w:space="0" w:color="auto"/>
        <w:bottom w:val="none" w:sz="0" w:space="0" w:color="auto"/>
        <w:right w:val="none" w:sz="0" w:space="0" w:color="auto"/>
      </w:divBdr>
    </w:div>
    <w:div w:id="1012218307">
      <w:bodyDiv w:val="1"/>
      <w:marLeft w:val="0"/>
      <w:marRight w:val="0"/>
      <w:marTop w:val="0"/>
      <w:marBottom w:val="0"/>
      <w:divBdr>
        <w:top w:val="none" w:sz="0" w:space="0" w:color="auto"/>
        <w:left w:val="none" w:sz="0" w:space="0" w:color="auto"/>
        <w:bottom w:val="none" w:sz="0" w:space="0" w:color="auto"/>
        <w:right w:val="none" w:sz="0" w:space="0" w:color="auto"/>
      </w:divBdr>
    </w:div>
    <w:div w:id="1012999360">
      <w:bodyDiv w:val="1"/>
      <w:marLeft w:val="0"/>
      <w:marRight w:val="0"/>
      <w:marTop w:val="0"/>
      <w:marBottom w:val="0"/>
      <w:divBdr>
        <w:top w:val="none" w:sz="0" w:space="0" w:color="auto"/>
        <w:left w:val="none" w:sz="0" w:space="0" w:color="auto"/>
        <w:bottom w:val="none" w:sz="0" w:space="0" w:color="auto"/>
        <w:right w:val="none" w:sz="0" w:space="0" w:color="auto"/>
      </w:divBdr>
    </w:div>
    <w:div w:id="1018435208">
      <w:bodyDiv w:val="1"/>
      <w:marLeft w:val="0"/>
      <w:marRight w:val="0"/>
      <w:marTop w:val="0"/>
      <w:marBottom w:val="0"/>
      <w:divBdr>
        <w:top w:val="none" w:sz="0" w:space="0" w:color="auto"/>
        <w:left w:val="none" w:sz="0" w:space="0" w:color="auto"/>
        <w:bottom w:val="none" w:sz="0" w:space="0" w:color="auto"/>
        <w:right w:val="none" w:sz="0" w:space="0" w:color="auto"/>
      </w:divBdr>
    </w:div>
    <w:div w:id="1018503755">
      <w:bodyDiv w:val="1"/>
      <w:marLeft w:val="0"/>
      <w:marRight w:val="0"/>
      <w:marTop w:val="0"/>
      <w:marBottom w:val="0"/>
      <w:divBdr>
        <w:top w:val="none" w:sz="0" w:space="0" w:color="auto"/>
        <w:left w:val="none" w:sz="0" w:space="0" w:color="auto"/>
        <w:bottom w:val="none" w:sz="0" w:space="0" w:color="auto"/>
        <w:right w:val="none" w:sz="0" w:space="0" w:color="auto"/>
      </w:divBdr>
    </w:div>
    <w:div w:id="1019040008">
      <w:bodyDiv w:val="1"/>
      <w:marLeft w:val="0"/>
      <w:marRight w:val="0"/>
      <w:marTop w:val="0"/>
      <w:marBottom w:val="0"/>
      <w:divBdr>
        <w:top w:val="none" w:sz="0" w:space="0" w:color="auto"/>
        <w:left w:val="none" w:sz="0" w:space="0" w:color="auto"/>
        <w:bottom w:val="none" w:sz="0" w:space="0" w:color="auto"/>
        <w:right w:val="none" w:sz="0" w:space="0" w:color="auto"/>
      </w:divBdr>
    </w:div>
    <w:div w:id="1022629515">
      <w:bodyDiv w:val="1"/>
      <w:marLeft w:val="0"/>
      <w:marRight w:val="0"/>
      <w:marTop w:val="0"/>
      <w:marBottom w:val="0"/>
      <w:divBdr>
        <w:top w:val="none" w:sz="0" w:space="0" w:color="auto"/>
        <w:left w:val="none" w:sz="0" w:space="0" w:color="auto"/>
        <w:bottom w:val="none" w:sz="0" w:space="0" w:color="auto"/>
        <w:right w:val="none" w:sz="0" w:space="0" w:color="auto"/>
      </w:divBdr>
    </w:div>
    <w:div w:id="1026492286">
      <w:bodyDiv w:val="1"/>
      <w:marLeft w:val="0"/>
      <w:marRight w:val="0"/>
      <w:marTop w:val="0"/>
      <w:marBottom w:val="0"/>
      <w:divBdr>
        <w:top w:val="none" w:sz="0" w:space="0" w:color="auto"/>
        <w:left w:val="none" w:sz="0" w:space="0" w:color="auto"/>
        <w:bottom w:val="none" w:sz="0" w:space="0" w:color="auto"/>
        <w:right w:val="none" w:sz="0" w:space="0" w:color="auto"/>
      </w:divBdr>
    </w:div>
    <w:div w:id="1027412737">
      <w:bodyDiv w:val="1"/>
      <w:marLeft w:val="0"/>
      <w:marRight w:val="0"/>
      <w:marTop w:val="0"/>
      <w:marBottom w:val="0"/>
      <w:divBdr>
        <w:top w:val="none" w:sz="0" w:space="0" w:color="auto"/>
        <w:left w:val="none" w:sz="0" w:space="0" w:color="auto"/>
        <w:bottom w:val="none" w:sz="0" w:space="0" w:color="auto"/>
        <w:right w:val="none" w:sz="0" w:space="0" w:color="auto"/>
      </w:divBdr>
    </w:div>
    <w:div w:id="1041635370">
      <w:bodyDiv w:val="1"/>
      <w:marLeft w:val="0"/>
      <w:marRight w:val="0"/>
      <w:marTop w:val="0"/>
      <w:marBottom w:val="0"/>
      <w:divBdr>
        <w:top w:val="none" w:sz="0" w:space="0" w:color="auto"/>
        <w:left w:val="none" w:sz="0" w:space="0" w:color="auto"/>
        <w:bottom w:val="none" w:sz="0" w:space="0" w:color="auto"/>
        <w:right w:val="none" w:sz="0" w:space="0" w:color="auto"/>
      </w:divBdr>
    </w:div>
    <w:div w:id="1045564555">
      <w:bodyDiv w:val="1"/>
      <w:marLeft w:val="0"/>
      <w:marRight w:val="0"/>
      <w:marTop w:val="0"/>
      <w:marBottom w:val="0"/>
      <w:divBdr>
        <w:top w:val="none" w:sz="0" w:space="0" w:color="auto"/>
        <w:left w:val="none" w:sz="0" w:space="0" w:color="auto"/>
        <w:bottom w:val="none" w:sz="0" w:space="0" w:color="auto"/>
        <w:right w:val="none" w:sz="0" w:space="0" w:color="auto"/>
      </w:divBdr>
    </w:div>
    <w:div w:id="1047031550">
      <w:bodyDiv w:val="1"/>
      <w:marLeft w:val="0"/>
      <w:marRight w:val="0"/>
      <w:marTop w:val="0"/>
      <w:marBottom w:val="0"/>
      <w:divBdr>
        <w:top w:val="none" w:sz="0" w:space="0" w:color="auto"/>
        <w:left w:val="none" w:sz="0" w:space="0" w:color="auto"/>
        <w:bottom w:val="none" w:sz="0" w:space="0" w:color="auto"/>
        <w:right w:val="none" w:sz="0" w:space="0" w:color="auto"/>
      </w:divBdr>
    </w:div>
    <w:div w:id="1050686395">
      <w:bodyDiv w:val="1"/>
      <w:marLeft w:val="0"/>
      <w:marRight w:val="0"/>
      <w:marTop w:val="0"/>
      <w:marBottom w:val="0"/>
      <w:divBdr>
        <w:top w:val="none" w:sz="0" w:space="0" w:color="auto"/>
        <w:left w:val="none" w:sz="0" w:space="0" w:color="auto"/>
        <w:bottom w:val="none" w:sz="0" w:space="0" w:color="auto"/>
        <w:right w:val="none" w:sz="0" w:space="0" w:color="auto"/>
      </w:divBdr>
    </w:div>
    <w:div w:id="1056707869">
      <w:bodyDiv w:val="1"/>
      <w:marLeft w:val="0"/>
      <w:marRight w:val="0"/>
      <w:marTop w:val="0"/>
      <w:marBottom w:val="0"/>
      <w:divBdr>
        <w:top w:val="none" w:sz="0" w:space="0" w:color="auto"/>
        <w:left w:val="none" w:sz="0" w:space="0" w:color="auto"/>
        <w:bottom w:val="none" w:sz="0" w:space="0" w:color="auto"/>
        <w:right w:val="none" w:sz="0" w:space="0" w:color="auto"/>
      </w:divBdr>
    </w:div>
    <w:div w:id="1064722423">
      <w:bodyDiv w:val="1"/>
      <w:marLeft w:val="0"/>
      <w:marRight w:val="0"/>
      <w:marTop w:val="0"/>
      <w:marBottom w:val="0"/>
      <w:divBdr>
        <w:top w:val="none" w:sz="0" w:space="0" w:color="auto"/>
        <w:left w:val="none" w:sz="0" w:space="0" w:color="auto"/>
        <w:bottom w:val="none" w:sz="0" w:space="0" w:color="auto"/>
        <w:right w:val="none" w:sz="0" w:space="0" w:color="auto"/>
      </w:divBdr>
    </w:div>
    <w:div w:id="1065685467">
      <w:bodyDiv w:val="1"/>
      <w:marLeft w:val="0"/>
      <w:marRight w:val="0"/>
      <w:marTop w:val="0"/>
      <w:marBottom w:val="0"/>
      <w:divBdr>
        <w:top w:val="none" w:sz="0" w:space="0" w:color="auto"/>
        <w:left w:val="none" w:sz="0" w:space="0" w:color="auto"/>
        <w:bottom w:val="none" w:sz="0" w:space="0" w:color="auto"/>
        <w:right w:val="none" w:sz="0" w:space="0" w:color="auto"/>
      </w:divBdr>
    </w:div>
    <w:div w:id="1067459013">
      <w:bodyDiv w:val="1"/>
      <w:marLeft w:val="0"/>
      <w:marRight w:val="0"/>
      <w:marTop w:val="0"/>
      <w:marBottom w:val="0"/>
      <w:divBdr>
        <w:top w:val="none" w:sz="0" w:space="0" w:color="auto"/>
        <w:left w:val="none" w:sz="0" w:space="0" w:color="auto"/>
        <w:bottom w:val="none" w:sz="0" w:space="0" w:color="auto"/>
        <w:right w:val="none" w:sz="0" w:space="0" w:color="auto"/>
      </w:divBdr>
    </w:div>
    <w:div w:id="1075081172">
      <w:bodyDiv w:val="1"/>
      <w:marLeft w:val="0"/>
      <w:marRight w:val="0"/>
      <w:marTop w:val="0"/>
      <w:marBottom w:val="0"/>
      <w:divBdr>
        <w:top w:val="none" w:sz="0" w:space="0" w:color="auto"/>
        <w:left w:val="none" w:sz="0" w:space="0" w:color="auto"/>
        <w:bottom w:val="none" w:sz="0" w:space="0" w:color="auto"/>
        <w:right w:val="none" w:sz="0" w:space="0" w:color="auto"/>
      </w:divBdr>
    </w:div>
    <w:div w:id="1075274438">
      <w:bodyDiv w:val="1"/>
      <w:marLeft w:val="0"/>
      <w:marRight w:val="0"/>
      <w:marTop w:val="0"/>
      <w:marBottom w:val="0"/>
      <w:divBdr>
        <w:top w:val="none" w:sz="0" w:space="0" w:color="auto"/>
        <w:left w:val="none" w:sz="0" w:space="0" w:color="auto"/>
        <w:bottom w:val="none" w:sz="0" w:space="0" w:color="auto"/>
        <w:right w:val="none" w:sz="0" w:space="0" w:color="auto"/>
      </w:divBdr>
    </w:div>
    <w:div w:id="1075785568">
      <w:bodyDiv w:val="1"/>
      <w:marLeft w:val="0"/>
      <w:marRight w:val="0"/>
      <w:marTop w:val="0"/>
      <w:marBottom w:val="0"/>
      <w:divBdr>
        <w:top w:val="none" w:sz="0" w:space="0" w:color="auto"/>
        <w:left w:val="none" w:sz="0" w:space="0" w:color="auto"/>
        <w:bottom w:val="none" w:sz="0" w:space="0" w:color="auto"/>
        <w:right w:val="none" w:sz="0" w:space="0" w:color="auto"/>
      </w:divBdr>
    </w:div>
    <w:div w:id="1080248448">
      <w:bodyDiv w:val="1"/>
      <w:marLeft w:val="0"/>
      <w:marRight w:val="0"/>
      <w:marTop w:val="0"/>
      <w:marBottom w:val="0"/>
      <w:divBdr>
        <w:top w:val="none" w:sz="0" w:space="0" w:color="auto"/>
        <w:left w:val="none" w:sz="0" w:space="0" w:color="auto"/>
        <w:bottom w:val="none" w:sz="0" w:space="0" w:color="auto"/>
        <w:right w:val="none" w:sz="0" w:space="0" w:color="auto"/>
      </w:divBdr>
    </w:div>
    <w:div w:id="1083986805">
      <w:bodyDiv w:val="1"/>
      <w:marLeft w:val="0"/>
      <w:marRight w:val="0"/>
      <w:marTop w:val="0"/>
      <w:marBottom w:val="0"/>
      <w:divBdr>
        <w:top w:val="none" w:sz="0" w:space="0" w:color="auto"/>
        <w:left w:val="none" w:sz="0" w:space="0" w:color="auto"/>
        <w:bottom w:val="none" w:sz="0" w:space="0" w:color="auto"/>
        <w:right w:val="none" w:sz="0" w:space="0" w:color="auto"/>
      </w:divBdr>
    </w:div>
    <w:div w:id="1089235850">
      <w:bodyDiv w:val="1"/>
      <w:marLeft w:val="0"/>
      <w:marRight w:val="0"/>
      <w:marTop w:val="0"/>
      <w:marBottom w:val="0"/>
      <w:divBdr>
        <w:top w:val="none" w:sz="0" w:space="0" w:color="auto"/>
        <w:left w:val="none" w:sz="0" w:space="0" w:color="auto"/>
        <w:bottom w:val="none" w:sz="0" w:space="0" w:color="auto"/>
        <w:right w:val="none" w:sz="0" w:space="0" w:color="auto"/>
      </w:divBdr>
    </w:div>
    <w:div w:id="1091008378">
      <w:bodyDiv w:val="1"/>
      <w:marLeft w:val="0"/>
      <w:marRight w:val="0"/>
      <w:marTop w:val="0"/>
      <w:marBottom w:val="0"/>
      <w:divBdr>
        <w:top w:val="none" w:sz="0" w:space="0" w:color="auto"/>
        <w:left w:val="none" w:sz="0" w:space="0" w:color="auto"/>
        <w:bottom w:val="none" w:sz="0" w:space="0" w:color="auto"/>
        <w:right w:val="none" w:sz="0" w:space="0" w:color="auto"/>
      </w:divBdr>
    </w:div>
    <w:div w:id="1091008662">
      <w:bodyDiv w:val="1"/>
      <w:marLeft w:val="0"/>
      <w:marRight w:val="0"/>
      <w:marTop w:val="0"/>
      <w:marBottom w:val="0"/>
      <w:divBdr>
        <w:top w:val="none" w:sz="0" w:space="0" w:color="auto"/>
        <w:left w:val="none" w:sz="0" w:space="0" w:color="auto"/>
        <w:bottom w:val="none" w:sz="0" w:space="0" w:color="auto"/>
        <w:right w:val="none" w:sz="0" w:space="0" w:color="auto"/>
      </w:divBdr>
    </w:div>
    <w:div w:id="1093743757">
      <w:bodyDiv w:val="1"/>
      <w:marLeft w:val="0"/>
      <w:marRight w:val="0"/>
      <w:marTop w:val="0"/>
      <w:marBottom w:val="0"/>
      <w:divBdr>
        <w:top w:val="none" w:sz="0" w:space="0" w:color="auto"/>
        <w:left w:val="none" w:sz="0" w:space="0" w:color="auto"/>
        <w:bottom w:val="none" w:sz="0" w:space="0" w:color="auto"/>
        <w:right w:val="none" w:sz="0" w:space="0" w:color="auto"/>
      </w:divBdr>
    </w:div>
    <w:div w:id="1096172771">
      <w:bodyDiv w:val="1"/>
      <w:marLeft w:val="0"/>
      <w:marRight w:val="0"/>
      <w:marTop w:val="0"/>
      <w:marBottom w:val="0"/>
      <w:divBdr>
        <w:top w:val="none" w:sz="0" w:space="0" w:color="auto"/>
        <w:left w:val="none" w:sz="0" w:space="0" w:color="auto"/>
        <w:bottom w:val="none" w:sz="0" w:space="0" w:color="auto"/>
        <w:right w:val="none" w:sz="0" w:space="0" w:color="auto"/>
      </w:divBdr>
    </w:div>
    <w:div w:id="1098016864">
      <w:bodyDiv w:val="1"/>
      <w:marLeft w:val="0"/>
      <w:marRight w:val="0"/>
      <w:marTop w:val="0"/>
      <w:marBottom w:val="0"/>
      <w:divBdr>
        <w:top w:val="none" w:sz="0" w:space="0" w:color="auto"/>
        <w:left w:val="none" w:sz="0" w:space="0" w:color="auto"/>
        <w:bottom w:val="none" w:sz="0" w:space="0" w:color="auto"/>
        <w:right w:val="none" w:sz="0" w:space="0" w:color="auto"/>
      </w:divBdr>
    </w:div>
    <w:div w:id="1098208580">
      <w:bodyDiv w:val="1"/>
      <w:marLeft w:val="0"/>
      <w:marRight w:val="0"/>
      <w:marTop w:val="0"/>
      <w:marBottom w:val="0"/>
      <w:divBdr>
        <w:top w:val="none" w:sz="0" w:space="0" w:color="auto"/>
        <w:left w:val="none" w:sz="0" w:space="0" w:color="auto"/>
        <w:bottom w:val="none" w:sz="0" w:space="0" w:color="auto"/>
        <w:right w:val="none" w:sz="0" w:space="0" w:color="auto"/>
      </w:divBdr>
    </w:div>
    <w:div w:id="1098525011">
      <w:bodyDiv w:val="1"/>
      <w:marLeft w:val="0"/>
      <w:marRight w:val="0"/>
      <w:marTop w:val="0"/>
      <w:marBottom w:val="0"/>
      <w:divBdr>
        <w:top w:val="none" w:sz="0" w:space="0" w:color="auto"/>
        <w:left w:val="none" w:sz="0" w:space="0" w:color="auto"/>
        <w:bottom w:val="none" w:sz="0" w:space="0" w:color="auto"/>
        <w:right w:val="none" w:sz="0" w:space="0" w:color="auto"/>
      </w:divBdr>
    </w:div>
    <w:div w:id="1098714339">
      <w:bodyDiv w:val="1"/>
      <w:marLeft w:val="0"/>
      <w:marRight w:val="0"/>
      <w:marTop w:val="0"/>
      <w:marBottom w:val="0"/>
      <w:divBdr>
        <w:top w:val="none" w:sz="0" w:space="0" w:color="auto"/>
        <w:left w:val="none" w:sz="0" w:space="0" w:color="auto"/>
        <w:bottom w:val="none" w:sz="0" w:space="0" w:color="auto"/>
        <w:right w:val="none" w:sz="0" w:space="0" w:color="auto"/>
      </w:divBdr>
    </w:div>
    <w:div w:id="1102258342">
      <w:bodyDiv w:val="1"/>
      <w:marLeft w:val="0"/>
      <w:marRight w:val="0"/>
      <w:marTop w:val="0"/>
      <w:marBottom w:val="0"/>
      <w:divBdr>
        <w:top w:val="none" w:sz="0" w:space="0" w:color="auto"/>
        <w:left w:val="none" w:sz="0" w:space="0" w:color="auto"/>
        <w:bottom w:val="none" w:sz="0" w:space="0" w:color="auto"/>
        <w:right w:val="none" w:sz="0" w:space="0" w:color="auto"/>
      </w:divBdr>
    </w:div>
    <w:div w:id="1104420358">
      <w:bodyDiv w:val="1"/>
      <w:marLeft w:val="0"/>
      <w:marRight w:val="0"/>
      <w:marTop w:val="0"/>
      <w:marBottom w:val="0"/>
      <w:divBdr>
        <w:top w:val="none" w:sz="0" w:space="0" w:color="auto"/>
        <w:left w:val="none" w:sz="0" w:space="0" w:color="auto"/>
        <w:bottom w:val="none" w:sz="0" w:space="0" w:color="auto"/>
        <w:right w:val="none" w:sz="0" w:space="0" w:color="auto"/>
      </w:divBdr>
    </w:div>
    <w:div w:id="1107311008">
      <w:bodyDiv w:val="1"/>
      <w:marLeft w:val="0"/>
      <w:marRight w:val="0"/>
      <w:marTop w:val="0"/>
      <w:marBottom w:val="0"/>
      <w:divBdr>
        <w:top w:val="none" w:sz="0" w:space="0" w:color="auto"/>
        <w:left w:val="none" w:sz="0" w:space="0" w:color="auto"/>
        <w:bottom w:val="none" w:sz="0" w:space="0" w:color="auto"/>
        <w:right w:val="none" w:sz="0" w:space="0" w:color="auto"/>
      </w:divBdr>
    </w:div>
    <w:div w:id="1110510463">
      <w:bodyDiv w:val="1"/>
      <w:marLeft w:val="0"/>
      <w:marRight w:val="0"/>
      <w:marTop w:val="0"/>
      <w:marBottom w:val="0"/>
      <w:divBdr>
        <w:top w:val="none" w:sz="0" w:space="0" w:color="auto"/>
        <w:left w:val="none" w:sz="0" w:space="0" w:color="auto"/>
        <w:bottom w:val="none" w:sz="0" w:space="0" w:color="auto"/>
        <w:right w:val="none" w:sz="0" w:space="0" w:color="auto"/>
      </w:divBdr>
    </w:div>
    <w:div w:id="1114012745">
      <w:bodyDiv w:val="1"/>
      <w:marLeft w:val="0"/>
      <w:marRight w:val="0"/>
      <w:marTop w:val="0"/>
      <w:marBottom w:val="0"/>
      <w:divBdr>
        <w:top w:val="none" w:sz="0" w:space="0" w:color="auto"/>
        <w:left w:val="none" w:sz="0" w:space="0" w:color="auto"/>
        <w:bottom w:val="none" w:sz="0" w:space="0" w:color="auto"/>
        <w:right w:val="none" w:sz="0" w:space="0" w:color="auto"/>
      </w:divBdr>
    </w:div>
    <w:div w:id="1117263021">
      <w:bodyDiv w:val="1"/>
      <w:marLeft w:val="0"/>
      <w:marRight w:val="0"/>
      <w:marTop w:val="0"/>
      <w:marBottom w:val="0"/>
      <w:divBdr>
        <w:top w:val="none" w:sz="0" w:space="0" w:color="auto"/>
        <w:left w:val="none" w:sz="0" w:space="0" w:color="auto"/>
        <w:bottom w:val="none" w:sz="0" w:space="0" w:color="auto"/>
        <w:right w:val="none" w:sz="0" w:space="0" w:color="auto"/>
      </w:divBdr>
    </w:div>
    <w:div w:id="1117678613">
      <w:bodyDiv w:val="1"/>
      <w:marLeft w:val="0"/>
      <w:marRight w:val="0"/>
      <w:marTop w:val="0"/>
      <w:marBottom w:val="0"/>
      <w:divBdr>
        <w:top w:val="none" w:sz="0" w:space="0" w:color="auto"/>
        <w:left w:val="none" w:sz="0" w:space="0" w:color="auto"/>
        <w:bottom w:val="none" w:sz="0" w:space="0" w:color="auto"/>
        <w:right w:val="none" w:sz="0" w:space="0" w:color="auto"/>
      </w:divBdr>
    </w:div>
    <w:div w:id="1119104913">
      <w:bodyDiv w:val="1"/>
      <w:marLeft w:val="0"/>
      <w:marRight w:val="0"/>
      <w:marTop w:val="0"/>
      <w:marBottom w:val="0"/>
      <w:divBdr>
        <w:top w:val="none" w:sz="0" w:space="0" w:color="auto"/>
        <w:left w:val="none" w:sz="0" w:space="0" w:color="auto"/>
        <w:bottom w:val="none" w:sz="0" w:space="0" w:color="auto"/>
        <w:right w:val="none" w:sz="0" w:space="0" w:color="auto"/>
      </w:divBdr>
    </w:div>
    <w:div w:id="1123188633">
      <w:bodyDiv w:val="1"/>
      <w:marLeft w:val="0"/>
      <w:marRight w:val="0"/>
      <w:marTop w:val="0"/>
      <w:marBottom w:val="0"/>
      <w:divBdr>
        <w:top w:val="none" w:sz="0" w:space="0" w:color="auto"/>
        <w:left w:val="none" w:sz="0" w:space="0" w:color="auto"/>
        <w:bottom w:val="none" w:sz="0" w:space="0" w:color="auto"/>
        <w:right w:val="none" w:sz="0" w:space="0" w:color="auto"/>
      </w:divBdr>
    </w:div>
    <w:div w:id="1125461118">
      <w:bodyDiv w:val="1"/>
      <w:marLeft w:val="0"/>
      <w:marRight w:val="0"/>
      <w:marTop w:val="0"/>
      <w:marBottom w:val="0"/>
      <w:divBdr>
        <w:top w:val="none" w:sz="0" w:space="0" w:color="auto"/>
        <w:left w:val="none" w:sz="0" w:space="0" w:color="auto"/>
        <w:bottom w:val="none" w:sz="0" w:space="0" w:color="auto"/>
        <w:right w:val="none" w:sz="0" w:space="0" w:color="auto"/>
      </w:divBdr>
    </w:div>
    <w:div w:id="1130712529">
      <w:bodyDiv w:val="1"/>
      <w:marLeft w:val="0"/>
      <w:marRight w:val="0"/>
      <w:marTop w:val="0"/>
      <w:marBottom w:val="0"/>
      <w:divBdr>
        <w:top w:val="none" w:sz="0" w:space="0" w:color="auto"/>
        <w:left w:val="none" w:sz="0" w:space="0" w:color="auto"/>
        <w:bottom w:val="none" w:sz="0" w:space="0" w:color="auto"/>
        <w:right w:val="none" w:sz="0" w:space="0" w:color="auto"/>
      </w:divBdr>
    </w:div>
    <w:div w:id="1135562918">
      <w:bodyDiv w:val="1"/>
      <w:marLeft w:val="0"/>
      <w:marRight w:val="0"/>
      <w:marTop w:val="0"/>
      <w:marBottom w:val="0"/>
      <w:divBdr>
        <w:top w:val="none" w:sz="0" w:space="0" w:color="auto"/>
        <w:left w:val="none" w:sz="0" w:space="0" w:color="auto"/>
        <w:bottom w:val="none" w:sz="0" w:space="0" w:color="auto"/>
        <w:right w:val="none" w:sz="0" w:space="0" w:color="auto"/>
      </w:divBdr>
    </w:div>
    <w:div w:id="1141387355">
      <w:bodyDiv w:val="1"/>
      <w:marLeft w:val="0"/>
      <w:marRight w:val="0"/>
      <w:marTop w:val="0"/>
      <w:marBottom w:val="0"/>
      <w:divBdr>
        <w:top w:val="none" w:sz="0" w:space="0" w:color="auto"/>
        <w:left w:val="none" w:sz="0" w:space="0" w:color="auto"/>
        <w:bottom w:val="none" w:sz="0" w:space="0" w:color="auto"/>
        <w:right w:val="none" w:sz="0" w:space="0" w:color="auto"/>
      </w:divBdr>
    </w:div>
    <w:div w:id="1145705645">
      <w:bodyDiv w:val="1"/>
      <w:marLeft w:val="0"/>
      <w:marRight w:val="0"/>
      <w:marTop w:val="0"/>
      <w:marBottom w:val="0"/>
      <w:divBdr>
        <w:top w:val="none" w:sz="0" w:space="0" w:color="auto"/>
        <w:left w:val="none" w:sz="0" w:space="0" w:color="auto"/>
        <w:bottom w:val="none" w:sz="0" w:space="0" w:color="auto"/>
        <w:right w:val="none" w:sz="0" w:space="0" w:color="auto"/>
      </w:divBdr>
    </w:div>
    <w:div w:id="1147016840">
      <w:bodyDiv w:val="1"/>
      <w:marLeft w:val="0"/>
      <w:marRight w:val="0"/>
      <w:marTop w:val="0"/>
      <w:marBottom w:val="0"/>
      <w:divBdr>
        <w:top w:val="none" w:sz="0" w:space="0" w:color="auto"/>
        <w:left w:val="none" w:sz="0" w:space="0" w:color="auto"/>
        <w:bottom w:val="none" w:sz="0" w:space="0" w:color="auto"/>
        <w:right w:val="none" w:sz="0" w:space="0" w:color="auto"/>
      </w:divBdr>
    </w:div>
    <w:div w:id="1147631503">
      <w:bodyDiv w:val="1"/>
      <w:marLeft w:val="0"/>
      <w:marRight w:val="0"/>
      <w:marTop w:val="0"/>
      <w:marBottom w:val="0"/>
      <w:divBdr>
        <w:top w:val="none" w:sz="0" w:space="0" w:color="auto"/>
        <w:left w:val="none" w:sz="0" w:space="0" w:color="auto"/>
        <w:bottom w:val="none" w:sz="0" w:space="0" w:color="auto"/>
        <w:right w:val="none" w:sz="0" w:space="0" w:color="auto"/>
      </w:divBdr>
    </w:div>
    <w:div w:id="1147823090">
      <w:bodyDiv w:val="1"/>
      <w:marLeft w:val="0"/>
      <w:marRight w:val="0"/>
      <w:marTop w:val="0"/>
      <w:marBottom w:val="0"/>
      <w:divBdr>
        <w:top w:val="none" w:sz="0" w:space="0" w:color="auto"/>
        <w:left w:val="none" w:sz="0" w:space="0" w:color="auto"/>
        <w:bottom w:val="none" w:sz="0" w:space="0" w:color="auto"/>
        <w:right w:val="none" w:sz="0" w:space="0" w:color="auto"/>
      </w:divBdr>
    </w:div>
    <w:div w:id="1148085495">
      <w:bodyDiv w:val="1"/>
      <w:marLeft w:val="0"/>
      <w:marRight w:val="0"/>
      <w:marTop w:val="0"/>
      <w:marBottom w:val="0"/>
      <w:divBdr>
        <w:top w:val="none" w:sz="0" w:space="0" w:color="auto"/>
        <w:left w:val="none" w:sz="0" w:space="0" w:color="auto"/>
        <w:bottom w:val="none" w:sz="0" w:space="0" w:color="auto"/>
        <w:right w:val="none" w:sz="0" w:space="0" w:color="auto"/>
      </w:divBdr>
    </w:div>
    <w:div w:id="1153832575">
      <w:bodyDiv w:val="1"/>
      <w:marLeft w:val="0"/>
      <w:marRight w:val="0"/>
      <w:marTop w:val="0"/>
      <w:marBottom w:val="0"/>
      <w:divBdr>
        <w:top w:val="none" w:sz="0" w:space="0" w:color="auto"/>
        <w:left w:val="none" w:sz="0" w:space="0" w:color="auto"/>
        <w:bottom w:val="none" w:sz="0" w:space="0" w:color="auto"/>
        <w:right w:val="none" w:sz="0" w:space="0" w:color="auto"/>
      </w:divBdr>
    </w:div>
    <w:div w:id="1162500459">
      <w:bodyDiv w:val="1"/>
      <w:marLeft w:val="0"/>
      <w:marRight w:val="0"/>
      <w:marTop w:val="0"/>
      <w:marBottom w:val="0"/>
      <w:divBdr>
        <w:top w:val="none" w:sz="0" w:space="0" w:color="auto"/>
        <w:left w:val="none" w:sz="0" w:space="0" w:color="auto"/>
        <w:bottom w:val="none" w:sz="0" w:space="0" w:color="auto"/>
        <w:right w:val="none" w:sz="0" w:space="0" w:color="auto"/>
      </w:divBdr>
    </w:div>
    <w:div w:id="1163669456">
      <w:bodyDiv w:val="1"/>
      <w:marLeft w:val="0"/>
      <w:marRight w:val="0"/>
      <w:marTop w:val="0"/>
      <w:marBottom w:val="0"/>
      <w:divBdr>
        <w:top w:val="none" w:sz="0" w:space="0" w:color="auto"/>
        <w:left w:val="none" w:sz="0" w:space="0" w:color="auto"/>
        <w:bottom w:val="none" w:sz="0" w:space="0" w:color="auto"/>
        <w:right w:val="none" w:sz="0" w:space="0" w:color="auto"/>
      </w:divBdr>
    </w:div>
    <w:div w:id="1163932830">
      <w:bodyDiv w:val="1"/>
      <w:marLeft w:val="0"/>
      <w:marRight w:val="0"/>
      <w:marTop w:val="0"/>
      <w:marBottom w:val="0"/>
      <w:divBdr>
        <w:top w:val="none" w:sz="0" w:space="0" w:color="auto"/>
        <w:left w:val="none" w:sz="0" w:space="0" w:color="auto"/>
        <w:bottom w:val="none" w:sz="0" w:space="0" w:color="auto"/>
        <w:right w:val="none" w:sz="0" w:space="0" w:color="auto"/>
      </w:divBdr>
    </w:div>
    <w:div w:id="1174225963">
      <w:bodyDiv w:val="1"/>
      <w:marLeft w:val="0"/>
      <w:marRight w:val="0"/>
      <w:marTop w:val="0"/>
      <w:marBottom w:val="0"/>
      <w:divBdr>
        <w:top w:val="none" w:sz="0" w:space="0" w:color="auto"/>
        <w:left w:val="none" w:sz="0" w:space="0" w:color="auto"/>
        <w:bottom w:val="none" w:sz="0" w:space="0" w:color="auto"/>
        <w:right w:val="none" w:sz="0" w:space="0" w:color="auto"/>
      </w:divBdr>
    </w:div>
    <w:div w:id="1176263019">
      <w:bodyDiv w:val="1"/>
      <w:marLeft w:val="0"/>
      <w:marRight w:val="0"/>
      <w:marTop w:val="0"/>
      <w:marBottom w:val="0"/>
      <w:divBdr>
        <w:top w:val="none" w:sz="0" w:space="0" w:color="auto"/>
        <w:left w:val="none" w:sz="0" w:space="0" w:color="auto"/>
        <w:bottom w:val="none" w:sz="0" w:space="0" w:color="auto"/>
        <w:right w:val="none" w:sz="0" w:space="0" w:color="auto"/>
      </w:divBdr>
    </w:div>
    <w:div w:id="1180316683">
      <w:bodyDiv w:val="1"/>
      <w:marLeft w:val="0"/>
      <w:marRight w:val="0"/>
      <w:marTop w:val="0"/>
      <w:marBottom w:val="0"/>
      <w:divBdr>
        <w:top w:val="none" w:sz="0" w:space="0" w:color="auto"/>
        <w:left w:val="none" w:sz="0" w:space="0" w:color="auto"/>
        <w:bottom w:val="none" w:sz="0" w:space="0" w:color="auto"/>
        <w:right w:val="none" w:sz="0" w:space="0" w:color="auto"/>
      </w:divBdr>
    </w:div>
    <w:div w:id="1180966099">
      <w:bodyDiv w:val="1"/>
      <w:marLeft w:val="0"/>
      <w:marRight w:val="0"/>
      <w:marTop w:val="0"/>
      <w:marBottom w:val="0"/>
      <w:divBdr>
        <w:top w:val="none" w:sz="0" w:space="0" w:color="auto"/>
        <w:left w:val="none" w:sz="0" w:space="0" w:color="auto"/>
        <w:bottom w:val="none" w:sz="0" w:space="0" w:color="auto"/>
        <w:right w:val="none" w:sz="0" w:space="0" w:color="auto"/>
      </w:divBdr>
    </w:div>
    <w:div w:id="1182090849">
      <w:bodyDiv w:val="1"/>
      <w:marLeft w:val="0"/>
      <w:marRight w:val="0"/>
      <w:marTop w:val="0"/>
      <w:marBottom w:val="0"/>
      <w:divBdr>
        <w:top w:val="none" w:sz="0" w:space="0" w:color="auto"/>
        <w:left w:val="none" w:sz="0" w:space="0" w:color="auto"/>
        <w:bottom w:val="none" w:sz="0" w:space="0" w:color="auto"/>
        <w:right w:val="none" w:sz="0" w:space="0" w:color="auto"/>
      </w:divBdr>
    </w:div>
    <w:div w:id="1186090964">
      <w:bodyDiv w:val="1"/>
      <w:marLeft w:val="0"/>
      <w:marRight w:val="0"/>
      <w:marTop w:val="0"/>
      <w:marBottom w:val="0"/>
      <w:divBdr>
        <w:top w:val="none" w:sz="0" w:space="0" w:color="auto"/>
        <w:left w:val="none" w:sz="0" w:space="0" w:color="auto"/>
        <w:bottom w:val="none" w:sz="0" w:space="0" w:color="auto"/>
        <w:right w:val="none" w:sz="0" w:space="0" w:color="auto"/>
      </w:divBdr>
    </w:div>
    <w:div w:id="1199931077">
      <w:bodyDiv w:val="1"/>
      <w:marLeft w:val="0"/>
      <w:marRight w:val="0"/>
      <w:marTop w:val="0"/>
      <w:marBottom w:val="0"/>
      <w:divBdr>
        <w:top w:val="none" w:sz="0" w:space="0" w:color="auto"/>
        <w:left w:val="none" w:sz="0" w:space="0" w:color="auto"/>
        <w:bottom w:val="none" w:sz="0" w:space="0" w:color="auto"/>
        <w:right w:val="none" w:sz="0" w:space="0" w:color="auto"/>
      </w:divBdr>
    </w:div>
    <w:div w:id="1200706587">
      <w:bodyDiv w:val="1"/>
      <w:marLeft w:val="0"/>
      <w:marRight w:val="0"/>
      <w:marTop w:val="0"/>
      <w:marBottom w:val="0"/>
      <w:divBdr>
        <w:top w:val="none" w:sz="0" w:space="0" w:color="auto"/>
        <w:left w:val="none" w:sz="0" w:space="0" w:color="auto"/>
        <w:bottom w:val="none" w:sz="0" w:space="0" w:color="auto"/>
        <w:right w:val="none" w:sz="0" w:space="0" w:color="auto"/>
      </w:divBdr>
    </w:div>
    <w:div w:id="1204058468">
      <w:bodyDiv w:val="1"/>
      <w:marLeft w:val="0"/>
      <w:marRight w:val="0"/>
      <w:marTop w:val="0"/>
      <w:marBottom w:val="0"/>
      <w:divBdr>
        <w:top w:val="none" w:sz="0" w:space="0" w:color="auto"/>
        <w:left w:val="none" w:sz="0" w:space="0" w:color="auto"/>
        <w:bottom w:val="none" w:sz="0" w:space="0" w:color="auto"/>
        <w:right w:val="none" w:sz="0" w:space="0" w:color="auto"/>
      </w:divBdr>
    </w:div>
    <w:div w:id="1211309651">
      <w:bodyDiv w:val="1"/>
      <w:marLeft w:val="0"/>
      <w:marRight w:val="0"/>
      <w:marTop w:val="0"/>
      <w:marBottom w:val="0"/>
      <w:divBdr>
        <w:top w:val="none" w:sz="0" w:space="0" w:color="auto"/>
        <w:left w:val="none" w:sz="0" w:space="0" w:color="auto"/>
        <w:bottom w:val="none" w:sz="0" w:space="0" w:color="auto"/>
        <w:right w:val="none" w:sz="0" w:space="0" w:color="auto"/>
      </w:divBdr>
    </w:div>
    <w:div w:id="1217857382">
      <w:bodyDiv w:val="1"/>
      <w:marLeft w:val="0"/>
      <w:marRight w:val="0"/>
      <w:marTop w:val="0"/>
      <w:marBottom w:val="0"/>
      <w:divBdr>
        <w:top w:val="none" w:sz="0" w:space="0" w:color="auto"/>
        <w:left w:val="none" w:sz="0" w:space="0" w:color="auto"/>
        <w:bottom w:val="none" w:sz="0" w:space="0" w:color="auto"/>
        <w:right w:val="none" w:sz="0" w:space="0" w:color="auto"/>
      </w:divBdr>
    </w:div>
    <w:div w:id="1223559854">
      <w:bodyDiv w:val="1"/>
      <w:marLeft w:val="0"/>
      <w:marRight w:val="0"/>
      <w:marTop w:val="0"/>
      <w:marBottom w:val="0"/>
      <w:divBdr>
        <w:top w:val="none" w:sz="0" w:space="0" w:color="auto"/>
        <w:left w:val="none" w:sz="0" w:space="0" w:color="auto"/>
        <w:bottom w:val="none" w:sz="0" w:space="0" w:color="auto"/>
        <w:right w:val="none" w:sz="0" w:space="0" w:color="auto"/>
      </w:divBdr>
    </w:div>
    <w:div w:id="1227107661">
      <w:bodyDiv w:val="1"/>
      <w:marLeft w:val="0"/>
      <w:marRight w:val="0"/>
      <w:marTop w:val="0"/>
      <w:marBottom w:val="0"/>
      <w:divBdr>
        <w:top w:val="none" w:sz="0" w:space="0" w:color="auto"/>
        <w:left w:val="none" w:sz="0" w:space="0" w:color="auto"/>
        <w:bottom w:val="none" w:sz="0" w:space="0" w:color="auto"/>
        <w:right w:val="none" w:sz="0" w:space="0" w:color="auto"/>
      </w:divBdr>
    </w:div>
    <w:div w:id="1235047386">
      <w:bodyDiv w:val="1"/>
      <w:marLeft w:val="0"/>
      <w:marRight w:val="0"/>
      <w:marTop w:val="0"/>
      <w:marBottom w:val="0"/>
      <w:divBdr>
        <w:top w:val="none" w:sz="0" w:space="0" w:color="auto"/>
        <w:left w:val="none" w:sz="0" w:space="0" w:color="auto"/>
        <w:bottom w:val="none" w:sz="0" w:space="0" w:color="auto"/>
        <w:right w:val="none" w:sz="0" w:space="0" w:color="auto"/>
      </w:divBdr>
    </w:div>
    <w:div w:id="1239512073">
      <w:bodyDiv w:val="1"/>
      <w:marLeft w:val="0"/>
      <w:marRight w:val="0"/>
      <w:marTop w:val="0"/>
      <w:marBottom w:val="0"/>
      <w:divBdr>
        <w:top w:val="none" w:sz="0" w:space="0" w:color="auto"/>
        <w:left w:val="none" w:sz="0" w:space="0" w:color="auto"/>
        <w:bottom w:val="none" w:sz="0" w:space="0" w:color="auto"/>
        <w:right w:val="none" w:sz="0" w:space="0" w:color="auto"/>
      </w:divBdr>
    </w:div>
    <w:div w:id="1240022757">
      <w:bodyDiv w:val="1"/>
      <w:marLeft w:val="0"/>
      <w:marRight w:val="0"/>
      <w:marTop w:val="0"/>
      <w:marBottom w:val="0"/>
      <w:divBdr>
        <w:top w:val="none" w:sz="0" w:space="0" w:color="auto"/>
        <w:left w:val="none" w:sz="0" w:space="0" w:color="auto"/>
        <w:bottom w:val="none" w:sz="0" w:space="0" w:color="auto"/>
        <w:right w:val="none" w:sz="0" w:space="0" w:color="auto"/>
      </w:divBdr>
    </w:div>
    <w:div w:id="1240168400">
      <w:bodyDiv w:val="1"/>
      <w:marLeft w:val="0"/>
      <w:marRight w:val="0"/>
      <w:marTop w:val="0"/>
      <w:marBottom w:val="0"/>
      <w:divBdr>
        <w:top w:val="none" w:sz="0" w:space="0" w:color="auto"/>
        <w:left w:val="none" w:sz="0" w:space="0" w:color="auto"/>
        <w:bottom w:val="none" w:sz="0" w:space="0" w:color="auto"/>
        <w:right w:val="none" w:sz="0" w:space="0" w:color="auto"/>
      </w:divBdr>
    </w:div>
    <w:div w:id="1240486371">
      <w:bodyDiv w:val="1"/>
      <w:marLeft w:val="0"/>
      <w:marRight w:val="0"/>
      <w:marTop w:val="0"/>
      <w:marBottom w:val="0"/>
      <w:divBdr>
        <w:top w:val="none" w:sz="0" w:space="0" w:color="auto"/>
        <w:left w:val="none" w:sz="0" w:space="0" w:color="auto"/>
        <w:bottom w:val="none" w:sz="0" w:space="0" w:color="auto"/>
        <w:right w:val="none" w:sz="0" w:space="0" w:color="auto"/>
      </w:divBdr>
    </w:div>
    <w:div w:id="1241984126">
      <w:bodyDiv w:val="1"/>
      <w:marLeft w:val="0"/>
      <w:marRight w:val="0"/>
      <w:marTop w:val="0"/>
      <w:marBottom w:val="0"/>
      <w:divBdr>
        <w:top w:val="none" w:sz="0" w:space="0" w:color="auto"/>
        <w:left w:val="none" w:sz="0" w:space="0" w:color="auto"/>
        <w:bottom w:val="none" w:sz="0" w:space="0" w:color="auto"/>
        <w:right w:val="none" w:sz="0" w:space="0" w:color="auto"/>
      </w:divBdr>
    </w:div>
    <w:div w:id="1243490603">
      <w:bodyDiv w:val="1"/>
      <w:marLeft w:val="0"/>
      <w:marRight w:val="0"/>
      <w:marTop w:val="0"/>
      <w:marBottom w:val="0"/>
      <w:divBdr>
        <w:top w:val="none" w:sz="0" w:space="0" w:color="auto"/>
        <w:left w:val="none" w:sz="0" w:space="0" w:color="auto"/>
        <w:bottom w:val="none" w:sz="0" w:space="0" w:color="auto"/>
        <w:right w:val="none" w:sz="0" w:space="0" w:color="auto"/>
      </w:divBdr>
    </w:div>
    <w:div w:id="1250386591">
      <w:bodyDiv w:val="1"/>
      <w:marLeft w:val="0"/>
      <w:marRight w:val="0"/>
      <w:marTop w:val="0"/>
      <w:marBottom w:val="0"/>
      <w:divBdr>
        <w:top w:val="none" w:sz="0" w:space="0" w:color="auto"/>
        <w:left w:val="none" w:sz="0" w:space="0" w:color="auto"/>
        <w:bottom w:val="none" w:sz="0" w:space="0" w:color="auto"/>
        <w:right w:val="none" w:sz="0" w:space="0" w:color="auto"/>
      </w:divBdr>
    </w:div>
    <w:div w:id="1268923121">
      <w:bodyDiv w:val="1"/>
      <w:marLeft w:val="0"/>
      <w:marRight w:val="0"/>
      <w:marTop w:val="0"/>
      <w:marBottom w:val="0"/>
      <w:divBdr>
        <w:top w:val="none" w:sz="0" w:space="0" w:color="auto"/>
        <w:left w:val="none" w:sz="0" w:space="0" w:color="auto"/>
        <w:bottom w:val="none" w:sz="0" w:space="0" w:color="auto"/>
        <w:right w:val="none" w:sz="0" w:space="0" w:color="auto"/>
      </w:divBdr>
    </w:div>
    <w:div w:id="1274484796">
      <w:bodyDiv w:val="1"/>
      <w:marLeft w:val="0"/>
      <w:marRight w:val="0"/>
      <w:marTop w:val="0"/>
      <w:marBottom w:val="0"/>
      <w:divBdr>
        <w:top w:val="none" w:sz="0" w:space="0" w:color="auto"/>
        <w:left w:val="none" w:sz="0" w:space="0" w:color="auto"/>
        <w:bottom w:val="none" w:sz="0" w:space="0" w:color="auto"/>
        <w:right w:val="none" w:sz="0" w:space="0" w:color="auto"/>
      </w:divBdr>
    </w:div>
    <w:div w:id="1274940433">
      <w:bodyDiv w:val="1"/>
      <w:marLeft w:val="0"/>
      <w:marRight w:val="0"/>
      <w:marTop w:val="0"/>
      <w:marBottom w:val="0"/>
      <w:divBdr>
        <w:top w:val="none" w:sz="0" w:space="0" w:color="auto"/>
        <w:left w:val="none" w:sz="0" w:space="0" w:color="auto"/>
        <w:bottom w:val="none" w:sz="0" w:space="0" w:color="auto"/>
        <w:right w:val="none" w:sz="0" w:space="0" w:color="auto"/>
      </w:divBdr>
    </w:div>
    <w:div w:id="1277714118">
      <w:bodyDiv w:val="1"/>
      <w:marLeft w:val="0"/>
      <w:marRight w:val="0"/>
      <w:marTop w:val="0"/>
      <w:marBottom w:val="0"/>
      <w:divBdr>
        <w:top w:val="none" w:sz="0" w:space="0" w:color="auto"/>
        <w:left w:val="none" w:sz="0" w:space="0" w:color="auto"/>
        <w:bottom w:val="none" w:sz="0" w:space="0" w:color="auto"/>
        <w:right w:val="none" w:sz="0" w:space="0" w:color="auto"/>
      </w:divBdr>
    </w:div>
    <w:div w:id="1282951604">
      <w:bodyDiv w:val="1"/>
      <w:marLeft w:val="0"/>
      <w:marRight w:val="0"/>
      <w:marTop w:val="0"/>
      <w:marBottom w:val="0"/>
      <w:divBdr>
        <w:top w:val="none" w:sz="0" w:space="0" w:color="auto"/>
        <w:left w:val="none" w:sz="0" w:space="0" w:color="auto"/>
        <w:bottom w:val="none" w:sz="0" w:space="0" w:color="auto"/>
        <w:right w:val="none" w:sz="0" w:space="0" w:color="auto"/>
      </w:divBdr>
    </w:div>
    <w:div w:id="1283539125">
      <w:bodyDiv w:val="1"/>
      <w:marLeft w:val="0"/>
      <w:marRight w:val="0"/>
      <w:marTop w:val="0"/>
      <w:marBottom w:val="0"/>
      <w:divBdr>
        <w:top w:val="none" w:sz="0" w:space="0" w:color="auto"/>
        <w:left w:val="none" w:sz="0" w:space="0" w:color="auto"/>
        <w:bottom w:val="none" w:sz="0" w:space="0" w:color="auto"/>
        <w:right w:val="none" w:sz="0" w:space="0" w:color="auto"/>
      </w:divBdr>
    </w:div>
    <w:div w:id="1289360195">
      <w:bodyDiv w:val="1"/>
      <w:marLeft w:val="0"/>
      <w:marRight w:val="0"/>
      <w:marTop w:val="0"/>
      <w:marBottom w:val="0"/>
      <w:divBdr>
        <w:top w:val="none" w:sz="0" w:space="0" w:color="auto"/>
        <w:left w:val="none" w:sz="0" w:space="0" w:color="auto"/>
        <w:bottom w:val="none" w:sz="0" w:space="0" w:color="auto"/>
        <w:right w:val="none" w:sz="0" w:space="0" w:color="auto"/>
      </w:divBdr>
    </w:div>
    <w:div w:id="1296180823">
      <w:bodyDiv w:val="1"/>
      <w:marLeft w:val="0"/>
      <w:marRight w:val="0"/>
      <w:marTop w:val="0"/>
      <w:marBottom w:val="0"/>
      <w:divBdr>
        <w:top w:val="none" w:sz="0" w:space="0" w:color="auto"/>
        <w:left w:val="none" w:sz="0" w:space="0" w:color="auto"/>
        <w:bottom w:val="none" w:sz="0" w:space="0" w:color="auto"/>
        <w:right w:val="none" w:sz="0" w:space="0" w:color="auto"/>
      </w:divBdr>
    </w:div>
    <w:div w:id="1297375304">
      <w:bodyDiv w:val="1"/>
      <w:marLeft w:val="0"/>
      <w:marRight w:val="0"/>
      <w:marTop w:val="0"/>
      <w:marBottom w:val="0"/>
      <w:divBdr>
        <w:top w:val="none" w:sz="0" w:space="0" w:color="auto"/>
        <w:left w:val="none" w:sz="0" w:space="0" w:color="auto"/>
        <w:bottom w:val="none" w:sz="0" w:space="0" w:color="auto"/>
        <w:right w:val="none" w:sz="0" w:space="0" w:color="auto"/>
      </w:divBdr>
    </w:div>
    <w:div w:id="1299606994">
      <w:bodyDiv w:val="1"/>
      <w:marLeft w:val="0"/>
      <w:marRight w:val="0"/>
      <w:marTop w:val="0"/>
      <w:marBottom w:val="0"/>
      <w:divBdr>
        <w:top w:val="none" w:sz="0" w:space="0" w:color="auto"/>
        <w:left w:val="none" w:sz="0" w:space="0" w:color="auto"/>
        <w:bottom w:val="none" w:sz="0" w:space="0" w:color="auto"/>
        <w:right w:val="none" w:sz="0" w:space="0" w:color="auto"/>
      </w:divBdr>
    </w:div>
    <w:div w:id="1300568562">
      <w:bodyDiv w:val="1"/>
      <w:marLeft w:val="0"/>
      <w:marRight w:val="0"/>
      <w:marTop w:val="0"/>
      <w:marBottom w:val="0"/>
      <w:divBdr>
        <w:top w:val="none" w:sz="0" w:space="0" w:color="auto"/>
        <w:left w:val="none" w:sz="0" w:space="0" w:color="auto"/>
        <w:bottom w:val="none" w:sz="0" w:space="0" w:color="auto"/>
        <w:right w:val="none" w:sz="0" w:space="0" w:color="auto"/>
      </w:divBdr>
    </w:div>
    <w:div w:id="1301114205">
      <w:bodyDiv w:val="1"/>
      <w:marLeft w:val="0"/>
      <w:marRight w:val="0"/>
      <w:marTop w:val="0"/>
      <w:marBottom w:val="0"/>
      <w:divBdr>
        <w:top w:val="none" w:sz="0" w:space="0" w:color="auto"/>
        <w:left w:val="none" w:sz="0" w:space="0" w:color="auto"/>
        <w:bottom w:val="none" w:sz="0" w:space="0" w:color="auto"/>
        <w:right w:val="none" w:sz="0" w:space="0" w:color="auto"/>
      </w:divBdr>
    </w:div>
    <w:div w:id="1312444077">
      <w:bodyDiv w:val="1"/>
      <w:marLeft w:val="0"/>
      <w:marRight w:val="0"/>
      <w:marTop w:val="0"/>
      <w:marBottom w:val="0"/>
      <w:divBdr>
        <w:top w:val="none" w:sz="0" w:space="0" w:color="auto"/>
        <w:left w:val="none" w:sz="0" w:space="0" w:color="auto"/>
        <w:bottom w:val="none" w:sz="0" w:space="0" w:color="auto"/>
        <w:right w:val="none" w:sz="0" w:space="0" w:color="auto"/>
      </w:divBdr>
    </w:div>
    <w:div w:id="1317496989">
      <w:bodyDiv w:val="1"/>
      <w:marLeft w:val="0"/>
      <w:marRight w:val="0"/>
      <w:marTop w:val="0"/>
      <w:marBottom w:val="0"/>
      <w:divBdr>
        <w:top w:val="none" w:sz="0" w:space="0" w:color="auto"/>
        <w:left w:val="none" w:sz="0" w:space="0" w:color="auto"/>
        <w:bottom w:val="none" w:sz="0" w:space="0" w:color="auto"/>
        <w:right w:val="none" w:sz="0" w:space="0" w:color="auto"/>
      </w:divBdr>
    </w:div>
    <w:div w:id="1320887902">
      <w:bodyDiv w:val="1"/>
      <w:marLeft w:val="0"/>
      <w:marRight w:val="0"/>
      <w:marTop w:val="0"/>
      <w:marBottom w:val="0"/>
      <w:divBdr>
        <w:top w:val="none" w:sz="0" w:space="0" w:color="auto"/>
        <w:left w:val="none" w:sz="0" w:space="0" w:color="auto"/>
        <w:bottom w:val="none" w:sz="0" w:space="0" w:color="auto"/>
        <w:right w:val="none" w:sz="0" w:space="0" w:color="auto"/>
      </w:divBdr>
    </w:div>
    <w:div w:id="1327901917">
      <w:bodyDiv w:val="1"/>
      <w:marLeft w:val="0"/>
      <w:marRight w:val="0"/>
      <w:marTop w:val="0"/>
      <w:marBottom w:val="0"/>
      <w:divBdr>
        <w:top w:val="none" w:sz="0" w:space="0" w:color="auto"/>
        <w:left w:val="none" w:sz="0" w:space="0" w:color="auto"/>
        <w:bottom w:val="none" w:sz="0" w:space="0" w:color="auto"/>
        <w:right w:val="none" w:sz="0" w:space="0" w:color="auto"/>
      </w:divBdr>
    </w:div>
    <w:div w:id="1331327908">
      <w:bodyDiv w:val="1"/>
      <w:marLeft w:val="0"/>
      <w:marRight w:val="0"/>
      <w:marTop w:val="0"/>
      <w:marBottom w:val="0"/>
      <w:divBdr>
        <w:top w:val="none" w:sz="0" w:space="0" w:color="auto"/>
        <w:left w:val="none" w:sz="0" w:space="0" w:color="auto"/>
        <w:bottom w:val="none" w:sz="0" w:space="0" w:color="auto"/>
        <w:right w:val="none" w:sz="0" w:space="0" w:color="auto"/>
      </w:divBdr>
    </w:div>
    <w:div w:id="1334410583">
      <w:bodyDiv w:val="1"/>
      <w:marLeft w:val="0"/>
      <w:marRight w:val="0"/>
      <w:marTop w:val="0"/>
      <w:marBottom w:val="0"/>
      <w:divBdr>
        <w:top w:val="none" w:sz="0" w:space="0" w:color="auto"/>
        <w:left w:val="none" w:sz="0" w:space="0" w:color="auto"/>
        <w:bottom w:val="none" w:sz="0" w:space="0" w:color="auto"/>
        <w:right w:val="none" w:sz="0" w:space="0" w:color="auto"/>
      </w:divBdr>
    </w:div>
    <w:div w:id="1334650807">
      <w:bodyDiv w:val="1"/>
      <w:marLeft w:val="0"/>
      <w:marRight w:val="0"/>
      <w:marTop w:val="0"/>
      <w:marBottom w:val="0"/>
      <w:divBdr>
        <w:top w:val="none" w:sz="0" w:space="0" w:color="auto"/>
        <w:left w:val="none" w:sz="0" w:space="0" w:color="auto"/>
        <w:bottom w:val="none" w:sz="0" w:space="0" w:color="auto"/>
        <w:right w:val="none" w:sz="0" w:space="0" w:color="auto"/>
      </w:divBdr>
    </w:div>
    <w:div w:id="1334841963">
      <w:bodyDiv w:val="1"/>
      <w:marLeft w:val="0"/>
      <w:marRight w:val="0"/>
      <w:marTop w:val="0"/>
      <w:marBottom w:val="0"/>
      <w:divBdr>
        <w:top w:val="none" w:sz="0" w:space="0" w:color="auto"/>
        <w:left w:val="none" w:sz="0" w:space="0" w:color="auto"/>
        <w:bottom w:val="none" w:sz="0" w:space="0" w:color="auto"/>
        <w:right w:val="none" w:sz="0" w:space="0" w:color="auto"/>
      </w:divBdr>
    </w:div>
    <w:div w:id="1339119418">
      <w:bodyDiv w:val="1"/>
      <w:marLeft w:val="0"/>
      <w:marRight w:val="0"/>
      <w:marTop w:val="0"/>
      <w:marBottom w:val="0"/>
      <w:divBdr>
        <w:top w:val="none" w:sz="0" w:space="0" w:color="auto"/>
        <w:left w:val="none" w:sz="0" w:space="0" w:color="auto"/>
        <w:bottom w:val="none" w:sz="0" w:space="0" w:color="auto"/>
        <w:right w:val="none" w:sz="0" w:space="0" w:color="auto"/>
      </w:divBdr>
    </w:div>
    <w:div w:id="1340045048">
      <w:bodyDiv w:val="1"/>
      <w:marLeft w:val="0"/>
      <w:marRight w:val="0"/>
      <w:marTop w:val="0"/>
      <w:marBottom w:val="0"/>
      <w:divBdr>
        <w:top w:val="none" w:sz="0" w:space="0" w:color="auto"/>
        <w:left w:val="none" w:sz="0" w:space="0" w:color="auto"/>
        <w:bottom w:val="none" w:sz="0" w:space="0" w:color="auto"/>
        <w:right w:val="none" w:sz="0" w:space="0" w:color="auto"/>
      </w:divBdr>
    </w:div>
    <w:div w:id="1343970234">
      <w:bodyDiv w:val="1"/>
      <w:marLeft w:val="0"/>
      <w:marRight w:val="0"/>
      <w:marTop w:val="0"/>
      <w:marBottom w:val="0"/>
      <w:divBdr>
        <w:top w:val="none" w:sz="0" w:space="0" w:color="auto"/>
        <w:left w:val="none" w:sz="0" w:space="0" w:color="auto"/>
        <w:bottom w:val="none" w:sz="0" w:space="0" w:color="auto"/>
        <w:right w:val="none" w:sz="0" w:space="0" w:color="auto"/>
      </w:divBdr>
    </w:div>
    <w:div w:id="1347248935">
      <w:bodyDiv w:val="1"/>
      <w:marLeft w:val="0"/>
      <w:marRight w:val="0"/>
      <w:marTop w:val="0"/>
      <w:marBottom w:val="0"/>
      <w:divBdr>
        <w:top w:val="none" w:sz="0" w:space="0" w:color="auto"/>
        <w:left w:val="none" w:sz="0" w:space="0" w:color="auto"/>
        <w:bottom w:val="none" w:sz="0" w:space="0" w:color="auto"/>
        <w:right w:val="none" w:sz="0" w:space="0" w:color="auto"/>
      </w:divBdr>
    </w:div>
    <w:div w:id="1348093166">
      <w:bodyDiv w:val="1"/>
      <w:marLeft w:val="0"/>
      <w:marRight w:val="0"/>
      <w:marTop w:val="0"/>
      <w:marBottom w:val="0"/>
      <w:divBdr>
        <w:top w:val="none" w:sz="0" w:space="0" w:color="auto"/>
        <w:left w:val="none" w:sz="0" w:space="0" w:color="auto"/>
        <w:bottom w:val="none" w:sz="0" w:space="0" w:color="auto"/>
        <w:right w:val="none" w:sz="0" w:space="0" w:color="auto"/>
      </w:divBdr>
    </w:div>
    <w:div w:id="1350788501">
      <w:bodyDiv w:val="1"/>
      <w:marLeft w:val="0"/>
      <w:marRight w:val="0"/>
      <w:marTop w:val="0"/>
      <w:marBottom w:val="0"/>
      <w:divBdr>
        <w:top w:val="none" w:sz="0" w:space="0" w:color="auto"/>
        <w:left w:val="none" w:sz="0" w:space="0" w:color="auto"/>
        <w:bottom w:val="none" w:sz="0" w:space="0" w:color="auto"/>
        <w:right w:val="none" w:sz="0" w:space="0" w:color="auto"/>
      </w:divBdr>
    </w:div>
    <w:div w:id="1353334839">
      <w:bodyDiv w:val="1"/>
      <w:marLeft w:val="0"/>
      <w:marRight w:val="0"/>
      <w:marTop w:val="0"/>
      <w:marBottom w:val="0"/>
      <w:divBdr>
        <w:top w:val="none" w:sz="0" w:space="0" w:color="auto"/>
        <w:left w:val="none" w:sz="0" w:space="0" w:color="auto"/>
        <w:bottom w:val="none" w:sz="0" w:space="0" w:color="auto"/>
        <w:right w:val="none" w:sz="0" w:space="0" w:color="auto"/>
      </w:divBdr>
    </w:div>
    <w:div w:id="1357924008">
      <w:bodyDiv w:val="1"/>
      <w:marLeft w:val="0"/>
      <w:marRight w:val="0"/>
      <w:marTop w:val="0"/>
      <w:marBottom w:val="0"/>
      <w:divBdr>
        <w:top w:val="none" w:sz="0" w:space="0" w:color="auto"/>
        <w:left w:val="none" w:sz="0" w:space="0" w:color="auto"/>
        <w:bottom w:val="none" w:sz="0" w:space="0" w:color="auto"/>
        <w:right w:val="none" w:sz="0" w:space="0" w:color="auto"/>
      </w:divBdr>
    </w:div>
    <w:div w:id="1360400847">
      <w:bodyDiv w:val="1"/>
      <w:marLeft w:val="0"/>
      <w:marRight w:val="0"/>
      <w:marTop w:val="0"/>
      <w:marBottom w:val="0"/>
      <w:divBdr>
        <w:top w:val="none" w:sz="0" w:space="0" w:color="auto"/>
        <w:left w:val="none" w:sz="0" w:space="0" w:color="auto"/>
        <w:bottom w:val="none" w:sz="0" w:space="0" w:color="auto"/>
        <w:right w:val="none" w:sz="0" w:space="0" w:color="auto"/>
      </w:divBdr>
    </w:div>
    <w:div w:id="1361010086">
      <w:bodyDiv w:val="1"/>
      <w:marLeft w:val="0"/>
      <w:marRight w:val="0"/>
      <w:marTop w:val="0"/>
      <w:marBottom w:val="0"/>
      <w:divBdr>
        <w:top w:val="none" w:sz="0" w:space="0" w:color="auto"/>
        <w:left w:val="none" w:sz="0" w:space="0" w:color="auto"/>
        <w:bottom w:val="none" w:sz="0" w:space="0" w:color="auto"/>
        <w:right w:val="none" w:sz="0" w:space="0" w:color="auto"/>
      </w:divBdr>
    </w:div>
    <w:div w:id="1366296131">
      <w:bodyDiv w:val="1"/>
      <w:marLeft w:val="0"/>
      <w:marRight w:val="0"/>
      <w:marTop w:val="0"/>
      <w:marBottom w:val="0"/>
      <w:divBdr>
        <w:top w:val="none" w:sz="0" w:space="0" w:color="auto"/>
        <w:left w:val="none" w:sz="0" w:space="0" w:color="auto"/>
        <w:bottom w:val="none" w:sz="0" w:space="0" w:color="auto"/>
        <w:right w:val="none" w:sz="0" w:space="0" w:color="auto"/>
      </w:divBdr>
    </w:div>
    <w:div w:id="1366952727">
      <w:bodyDiv w:val="1"/>
      <w:marLeft w:val="0"/>
      <w:marRight w:val="0"/>
      <w:marTop w:val="0"/>
      <w:marBottom w:val="0"/>
      <w:divBdr>
        <w:top w:val="none" w:sz="0" w:space="0" w:color="auto"/>
        <w:left w:val="none" w:sz="0" w:space="0" w:color="auto"/>
        <w:bottom w:val="none" w:sz="0" w:space="0" w:color="auto"/>
        <w:right w:val="none" w:sz="0" w:space="0" w:color="auto"/>
      </w:divBdr>
    </w:div>
    <w:div w:id="1371876068">
      <w:bodyDiv w:val="1"/>
      <w:marLeft w:val="0"/>
      <w:marRight w:val="0"/>
      <w:marTop w:val="0"/>
      <w:marBottom w:val="0"/>
      <w:divBdr>
        <w:top w:val="none" w:sz="0" w:space="0" w:color="auto"/>
        <w:left w:val="none" w:sz="0" w:space="0" w:color="auto"/>
        <w:bottom w:val="none" w:sz="0" w:space="0" w:color="auto"/>
        <w:right w:val="none" w:sz="0" w:space="0" w:color="auto"/>
      </w:divBdr>
    </w:div>
    <w:div w:id="1380475490">
      <w:bodyDiv w:val="1"/>
      <w:marLeft w:val="0"/>
      <w:marRight w:val="0"/>
      <w:marTop w:val="0"/>
      <w:marBottom w:val="0"/>
      <w:divBdr>
        <w:top w:val="none" w:sz="0" w:space="0" w:color="auto"/>
        <w:left w:val="none" w:sz="0" w:space="0" w:color="auto"/>
        <w:bottom w:val="none" w:sz="0" w:space="0" w:color="auto"/>
        <w:right w:val="none" w:sz="0" w:space="0" w:color="auto"/>
      </w:divBdr>
    </w:div>
    <w:div w:id="1381176062">
      <w:bodyDiv w:val="1"/>
      <w:marLeft w:val="0"/>
      <w:marRight w:val="0"/>
      <w:marTop w:val="0"/>
      <w:marBottom w:val="0"/>
      <w:divBdr>
        <w:top w:val="none" w:sz="0" w:space="0" w:color="auto"/>
        <w:left w:val="none" w:sz="0" w:space="0" w:color="auto"/>
        <w:bottom w:val="none" w:sz="0" w:space="0" w:color="auto"/>
        <w:right w:val="none" w:sz="0" w:space="0" w:color="auto"/>
      </w:divBdr>
    </w:div>
    <w:div w:id="1390035799">
      <w:bodyDiv w:val="1"/>
      <w:marLeft w:val="0"/>
      <w:marRight w:val="0"/>
      <w:marTop w:val="0"/>
      <w:marBottom w:val="0"/>
      <w:divBdr>
        <w:top w:val="none" w:sz="0" w:space="0" w:color="auto"/>
        <w:left w:val="none" w:sz="0" w:space="0" w:color="auto"/>
        <w:bottom w:val="none" w:sz="0" w:space="0" w:color="auto"/>
        <w:right w:val="none" w:sz="0" w:space="0" w:color="auto"/>
      </w:divBdr>
    </w:div>
    <w:div w:id="1392582370">
      <w:bodyDiv w:val="1"/>
      <w:marLeft w:val="0"/>
      <w:marRight w:val="0"/>
      <w:marTop w:val="0"/>
      <w:marBottom w:val="0"/>
      <w:divBdr>
        <w:top w:val="none" w:sz="0" w:space="0" w:color="auto"/>
        <w:left w:val="none" w:sz="0" w:space="0" w:color="auto"/>
        <w:bottom w:val="none" w:sz="0" w:space="0" w:color="auto"/>
        <w:right w:val="none" w:sz="0" w:space="0" w:color="auto"/>
      </w:divBdr>
    </w:div>
    <w:div w:id="1398892930">
      <w:bodyDiv w:val="1"/>
      <w:marLeft w:val="0"/>
      <w:marRight w:val="0"/>
      <w:marTop w:val="0"/>
      <w:marBottom w:val="0"/>
      <w:divBdr>
        <w:top w:val="none" w:sz="0" w:space="0" w:color="auto"/>
        <w:left w:val="none" w:sz="0" w:space="0" w:color="auto"/>
        <w:bottom w:val="none" w:sz="0" w:space="0" w:color="auto"/>
        <w:right w:val="none" w:sz="0" w:space="0" w:color="auto"/>
      </w:divBdr>
    </w:div>
    <w:div w:id="1399133656">
      <w:bodyDiv w:val="1"/>
      <w:marLeft w:val="0"/>
      <w:marRight w:val="0"/>
      <w:marTop w:val="0"/>
      <w:marBottom w:val="0"/>
      <w:divBdr>
        <w:top w:val="none" w:sz="0" w:space="0" w:color="auto"/>
        <w:left w:val="none" w:sz="0" w:space="0" w:color="auto"/>
        <w:bottom w:val="none" w:sz="0" w:space="0" w:color="auto"/>
        <w:right w:val="none" w:sz="0" w:space="0" w:color="auto"/>
      </w:divBdr>
    </w:div>
    <w:div w:id="1399356455">
      <w:bodyDiv w:val="1"/>
      <w:marLeft w:val="0"/>
      <w:marRight w:val="0"/>
      <w:marTop w:val="0"/>
      <w:marBottom w:val="0"/>
      <w:divBdr>
        <w:top w:val="none" w:sz="0" w:space="0" w:color="auto"/>
        <w:left w:val="none" w:sz="0" w:space="0" w:color="auto"/>
        <w:bottom w:val="none" w:sz="0" w:space="0" w:color="auto"/>
        <w:right w:val="none" w:sz="0" w:space="0" w:color="auto"/>
      </w:divBdr>
    </w:div>
    <w:div w:id="1402094221">
      <w:bodyDiv w:val="1"/>
      <w:marLeft w:val="0"/>
      <w:marRight w:val="0"/>
      <w:marTop w:val="0"/>
      <w:marBottom w:val="0"/>
      <w:divBdr>
        <w:top w:val="none" w:sz="0" w:space="0" w:color="auto"/>
        <w:left w:val="none" w:sz="0" w:space="0" w:color="auto"/>
        <w:bottom w:val="none" w:sz="0" w:space="0" w:color="auto"/>
        <w:right w:val="none" w:sz="0" w:space="0" w:color="auto"/>
      </w:divBdr>
    </w:div>
    <w:div w:id="1403717077">
      <w:bodyDiv w:val="1"/>
      <w:marLeft w:val="0"/>
      <w:marRight w:val="0"/>
      <w:marTop w:val="0"/>
      <w:marBottom w:val="0"/>
      <w:divBdr>
        <w:top w:val="none" w:sz="0" w:space="0" w:color="auto"/>
        <w:left w:val="none" w:sz="0" w:space="0" w:color="auto"/>
        <w:bottom w:val="none" w:sz="0" w:space="0" w:color="auto"/>
        <w:right w:val="none" w:sz="0" w:space="0" w:color="auto"/>
      </w:divBdr>
    </w:div>
    <w:div w:id="1404137385">
      <w:bodyDiv w:val="1"/>
      <w:marLeft w:val="0"/>
      <w:marRight w:val="0"/>
      <w:marTop w:val="0"/>
      <w:marBottom w:val="0"/>
      <w:divBdr>
        <w:top w:val="none" w:sz="0" w:space="0" w:color="auto"/>
        <w:left w:val="none" w:sz="0" w:space="0" w:color="auto"/>
        <w:bottom w:val="none" w:sz="0" w:space="0" w:color="auto"/>
        <w:right w:val="none" w:sz="0" w:space="0" w:color="auto"/>
      </w:divBdr>
    </w:div>
    <w:div w:id="1416823390">
      <w:bodyDiv w:val="1"/>
      <w:marLeft w:val="0"/>
      <w:marRight w:val="0"/>
      <w:marTop w:val="0"/>
      <w:marBottom w:val="0"/>
      <w:divBdr>
        <w:top w:val="none" w:sz="0" w:space="0" w:color="auto"/>
        <w:left w:val="none" w:sz="0" w:space="0" w:color="auto"/>
        <w:bottom w:val="none" w:sz="0" w:space="0" w:color="auto"/>
        <w:right w:val="none" w:sz="0" w:space="0" w:color="auto"/>
      </w:divBdr>
    </w:div>
    <w:div w:id="1418483931">
      <w:bodyDiv w:val="1"/>
      <w:marLeft w:val="0"/>
      <w:marRight w:val="0"/>
      <w:marTop w:val="0"/>
      <w:marBottom w:val="0"/>
      <w:divBdr>
        <w:top w:val="none" w:sz="0" w:space="0" w:color="auto"/>
        <w:left w:val="none" w:sz="0" w:space="0" w:color="auto"/>
        <w:bottom w:val="none" w:sz="0" w:space="0" w:color="auto"/>
        <w:right w:val="none" w:sz="0" w:space="0" w:color="auto"/>
      </w:divBdr>
    </w:div>
    <w:div w:id="1421833230">
      <w:bodyDiv w:val="1"/>
      <w:marLeft w:val="0"/>
      <w:marRight w:val="0"/>
      <w:marTop w:val="0"/>
      <w:marBottom w:val="0"/>
      <w:divBdr>
        <w:top w:val="none" w:sz="0" w:space="0" w:color="auto"/>
        <w:left w:val="none" w:sz="0" w:space="0" w:color="auto"/>
        <w:bottom w:val="none" w:sz="0" w:space="0" w:color="auto"/>
        <w:right w:val="none" w:sz="0" w:space="0" w:color="auto"/>
      </w:divBdr>
    </w:div>
    <w:div w:id="1424183618">
      <w:bodyDiv w:val="1"/>
      <w:marLeft w:val="0"/>
      <w:marRight w:val="0"/>
      <w:marTop w:val="0"/>
      <w:marBottom w:val="0"/>
      <w:divBdr>
        <w:top w:val="none" w:sz="0" w:space="0" w:color="auto"/>
        <w:left w:val="none" w:sz="0" w:space="0" w:color="auto"/>
        <w:bottom w:val="none" w:sz="0" w:space="0" w:color="auto"/>
        <w:right w:val="none" w:sz="0" w:space="0" w:color="auto"/>
      </w:divBdr>
    </w:div>
    <w:div w:id="1429890039">
      <w:bodyDiv w:val="1"/>
      <w:marLeft w:val="0"/>
      <w:marRight w:val="0"/>
      <w:marTop w:val="0"/>
      <w:marBottom w:val="0"/>
      <w:divBdr>
        <w:top w:val="none" w:sz="0" w:space="0" w:color="auto"/>
        <w:left w:val="none" w:sz="0" w:space="0" w:color="auto"/>
        <w:bottom w:val="none" w:sz="0" w:space="0" w:color="auto"/>
        <w:right w:val="none" w:sz="0" w:space="0" w:color="auto"/>
      </w:divBdr>
    </w:div>
    <w:div w:id="1433210926">
      <w:bodyDiv w:val="1"/>
      <w:marLeft w:val="0"/>
      <w:marRight w:val="0"/>
      <w:marTop w:val="0"/>
      <w:marBottom w:val="0"/>
      <w:divBdr>
        <w:top w:val="none" w:sz="0" w:space="0" w:color="auto"/>
        <w:left w:val="none" w:sz="0" w:space="0" w:color="auto"/>
        <w:bottom w:val="none" w:sz="0" w:space="0" w:color="auto"/>
        <w:right w:val="none" w:sz="0" w:space="0" w:color="auto"/>
      </w:divBdr>
    </w:div>
    <w:div w:id="1433628816">
      <w:bodyDiv w:val="1"/>
      <w:marLeft w:val="0"/>
      <w:marRight w:val="0"/>
      <w:marTop w:val="0"/>
      <w:marBottom w:val="0"/>
      <w:divBdr>
        <w:top w:val="none" w:sz="0" w:space="0" w:color="auto"/>
        <w:left w:val="none" w:sz="0" w:space="0" w:color="auto"/>
        <w:bottom w:val="none" w:sz="0" w:space="0" w:color="auto"/>
        <w:right w:val="none" w:sz="0" w:space="0" w:color="auto"/>
      </w:divBdr>
    </w:div>
    <w:div w:id="1434206698">
      <w:bodyDiv w:val="1"/>
      <w:marLeft w:val="0"/>
      <w:marRight w:val="0"/>
      <w:marTop w:val="0"/>
      <w:marBottom w:val="0"/>
      <w:divBdr>
        <w:top w:val="none" w:sz="0" w:space="0" w:color="auto"/>
        <w:left w:val="none" w:sz="0" w:space="0" w:color="auto"/>
        <w:bottom w:val="none" w:sz="0" w:space="0" w:color="auto"/>
        <w:right w:val="none" w:sz="0" w:space="0" w:color="auto"/>
      </w:divBdr>
    </w:div>
    <w:div w:id="1451633617">
      <w:bodyDiv w:val="1"/>
      <w:marLeft w:val="0"/>
      <w:marRight w:val="0"/>
      <w:marTop w:val="0"/>
      <w:marBottom w:val="0"/>
      <w:divBdr>
        <w:top w:val="none" w:sz="0" w:space="0" w:color="auto"/>
        <w:left w:val="none" w:sz="0" w:space="0" w:color="auto"/>
        <w:bottom w:val="none" w:sz="0" w:space="0" w:color="auto"/>
        <w:right w:val="none" w:sz="0" w:space="0" w:color="auto"/>
      </w:divBdr>
    </w:div>
    <w:div w:id="1457217728">
      <w:bodyDiv w:val="1"/>
      <w:marLeft w:val="0"/>
      <w:marRight w:val="0"/>
      <w:marTop w:val="0"/>
      <w:marBottom w:val="0"/>
      <w:divBdr>
        <w:top w:val="none" w:sz="0" w:space="0" w:color="auto"/>
        <w:left w:val="none" w:sz="0" w:space="0" w:color="auto"/>
        <w:bottom w:val="none" w:sz="0" w:space="0" w:color="auto"/>
        <w:right w:val="none" w:sz="0" w:space="0" w:color="auto"/>
      </w:divBdr>
    </w:div>
    <w:div w:id="1457941974">
      <w:bodyDiv w:val="1"/>
      <w:marLeft w:val="0"/>
      <w:marRight w:val="0"/>
      <w:marTop w:val="0"/>
      <w:marBottom w:val="0"/>
      <w:divBdr>
        <w:top w:val="none" w:sz="0" w:space="0" w:color="auto"/>
        <w:left w:val="none" w:sz="0" w:space="0" w:color="auto"/>
        <w:bottom w:val="none" w:sz="0" w:space="0" w:color="auto"/>
        <w:right w:val="none" w:sz="0" w:space="0" w:color="auto"/>
      </w:divBdr>
    </w:div>
    <w:div w:id="1464887974">
      <w:bodyDiv w:val="1"/>
      <w:marLeft w:val="0"/>
      <w:marRight w:val="0"/>
      <w:marTop w:val="0"/>
      <w:marBottom w:val="0"/>
      <w:divBdr>
        <w:top w:val="none" w:sz="0" w:space="0" w:color="auto"/>
        <w:left w:val="none" w:sz="0" w:space="0" w:color="auto"/>
        <w:bottom w:val="none" w:sz="0" w:space="0" w:color="auto"/>
        <w:right w:val="none" w:sz="0" w:space="0" w:color="auto"/>
      </w:divBdr>
    </w:div>
    <w:div w:id="1471091234">
      <w:bodyDiv w:val="1"/>
      <w:marLeft w:val="0"/>
      <w:marRight w:val="0"/>
      <w:marTop w:val="0"/>
      <w:marBottom w:val="0"/>
      <w:divBdr>
        <w:top w:val="none" w:sz="0" w:space="0" w:color="auto"/>
        <w:left w:val="none" w:sz="0" w:space="0" w:color="auto"/>
        <w:bottom w:val="none" w:sz="0" w:space="0" w:color="auto"/>
        <w:right w:val="none" w:sz="0" w:space="0" w:color="auto"/>
      </w:divBdr>
    </w:div>
    <w:div w:id="1471479879">
      <w:bodyDiv w:val="1"/>
      <w:marLeft w:val="0"/>
      <w:marRight w:val="0"/>
      <w:marTop w:val="0"/>
      <w:marBottom w:val="0"/>
      <w:divBdr>
        <w:top w:val="none" w:sz="0" w:space="0" w:color="auto"/>
        <w:left w:val="none" w:sz="0" w:space="0" w:color="auto"/>
        <w:bottom w:val="none" w:sz="0" w:space="0" w:color="auto"/>
        <w:right w:val="none" w:sz="0" w:space="0" w:color="auto"/>
      </w:divBdr>
    </w:div>
    <w:div w:id="1475293729">
      <w:bodyDiv w:val="1"/>
      <w:marLeft w:val="0"/>
      <w:marRight w:val="0"/>
      <w:marTop w:val="0"/>
      <w:marBottom w:val="0"/>
      <w:divBdr>
        <w:top w:val="none" w:sz="0" w:space="0" w:color="auto"/>
        <w:left w:val="none" w:sz="0" w:space="0" w:color="auto"/>
        <w:bottom w:val="none" w:sz="0" w:space="0" w:color="auto"/>
        <w:right w:val="none" w:sz="0" w:space="0" w:color="auto"/>
      </w:divBdr>
    </w:div>
    <w:div w:id="1477255464">
      <w:bodyDiv w:val="1"/>
      <w:marLeft w:val="0"/>
      <w:marRight w:val="0"/>
      <w:marTop w:val="0"/>
      <w:marBottom w:val="0"/>
      <w:divBdr>
        <w:top w:val="none" w:sz="0" w:space="0" w:color="auto"/>
        <w:left w:val="none" w:sz="0" w:space="0" w:color="auto"/>
        <w:bottom w:val="none" w:sz="0" w:space="0" w:color="auto"/>
        <w:right w:val="none" w:sz="0" w:space="0" w:color="auto"/>
      </w:divBdr>
    </w:div>
    <w:div w:id="1482575224">
      <w:bodyDiv w:val="1"/>
      <w:marLeft w:val="0"/>
      <w:marRight w:val="0"/>
      <w:marTop w:val="0"/>
      <w:marBottom w:val="0"/>
      <w:divBdr>
        <w:top w:val="none" w:sz="0" w:space="0" w:color="auto"/>
        <w:left w:val="none" w:sz="0" w:space="0" w:color="auto"/>
        <w:bottom w:val="none" w:sz="0" w:space="0" w:color="auto"/>
        <w:right w:val="none" w:sz="0" w:space="0" w:color="auto"/>
      </w:divBdr>
    </w:div>
    <w:div w:id="1484200461">
      <w:bodyDiv w:val="1"/>
      <w:marLeft w:val="0"/>
      <w:marRight w:val="0"/>
      <w:marTop w:val="0"/>
      <w:marBottom w:val="0"/>
      <w:divBdr>
        <w:top w:val="none" w:sz="0" w:space="0" w:color="auto"/>
        <w:left w:val="none" w:sz="0" w:space="0" w:color="auto"/>
        <w:bottom w:val="none" w:sz="0" w:space="0" w:color="auto"/>
        <w:right w:val="none" w:sz="0" w:space="0" w:color="auto"/>
      </w:divBdr>
    </w:div>
    <w:div w:id="1485046216">
      <w:bodyDiv w:val="1"/>
      <w:marLeft w:val="0"/>
      <w:marRight w:val="0"/>
      <w:marTop w:val="0"/>
      <w:marBottom w:val="0"/>
      <w:divBdr>
        <w:top w:val="none" w:sz="0" w:space="0" w:color="auto"/>
        <w:left w:val="none" w:sz="0" w:space="0" w:color="auto"/>
        <w:bottom w:val="none" w:sz="0" w:space="0" w:color="auto"/>
        <w:right w:val="none" w:sz="0" w:space="0" w:color="auto"/>
      </w:divBdr>
    </w:div>
    <w:div w:id="1492793313">
      <w:bodyDiv w:val="1"/>
      <w:marLeft w:val="0"/>
      <w:marRight w:val="0"/>
      <w:marTop w:val="0"/>
      <w:marBottom w:val="0"/>
      <w:divBdr>
        <w:top w:val="none" w:sz="0" w:space="0" w:color="auto"/>
        <w:left w:val="none" w:sz="0" w:space="0" w:color="auto"/>
        <w:bottom w:val="none" w:sz="0" w:space="0" w:color="auto"/>
        <w:right w:val="none" w:sz="0" w:space="0" w:color="auto"/>
      </w:divBdr>
    </w:div>
    <w:div w:id="1498768461">
      <w:bodyDiv w:val="1"/>
      <w:marLeft w:val="0"/>
      <w:marRight w:val="0"/>
      <w:marTop w:val="0"/>
      <w:marBottom w:val="0"/>
      <w:divBdr>
        <w:top w:val="none" w:sz="0" w:space="0" w:color="auto"/>
        <w:left w:val="none" w:sz="0" w:space="0" w:color="auto"/>
        <w:bottom w:val="none" w:sz="0" w:space="0" w:color="auto"/>
        <w:right w:val="none" w:sz="0" w:space="0" w:color="auto"/>
      </w:divBdr>
    </w:div>
    <w:div w:id="1500581963">
      <w:bodyDiv w:val="1"/>
      <w:marLeft w:val="0"/>
      <w:marRight w:val="0"/>
      <w:marTop w:val="0"/>
      <w:marBottom w:val="0"/>
      <w:divBdr>
        <w:top w:val="none" w:sz="0" w:space="0" w:color="auto"/>
        <w:left w:val="none" w:sz="0" w:space="0" w:color="auto"/>
        <w:bottom w:val="none" w:sz="0" w:space="0" w:color="auto"/>
        <w:right w:val="none" w:sz="0" w:space="0" w:color="auto"/>
      </w:divBdr>
    </w:div>
    <w:div w:id="1508056670">
      <w:bodyDiv w:val="1"/>
      <w:marLeft w:val="0"/>
      <w:marRight w:val="0"/>
      <w:marTop w:val="0"/>
      <w:marBottom w:val="0"/>
      <w:divBdr>
        <w:top w:val="none" w:sz="0" w:space="0" w:color="auto"/>
        <w:left w:val="none" w:sz="0" w:space="0" w:color="auto"/>
        <w:bottom w:val="none" w:sz="0" w:space="0" w:color="auto"/>
        <w:right w:val="none" w:sz="0" w:space="0" w:color="auto"/>
      </w:divBdr>
    </w:div>
    <w:div w:id="1509826218">
      <w:bodyDiv w:val="1"/>
      <w:marLeft w:val="0"/>
      <w:marRight w:val="0"/>
      <w:marTop w:val="0"/>
      <w:marBottom w:val="0"/>
      <w:divBdr>
        <w:top w:val="none" w:sz="0" w:space="0" w:color="auto"/>
        <w:left w:val="none" w:sz="0" w:space="0" w:color="auto"/>
        <w:bottom w:val="none" w:sz="0" w:space="0" w:color="auto"/>
        <w:right w:val="none" w:sz="0" w:space="0" w:color="auto"/>
      </w:divBdr>
    </w:div>
    <w:div w:id="1510944194">
      <w:bodyDiv w:val="1"/>
      <w:marLeft w:val="0"/>
      <w:marRight w:val="0"/>
      <w:marTop w:val="0"/>
      <w:marBottom w:val="0"/>
      <w:divBdr>
        <w:top w:val="none" w:sz="0" w:space="0" w:color="auto"/>
        <w:left w:val="none" w:sz="0" w:space="0" w:color="auto"/>
        <w:bottom w:val="none" w:sz="0" w:space="0" w:color="auto"/>
        <w:right w:val="none" w:sz="0" w:space="0" w:color="auto"/>
      </w:divBdr>
    </w:div>
    <w:div w:id="1514223000">
      <w:bodyDiv w:val="1"/>
      <w:marLeft w:val="0"/>
      <w:marRight w:val="0"/>
      <w:marTop w:val="0"/>
      <w:marBottom w:val="0"/>
      <w:divBdr>
        <w:top w:val="none" w:sz="0" w:space="0" w:color="auto"/>
        <w:left w:val="none" w:sz="0" w:space="0" w:color="auto"/>
        <w:bottom w:val="none" w:sz="0" w:space="0" w:color="auto"/>
        <w:right w:val="none" w:sz="0" w:space="0" w:color="auto"/>
      </w:divBdr>
    </w:div>
    <w:div w:id="1514608467">
      <w:bodyDiv w:val="1"/>
      <w:marLeft w:val="0"/>
      <w:marRight w:val="0"/>
      <w:marTop w:val="0"/>
      <w:marBottom w:val="0"/>
      <w:divBdr>
        <w:top w:val="none" w:sz="0" w:space="0" w:color="auto"/>
        <w:left w:val="none" w:sz="0" w:space="0" w:color="auto"/>
        <w:bottom w:val="none" w:sz="0" w:space="0" w:color="auto"/>
        <w:right w:val="none" w:sz="0" w:space="0" w:color="auto"/>
      </w:divBdr>
    </w:div>
    <w:div w:id="1515336700">
      <w:bodyDiv w:val="1"/>
      <w:marLeft w:val="0"/>
      <w:marRight w:val="0"/>
      <w:marTop w:val="0"/>
      <w:marBottom w:val="0"/>
      <w:divBdr>
        <w:top w:val="none" w:sz="0" w:space="0" w:color="auto"/>
        <w:left w:val="none" w:sz="0" w:space="0" w:color="auto"/>
        <w:bottom w:val="none" w:sz="0" w:space="0" w:color="auto"/>
        <w:right w:val="none" w:sz="0" w:space="0" w:color="auto"/>
      </w:divBdr>
    </w:div>
    <w:div w:id="1515800008">
      <w:bodyDiv w:val="1"/>
      <w:marLeft w:val="0"/>
      <w:marRight w:val="0"/>
      <w:marTop w:val="0"/>
      <w:marBottom w:val="0"/>
      <w:divBdr>
        <w:top w:val="none" w:sz="0" w:space="0" w:color="auto"/>
        <w:left w:val="none" w:sz="0" w:space="0" w:color="auto"/>
        <w:bottom w:val="none" w:sz="0" w:space="0" w:color="auto"/>
        <w:right w:val="none" w:sz="0" w:space="0" w:color="auto"/>
      </w:divBdr>
    </w:div>
    <w:div w:id="1523665009">
      <w:bodyDiv w:val="1"/>
      <w:marLeft w:val="0"/>
      <w:marRight w:val="0"/>
      <w:marTop w:val="0"/>
      <w:marBottom w:val="0"/>
      <w:divBdr>
        <w:top w:val="none" w:sz="0" w:space="0" w:color="auto"/>
        <w:left w:val="none" w:sz="0" w:space="0" w:color="auto"/>
        <w:bottom w:val="none" w:sz="0" w:space="0" w:color="auto"/>
        <w:right w:val="none" w:sz="0" w:space="0" w:color="auto"/>
      </w:divBdr>
    </w:div>
    <w:div w:id="1529635423">
      <w:bodyDiv w:val="1"/>
      <w:marLeft w:val="0"/>
      <w:marRight w:val="0"/>
      <w:marTop w:val="0"/>
      <w:marBottom w:val="0"/>
      <w:divBdr>
        <w:top w:val="none" w:sz="0" w:space="0" w:color="auto"/>
        <w:left w:val="none" w:sz="0" w:space="0" w:color="auto"/>
        <w:bottom w:val="none" w:sz="0" w:space="0" w:color="auto"/>
        <w:right w:val="none" w:sz="0" w:space="0" w:color="auto"/>
      </w:divBdr>
    </w:div>
    <w:div w:id="1530988233">
      <w:bodyDiv w:val="1"/>
      <w:marLeft w:val="0"/>
      <w:marRight w:val="0"/>
      <w:marTop w:val="0"/>
      <w:marBottom w:val="0"/>
      <w:divBdr>
        <w:top w:val="none" w:sz="0" w:space="0" w:color="auto"/>
        <w:left w:val="none" w:sz="0" w:space="0" w:color="auto"/>
        <w:bottom w:val="none" w:sz="0" w:space="0" w:color="auto"/>
        <w:right w:val="none" w:sz="0" w:space="0" w:color="auto"/>
      </w:divBdr>
    </w:div>
    <w:div w:id="1531793499">
      <w:bodyDiv w:val="1"/>
      <w:marLeft w:val="0"/>
      <w:marRight w:val="0"/>
      <w:marTop w:val="0"/>
      <w:marBottom w:val="0"/>
      <w:divBdr>
        <w:top w:val="none" w:sz="0" w:space="0" w:color="auto"/>
        <w:left w:val="none" w:sz="0" w:space="0" w:color="auto"/>
        <w:bottom w:val="none" w:sz="0" w:space="0" w:color="auto"/>
        <w:right w:val="none" w:sz="0" w:space="0" w:color="auto"/>
      </w:divBdr>
    </w:div>
    <w:div w:id="1544560429">
      <w:bodyDiv w:val="1"/>
      <w:marLeft w:val="0"/>
      <w:marRight w:val="0"/>
      <w:marTop w:val="0"/>
      <w:marBottom w:val="0"/>
      <w:divBdr>
        <w:top w:val="none" w:sz="0" w:space="0" w:color="auto"/>
        <w:left w:val="none" w:sz="0" w:space="0" w:color="auto"/>
        <w:bottom w:val="none" w:sz="0" w:space="0" w:color="auto"/>
        <w:right w:val="none" w:sz="0" w:space="0" w:color="auto"/>
      </w:divBdr>
    </w:div>
    <w:div w:id="1545604113">
      <w:bodyDiv w:val="1"/>
      <w:marLeft w:val="0"/>
      <w:marRight w:val="0"/>
      <w:marTop w:val="0"/>
      <w:marBottom w:val="0"/>
      <w:divBdr>
        <w:top w:val="none" w:sz="0" w:space="0" w:color="auto"/>
        <w:left w:val="none" w:sz="0" w:space="0" w:color="auto"/>
        <w:bottom w:val="none" w:sz="0" w:space="0" w:color="auto"/>
        <w:right w:val="none" w:sz="0" w:space="0" w:color="auto"/>
      </w:divBdr>
    </w:div>
    <w:div w:id="1546867398">
      <w:bodyDiv w:val="1"/>
      <w:marLeft w:val="0"/>
      <w:marRight w:val="0"/>
      <w:marTop w:val="0"/>
      <w:marBottom w:val="0"/>
      <w:divBdr>
        <w:top w:val="none" w:sz="0" w:space="0" w:color="auto"/>
        <w:left w:val="none" w:sz="0" w:space="0" w:color="auto"/>
        <w:bottom w:val="none" w:sz="0" w:space="0" w:color="auto"/>
        <w:right w:val="none" w:sz="0" w:space="0" w:color="auto"/>
      </w:divBdr>
    </w:div>
    <w:div w:id="1552497027">
      <w:bodyDiv w:val="1"/>
      <w:marLeft w:val="0"/>
      <w:marRight w:val="0"/>
      <w:marTop w:val="0"/>
      <w:marBottom w:val="0"/>
      <w:divBdr>
        <w:top w:val="none" w:sz="0" w:space="0" w:color="auto"/>
        <w:left w:val="none" w:sz="0" w:space="0" w:color="auto"/>
        <w:bottom w:val="none" w:sz="0" w:space="0" w:color="auto"/>
        <w:right w:val="none" w:sz="0" w:space="0" w:color="auto"/>
      </w:divBdr>
    </w:div>
    <w:div w:id="1558122839">
      <w:bodyDiv w:val="1"/>
      <w:marLeft w:val="0"/>
      <w:marRight w:val="0"/>
      <w:marTop w:val="0"/>
      <w:marBottom w:val="0"/>
      <w:divBdr>
        <w:top w:val="none" w:sz="0" w:space="0" w:color="auto"/>
        <w:left w:val="none" w:sz="0" w:space="0" w:color="auto"/>
        <w:bottom w:val="none" w:sz="0" w:space="0" w:color="auto"/>
        <w:right w:val="none" w:sz="0" w:space="0" w:color="auto"/>
      </w:divBdr>
    </w:div>
    <w:div w:id="1560172906">
      <w:bodyDiv w:val="1"/>
      <w:marLeft w:val="0"/>
      <w:marRight w:val="0"/>
      <w:marTop w:val="0"/>
      <w:marBottom w:val="0"/>
      <w:divBdr>
        <w:top w:val="none" w:sz="0" w:space="0" w:color="auto"/>
        <w:left w:val="none" w:sz="0" w:space="0" w:color="auto"/>
        <w:bottom w:val="none" w:sz="0" w:space="0" w:color="auto"/>
        <w:right w:val="none" w:sz="0" w:space="0" w:color="auto"/>
      </w:divBdr>
    </w:div>
    <w:div w:id="1561943627">
      <w:bodyDiv w:val="1"/>
      <w:marLeft w:val="0"/>
      <w:marRight w:val="0"/>
      <w:marTop w:val="0"/>
      <w:marBottom w:val="0"/>
      <w:divBdr>
        <w:top w:val="none" w:sz="0" w:space="0" w:color="auto"/>
        <w:left w:val="none" w:sz="0" w:space="0" w:color="auto"/>
        <w:bottom w:val="none" w:sz="0" w:space="0" w:color="auto"/>
        <w:right w:val="none" w:sz="0" w:space="0" w:color="auto"/>
      </w:divBdr>
    </w:div>
    <w:div w:id="1583024989">
      <w:bodyDiv w:val="1"/>
      <w:marLeft w:val="0"/>
      <w:marRight w:val="0"/>
      <w:marTop w:val="0"/>
      <w:marBottom w:val="0"/>
      <w:divBdr>
        <w:top w:val="none" w:sz="0" w:space="0" w:color="auto"/>
        <w:left w:val="none" w:sz="0" w:space="0" w:color="auto"/>
        <w:bottom w:val="none" w:sz="0" w:space="0" w:color="auto"/>
        <w:right w:val="none" w:sz="0" w:space="0" w:color="auto"/>
      </w:divBdr>
    </w:div>
    <w:div w:id="1585068419">
      <w:bodyDiv w:val="1"/>
      <w:marLeft w:val="0"/>
      <w:marRight w:val="0"/>
      <w:marTop w:val="0"/>
      <w:marBottom w:val="0"/>
      <w:divBdr>
        <w:top w:val="none" w:sz="0" w:space="0" w:color="auto"/>
        <w:left w:val="none" w:sz="0" w:space="0" w:color="auto"/>
        <w:bottom w:val="none" w:sz="0" w:space="0" w:color="auto"/>
        <w:right w:val="none" w:sz="0" w:space="0" w:color="auto"/>
      </w:divBdr>
    </w:div>
    <w:div w:id="1585531368">
      <w:bodyDiv w:val="1"/>
      <w:marLeft w:val="0"/>
      <w:marRight w:val="0"/>
      <w:marTop w:val="0"/>
      <w:marBottom w:val="0"/>
      <w:divBdr>
        <w:top w:val="none" w:sz="0" w:space="0" w:color="auto"/>
        <w:left w:val="none" w:sz="0" w:space="0" w:color="auto"/>
        <w:bottom w:val="none" w:sz="0" w:space="0" w:color="auto"/>
        <w:right w:val="none" w:sz="0" w:space="0" w:color="auto"/>
      </w:divBdr>
    </w:div>
    <w:div w:id="1589927767">
      <w:bodyDiv w:val="1"/>
      <w:marLeft w:val="0"/>
      <w:marRight w:val="0"/>
      <w:marTop w:val="0"/>
      <w:marBottom w:val="0"/>
      <w:divBdr>
        <w:top w:val="none" w:sz="0" w:space="0" w:color="auto"/>
        <w:left w:val="none" w:sz="0" w:space="0" w:color="auto"/>
        <w:bottom w:val="none" w:sz="0" w:space="0" w:color="auto"/>
        <w:right w:val="none" w:sz="0" w:space="0" w:color="auto"/>
      </w:divBdr>
    </w:div>
    <w:div w:id="1592350033">
      <w:bodyDiv w:val="1"/>
      <w:marLeft w:val="0"/>
      <w:marRight w:val="0"/>
      <w:marTop w:val="0"/>
      <w:marBottom w:val="0"/>
      <w:divBdr>
        <w:top w:val="none" w:sz="0" w:space="0" w:color="auto"/>
        <w:left w:val="none" w:sz="0" w:space="0" w:color="auto"/>
        <w:bottom w:val="none" w:sz="0" w:space="0" w:color="auto"/>
        <w:right w:val="none" w:sz="0" w:space="0" w:color="auto"/>
      </w:divBdr>
    </w:div>
    <w:div w:id="1595938937">
      <w:bodyDiv w:val="1"/>
      <w:marLeft w:val="0"/>
      <w:marRight w:val="0"/>
      <w:marTop w:val="0"/>
      <w:marBottom w:val="0"/>
      <w:divBdr>
        <w:top w:val="none" w:sz="0" w:space="0" w:color="auto"/>
        <w:left w:val="none" w:sz="0" w:space="0" w:color="auto"/>
        <w:bottom w:val="none" w:sz="0" w:space="0" w:color="auto"/>
        <w:right w:val="none" w:sz="0" w:space="0" w:color="auto"/>
      </w:divBdr>
    </w:div>
    <w:div w:id="1596741985">
      <w:bodyDiv w:val="1"/>
      <w:marLeft w:val="0"/>
      <w:marRight w:val="0"/>
      <w:marTop w:val="0"/>
      <w:marBottom w:val="0"/>
      <w:divBdr>
        <w:top w:val="none" w:sz="0" w:space="0" w:color="auto"/>
        <w:left w:val="none" w:sz="0" w:space="0" w:color="auto"/>
        <w:bottom w:val="none" w:sz="0" w:space="0" w:color="auto"/>
        <w:right w:val="none" w:sz="0" w:space="0" w:color="auto"/>
      </w:divBdr>
    </w:div>
    <w:div w:id="1599557776">
      <w:bodyDiv w:val="1"/>
      <w:marLeft w:val="0"/>
      <w:marRight w:val="0"/>
      <w:marTop w:val="0"/>
      <w:marBottom w:val="0"/>
      <w:divBdr>
        <w:top w:val="none" w:sz="0" w:space="0" w:color="auto"/>
        <w:left w:val="none" w:sz="0" w:space="0" w:color="auto"/>
        <w:bottom w:val="none" w:sz="0" w:space="0" w:color="auto"/>
        <w:right w:val="none" w:sz="0" w:space="0" w:color="auto"/>
      </w:divBdr>
    </w:div>
    <w:div w:id="1602644676">
      <w:bodyDiv w:val="1"/>
      <w:marLeft w:val="0"/>
      <w:marRight w:val="0"/>
      <w:marTop w:val="0"/>
      <w:marBottom w:val="0"/>
      <w:divBdr>
        <w:top w:val="none" w:sz="0" w:space="0" w:color="auto"/>
        <w:left w:val="none" w:sz="0" w:space="0" w:color="auto"/>
        <w:bottom w:val="none" w:sz="0" w:space="0" w:color="auto"/>
        <w:right w:val="none" w:sz="0" w:space="0" w:color="auto"/>
      </w:divBdr>
    </w:div>
    <w:div w:id="1609579943">
      <w:bodyDiv w:val="1"/>
      <w:marLeft w:val="0"/>
      <w:marRight w:val="0"/>
      <w:marTop w:val="0"/>
      <w:marBottom w:val="0"/>
      <w:divBdr>
        <w:top w:val="none" w:sz="0" w:space="0" w:color="auto"/>
        <w:left w:val="none" w:sz="0" w:space="0" w:color="auto"/>
        <w:bottom w:val="none" w:sz="0" w:space="0" w:color="auto"/>
        <w:right w:val="none" w:sz="0" w:space="0" w:color="auto"/>
      </w:divBdr>
    </w:div>
    <w:div w:id="1610620593">
      <w:bodyDiv w:val="1"/>
      <w:marLeft w:val="0"/>
      <w:marRight w:val="0"/>
      <w:marTop w:val="0"/>
      <w:marBottom w:val="0"/>
      <w:divBdr>
        <w:top w:val="none" w:sz="0" w:space="0" w:color="auto"/>
        <w:left w:val="none" w:sz="0" w:space="0" w:color="auto"/>
        <w:bottom w:val="none" w:sz="0" w:space="0" w:color="auto"/>
        <w:right w:val="none" w:sz="0" w:space="0" w:color="auto"/>
      </w:divBdr>
    </w:div>
    <w:div w:id="1613584659">
      <w:bodyDiv w:val="1"/>
      <w:marLeft w:val="0"/>
      <w:marRight w:val="0"/>
      <w:marTop w:val="0"/>
      <w:marBottom w:val="0"/>
      <w:divBdr>
        <w:top w:val="none" w:sz="0" w:space="0" w:color="auto"/>
        <w:left w:val="none" w:sz="0" w:space="0" w:color="auto"/>
        <w:bottom w:val="none" w:sz="0" w:space="0" w:color="auto"/>
        <w:right w:val="none" w:sz="0" w:space="0" w:color="auto"/>
      </w:divBdr>
    </w:div>
    <w:div w:id="1617785341">
      <w:bodyDiv w:val="1"/>
      <w:marLeft w:val="0"/>
      <w:marRight w:val="0"/>
      <w:marTop w:val="0"/>
      <w:marBottom w:val="0"/>
      <w:divBdr>
        <w:top w:val="none" w:sz="0" w:space="0" w:color="auto"/>
        <w:left w:val="none" w:sz="0" w:space="0" w:color="auto"/>
        <w:bottom w:val="none" w:sz="0" w:space="0" w:color="auto"/>
        <w:right w:val="none" w:sz="0" w:space="0" w:color="auto"/>
      </w:divBdr>
    </w:div>
    <w:div w:id="1620142735">
      <w:bodyDiv w:val="1"/>
      <w:marLeft w:val="0"/>
      <w:marRight w:val="0"/>
      <w:marTop w:val="0"/>
      <w:marBottom w:val="0"/>
      <w:divBdr>
        <w:top w:val="none" w:sz="0" w:space="0" w:color="auto"/>
        <w:left w:val="none" w:sz="0" w:space="0" w:color="auto"/>
        <w:bottom w:val="none" w:sz="0" w:space="0" w:color="auto"/>
        <w:right w:val="none" w:sz="0" w:space="0" w:color="auto"/>
      </w:divBdr>
    </w:div>
    <w:div w:id="1620837592">
      <w:bodyDiv w:val="1"/>
      <w:marLeft w:val="0"/>
      <w:marRight w:val="0"/>
      <w:marTop w:val="0"/>
      <w:marBottom w:val="0"/>
      <w:divBdr>
        <w:top w:val="none" w:sz="0" w:space="0" w:color="auto"/>
        <w:left w:val="none" w:sz="0" w:space="0" w:color="auto"/>
        <w:bottom w:val="none" w:sz="0" w:space="0" w:color="auto"/>
        <w:right w:val="none" w:sz="0" w:space="0" w:color="auto"/>
      </w:divBdr>
    </w:div>
    <w:div w:id="1621303080">
      <w:bodyDiv w:val="1"/>
      <w:marLeft w:val="0"/>
      <w:marRight w:val="0"/>
      <w:marTop w:val="0"/>
      <w:marBottom w:val="0"/>
      <w:divBdr>
        <w:top w:val="none" w:sz="0" w:space="0" w:color="auto"/>
        <w:left w:val="none" w:sz="0" w:space="0" w:color="auto"/>
        <w:bottom w:val="none" w:sz="0" w:space="0" w:color="auto"/>
        <w:right w:val="none" w:sz="0" w:space="0" w:color="auto"/>
      </w:divBdr>
    </w:div>
    <w:div w:id="1624113533">
      <w:bodyDiv w:val="1"/>
      <w:marLeft w:val="0"/>
      <w:marRight w:val="0"/>
      <w:marTop w:val="0"/>
      <w:marBottom w:val="0"/>
      <w:divBdr>
        <w:top w:val="none" w:sz="0" w:space="0" w:color="auto"/>
        <w:left w:val="none" w:sz="0" w:space="0" w:color="auto"/>
        <w:bottom w:val="none" w:sz="0" w:space="0" w:color="auto"/>
        <w:right w:val="none" w:sz="0" w:space="0" w:color="auto"/>
      </w:divBdr>
    </w:div>
    <w:div w:id="1624384990">
      <w:bodyDiv w:val="1"/>
      <w:marLeft w:val="0"/>
      <w:marRight w:val="0"/>
      <w:marTop w:val="0"/>
      <w:marBottom w:val="0"/>
      <w:divBdr>
        <w:top w:val="none" w:sz="0" w:space="0" w:color="auto"/>
        <w:left w:val="none" w:sz="0" w:space="0" w:color="auto"/>
        <w:bottom w:val="none" w:sz="0" w:space="0" w:color="auto"/>
        <w:right w:val="none" w:sz="0" w:space="0" w:color="auto"/>
      </w:divBdr>
    </w:div>
    <w:div w:id="1628075469">
      <w:bodyDiv w:val="1"/>
      <w:marLeft w:val="0"/>
      <w:marRight w:val="0"/>
      <w:marTop w:val="0"/>
      <w:marBottom w:val="0"/>
      <w:divBdr>
        <w:top w:val="none" w:sz="0" w:space="0" w:color="auto"/>
        <w:left w:val="none" w:sz="0" w:space="0" w:color="auto"/>
        <w:bottom w:val="none" w:sz="0" w:space="0" w:color="auto"/>
        <w:right w:val="none" w:sz="0" w:space="0" w:color="auto"/>
      </w:divBdr>
    </w:div>
    <w:div w:id="1629319842">
      <w:bodyDiv w:val="1"/>
      <w:marLeft w:val="0"/>
      <w:marRight w:val="0"/>
      <w:marTop w:val="0"/>
      <w:marBottom w:val="0"/>
      <w:divBdr>
        <w:top w:val="none" w:sz="0" w:space="0" w:color="auto"/>
        <w:left w:val="none" w:sz="0" w:space="0" w:color="auto"/>
        <w:bottom w:val="none" w:sz="0" w:space="0" w:color="auto"/>
        <w:right w:val="none" w:sz="0" w:space="0" w:color="auto"/>
      </w:divBdr>
    </w:div>
    <w:div w:id="1635140270">
      <w:bodyDiv w:val="1"/>
      <w:marLeft w:val="0"/>
      <w:marRight w:val="0"/>
      <w:marTop w:val="0"/>
      <w:marBottom w:val="0"/>
      <w:divBdr>
        <w:top w:val="none" w:sz="0" w:space="0" w:color="auto"/>
        <w:left w:val="none" w:sz="0" w:space="0" w:color="auto"/>
        <w:bottom w:val="none" w:sz="0" w:space="0" w:color="auto"/>
        <w:right w:val="none" w:sz="0" w:space="0" w:color="auto"/>
      </w:divBdr>
    </w:div>
    <w:div w:id="1635674408">
      <w:bodyDiv w:val="1"/>
      <w:marLeft w:val="0"/>
      <w:marRight w:val="0"/>
      <w:marTop w:val="0"/>
      <w:marBottom w:val="0"/>
      <w:divBdr>
        <w:top w:val="none" w:sz="0" w:space="0" w:color="auto"/>
        <w:left w:val="none" w:sz="0" w:space="0" w:color="auto"/>
        <w:bottom w:val="none" w:sz="0" w:space="0" w:color="auto"/>
        <w:right w:val="none" w:sz="0" w:space="0" w:color="auto"/>
      </w:divBdr>
    </w:div>
    <w:div w:id="1637905157">
      <w:bodyDiv w:val="1"/>
      <w:marLeft w:val="0"/>
      <w:marRight w:val="0"/>
      <w:marTop w:val="0"/>
      <w:marBottom w:val="0"/>
      <w:divBdr>
        <w:top w:val="none" w:sz="0" w:space="0" w:color="auto"/>
        <w:left w:val="none" w:sz="0" w:space="0" w:color="auto"/>
        <w:bottom w:val="none" w:sz="0" w:space="0" w:color="auto"/>
        <w:right w:val="none" w:sz="0" w:space="0" w:color="auto"/>
      </w:divBdr>
    </w:div>
    <w:div w:id="1639997096">
      <w:bodyDiv w:val="1"/>
      <w:marLeft w:val="0"/>
      <w:marRight w:val="0"/>
      <w:marTop w:val="0"/>
      <w:marBottom w:val="0"/>
      <w:divBdr>
        <w:top w:val="none" w:sz="0" w:space="0" w:color="auto"/>
        <w:left w:val="none" w:sz="0" w:space="0" w:color="auto"/>
        <w:bottom w:val="none" w:sz="0" w:space="0" w:color="auto"/>
        <w:right w:val="none" w:sz="0" w:space="0" w:color="auto"/>
      </w:divBdr>
    </w:div>
    <w:div w:id="1646474193">
      <w:bodyDiv w:val="1"/>
      <w:marLeft w:val="0"/>
      <w:marRight w:val="0"/>
      <w:marTop w:val="0"/>
      <w:marBottom w:val="0"/>
      <w:divBdr>
        <w:top w:val="none" w:sz="0" w:space="0" w:color="auto"/>
        <w:left w:val="none" w:sz="0" w:space="0" w:color="auto"/>
        <w:bottom w:val="none" w:sz="0" w:space="0" w:color="auto"/>
        <w:right w:val="none" w:sz="0" w:space="0" w:color="auto"/>
      </w:divBdr>
    </w:div>
    <w:div w:id="1650280552">
      <w:bodyDiv w:val="1"/>
      <w:marLeft w:val="0"/>
      <w:marRight w:val="0"/>
      <w:marTop w:val="0"/>
      <w:marBottom w:val="0"/>
      <w:divBdr>
        <w:top w:val="none" w:sz="0" w:space="0" w:color="auto"/>
        <w:left w:val="none" w:sz="0" w:space="0" w:color="auto"/>
        <w:bottom w:val="none" w:sz="0" w:space="0" w:color="auto"/>
        <w:right w:val="none" w:sz="0" w:space="0" w:color="auto"/>
      </w:divBdr>
    </w:div>
    <w:div w:id="1651322082">
      <w:bodyDiv w:val="1"/>
      <w:marLeft w:val="0"/>
      <w:marRight w:val="0"/>
      <w:marTop w:val="0"/>
      <w:marBottom w:val="0"/>
      <w:divBdr>
        <w:top w:val="none" w:sz="0" w:space="0" w:color="auto"/>
        <w:left w:val="none" w:sz="0" w:space="0" w:color="auto"/>
        <w:bottom w:val="none" w:sz="0" w:space="0" w:color="auto"/>
        <w:right w:val="none" w:sz="0" w:space="0" w:color="auto"/>
      </w:divBdr>
    </w:div>
    <w:div w:id="1652103381">
      <w:bodyDiv w:val="1"/>
      <w:marLeft w:val="0"/>
      <w:marRight w:val="0"/>
      <w:marTop w:val="0"/>
      <w:marBottom w:val="0"/>
      <w:divBdr>
        <w:top w:val="none" w:sz="0" w:space="0" w:color="auto"/>
        <w:left w:val="none" w:sz="0" w:space="0" w:color="auto"/>
        <w:bottom w:val="none" w:sz="0" w:space="0" w:color="auto"/>
        <w:right w:val="none" w:sz="0" w:space="0" w:color="auto"/>
      </w:divBdr>
    </w:div>
    <w:div w:id="1658069768">
      <w:bodyDiv w:val="1"/>
      <w:marLeft w:val="0"/>
      <w:marRight w:val="0"/>
      <w:marTop w:val="0"/>
      <w:marBottom w:val="0"/>
      <w:divBdr>
        <w:top w:val="none" w:sz="0" w:space="0" w:color="auto"/>
        <w:left w:val="none" w:sz="0" w:space="0" w:color="auto"/>
        <w:bottom w:val="none" w:sz="0" w:space="0" w:color="auto"/>
        <w:right w:val="none" w:sz="0" w:space="0" w:color="auto"/>
      </w:divBdr>
    </w:div>
    <w:div w:id="1661229281">
      <w:bodyDiv w:val="1"/>
      <w:marLeft w:val="0"/>
      <w:marRight w:val="0"/>
      <w:marTop w:val="0"/>
      <w:marBottom w:val="0"/>
      <w:divBdr>
        <w:top w:val="none" w:sz="0" w:space="0" w:color="auto"/>
        <w:left w:val="none" w:sz="0" w:space="0" w:color="auto"/>
        <w:bottom w:val="none" w:sz="0" w:space="0" w:color="auto"/>
        <w:right w:val="none" w:sz="0" w:space="0" w:color="auto"/>
      </w:divBdr>
    </w:div>
    <w:div w:id="1662999245">
      <w:bodyDiv w:val="1"/>
      <w:marLeft w:val="0"/>
      <w:marRight w:val="0"/>
      <w:marTop w:val="0"/>
      <w:marBottom w:val="0"/>
      <w:divBdr>
        <w:top w:val="none" w:sz="0" w:space="0" w:color="auto"/>
        <w:left w:val="none" w:sz="0" w:space="0" w:color="auto"/>
        <w:bottom w:val="none" w:sz="0" w:space="0" w:color="auto"/>
        <w:right w:val="none" w:sz="0" w:space="0" w:color="auto"/>
      </w:divBdr>
    </w:div>
    <w:div w:id="1663047290">
      <w:bodyDiv w:val="1"/>
      <w:marLeft w:val="0"/>
      <w:marRight w:val="0"/>
      <w:marTop w:val="0"/>
      <w:marBottom w:val="0"/>
      <w:divBdr>
        <w:top w:val="none" w:sz="0" w:space="0" w:color="auto"/>
        <w:left w:val="none" w:sz="0" w:space="0" w:color="auto"/>
        <w:bottom w:val="none" w:sz="0" w:space="0" w:color="auto"/>
        <w:right w:val="none" w:sz="0" w:space="0" w:color="auto"/>
      </w:divBdr>
    </w:div>
    <w:div w:id="1669285419">
      <w:bodyDiv w:val="1"/>
      <w:marLeft w:val="0"/>
      <w:marRight w:val="0"/>
      <w:marTop w:val="0"/>
      <w:marBottom w:val="0"/>
      <w:divBdr>
        <w:top w:val="none" w:sz="0" w:space="0" w:color="auto"/>
        <w:left w:val="none" w:sz="0" w:space="0" w:color="auto"/>
        <w:bottom w:val="none" w:sz="0" w:space="0" w:color="auto"/>
        <w:right w:val="none" w:sz="0" w:space="0" w:color="auto"/>
      </w:divBdr>
    </w:div>
    <w:div w:id="1670059183">
      <w:bodyDiv w:val="1"/>
      <w:marLeft w:val="0"/>
      <w:marRight w:val="0"/>
      <w:marTop w:val="0"/>
      <w:marBottom w:val="0"/>
      <w:divBdr>
        <w:top w:val="none" w:sz="0" w:space="0" w:color="auto"/>
        <w:left w:val="none" w:sz="0" w:space="0" w:color="auto"/>
        <w:bottom w:val="none" w:sz="0" w:space="0" w:color="auto"/>
        <w:right w:val="none" w:sz="0" w:space="0" w:color="auto"/>
      </w:divBdr>
    </w:div>
    <w:div w:id="1670211236">
      <w:bodyDiv w:val="1"/>
      <w:marLeft w:val="0"/>
      <w:marRight w:val="0"/>
      <w:marTop w:val="0"/>
      <w:marBottom w:val="0"/>
      <w:divBdr>
        <w:top w:val="none" w:sz="0" w:space="0" w:color="auto"/>
        <w:left w:val="none" w:sz="0" w:space="0" w:color="auto"/>
        <w:bottom w:val="none" w:sz="0" w:space="0" w:color="auto"/>
        <w:right w:val="none" w:sz="0" w:space="0" w:color="auto"/>
      </w:divBdr>
    </w:div>
    <w:div w:id="1672176844">
      <w:bodyDiv w:val="1"/>
      <w:marLeft w:val="0"/>
      <w:marRight w:val="0"/>
      <w:marTop w:val="0"/>
      <w:marBottom w:val="0"/>
      <w:divBdr>
        <w:top w:val="none" w:sz="0" w:space="0" w:color="auto"/>
        <w:left w:val="none" w:sz="0" w:space="0" w:color="auto"/>
        <w:bottom w:val="none" w:sz="0" w:space="0" w:color="auto"/>
        <w:right w:val="none" w:sz="0" w:space="0" w:color="auto"/>
      </w:divBdr>
    </w:div>
    <w:div w:id="1674261821">
      <w:bodyDiv w:val="1"/>
      <w:marLeft w:val="0"/>
      <w:marRight w:val="0"/>
      <w:marTop w:val="0"/>
      <w:marBottom w:val="0"/>
      <w:divBdr>
        <w:top w:val="none" w:sz="0" w:space="0" w:color="auto"/>
        <w:left w:val="none" w:sz="0" w:space="0" w:color="auto"/>
        <w:bottom w:val="none" w:sz="0" w:space="0" w:color="auto"/>
        <w:right w:val="none" w:sz="0" w:space="0" w:color="auto"/>
      </w:divBdr>
    </w:div>
    <w:div w:id="1684284312">
      <w:bodyDiv w:val="1"/>
      <w:marLeft w:val="0"/>
      <w:marRight w:val="0"/>
      <w:marTop w:val="0"/>
      <w:marBottom w:val="0"/>
      <w:divBdr>
        <w:top w:val="none" w:sz="0" w:space="0" w:color="auto"/>
        <w:left w:val="none" w:sz="0" w:space="0" w:color="auto"/>
        <w:bottom w:val="none" w:sz="0" w:space="0" w:color="auto"/>
        <w:right w:val="none" w:sz="0" w:space="0" w:color="auto"/>
      </w:divBdr>
    </w:div>
    <w:div w:id="1691756777">
      <w:bodyDiv w:val="1"/>
      <w:marLeft w:val="0"/>
      <w:marRight w:val="0"/>
      <w:marTop w:val="0"/>
      <w:marBottom w:val="0"/>
      <w:divBdr>
        <w:top w:val="none" w:sz="0" w:space="0" w:color="auto"/>
        <w:left w:val="none" w:sz="0" w:space="0" w:color="auto"/>
        <w:bottom w:val="none" w:sz="0" w:space="0" w:color="auto"/>
        <w:right w:val="none" w:sz="0" w:space="0" w:color="auto"/>
      </w:divBdr>
    </w:div>
    <w:div w:id="1695500846">
      <w:bodyDiv w:val="1"/>
      <w:marLeft w:val="0"/>
      <w:marRight w:val="0"/>
      <w:marTop w:val="0"/>
      <w:marBottom w:val="0"/>
      <w:divBdr>
        <w:top w:val="none" w:sz="0" w:space="0" w:color="auto"/>
        <w:left w:val="none" w:sz="0" w:space="0" w:color="auto"/>
        <w:bottom w:val="none" w:sz="0" w:space="0" w:color="auto"/>
        <w:right w:val="none" w:sz="0" w:space="0" w:color="auto"/>
      </w:divBdr>
    </w:div>
    <w:div w:id="1695954576">
      <w:bodyDiv w:val="1"/>
      <w:marLeft w:val="0"/>
      <w:marRight w:val="0"/>
      <w:marTop w:val="0"/>
      <w:marBottom w:val="0"/>
      <w:divBdr>
        <w:top w:val="none" w:sz="0" w:space="0" w:color="auto"/>
        <w:left w:val="none" w:sz="0" w:space="0" w:color="auto"/>
        <w:bottom w:val="none" w:sz="0" w:space="0" w:color="auto"/>
        <w:right w:val="none" w:sz="0" w:space="0" w:color="auto"/>
      </w:divBdr>
    </w:div>
    <w:div w:id="1704593643">
      <w:bodyDiv w:val="1"/>
      <w:marLeft w:val="0"/>
      <w:marRight w:val="0"/>
      <w:marTop w:val="0"/>
      <w:marBottom w:val="0"/>
      <w:divBdr>
        <w:top w:val="none" w:sz="0" w:space="0" w:color="auto"/>
        <w:left w:val="none" w:sz="0" w:space="0" w:color="auto"/>
        <w:bottom w:val="none" w:sz="0" w:space="0" w:color="auto"/>
        <w:right w:val="none" w:sz="0" w:space="0" w:color="auto"/>
      </w:divBdr>
    </w:div>
    <w:div w:id="1707635719">
      <w:bodyDiv w:val="1"/>
      <w:marLeft w:val="0"/>
      <w:marRight w:val="0"/>
      <w:marTop w:val="0"/>
      <w:marBottom w:val="0"/>
      <w:divBdr>
        <w:top w:val="none" w:sz="0" w:space="0" w:color="auto"/>
        <w:left w:val="none" w:sz="0" w:space="0" w:color="auto"/>
        <w:bottom w:val="none" w:sz="0" w:space="0" w:color="auto"/>
        <w:right w:val="none" w:sz="0" w:space="0" w:color="auto"/>
      </w:divBdr>
    </w:div>
    <w:div w:id="1708065003">
      <w:bodyDiv w:val="1"/>
      <w:marLeft w:val="0"/>
      <w:marRight w:val="0"/>
      <w:marTop w:val="0"/>
      <w:marBottom w:val="0"/>
      <w:divBdr>
        <w:top w:val="none" w:sz="0" w:space="0" w:color="auto"/>
        <w:left w:val="none" w:sz="0" w:space="0" w:color="auto"/>
        <w:bottom w:val="none" w:sz="0" w:space="0" w:color="auto"/>
        <w:right w:val="none" w:sz="0" w:space="0" w:color="auto"/>
      </w:divBdr>
    </w:div>
    <w:div w:id="1713923547">
      <w:bodyDiv w:val="1"/>
      <w:marLeft w:val="0"/>
      <w:marRight w:val="0"/>
      <w:marTop w:val="0"/>
      <w:marBottom w:val="0"/>
      <w:divBdr>
        <w:top w:val="none" w:sz="0" w:space="0" w:color="auto"/>
        <w:left w:val="none" w:sz="0" w:space="0" w:color="auto"/>
        <w:bottom w:val="none" w:sz="0" w:space="0" w:color="auto"/>
        <w:right w:val="none" w:sz="0" w:space="0" w:color="auto"/>
      </w:divBdr>
    </w:div>
    <w:div w:id="1727756547">
      <w:bodyDiv w:val="1"/>
      <w:marLeft w:val="0"/>
      <w:marRight w:val="0"/>
      <w:marTop w:val="0"/>
      <w:marBottom w:val="0"/>
      <w:divBdr>
        <w:top w:val="none" w:sz="0" w:space="0" w:color="auto"/>
        <w:left w:val="none" w:sz="0" w:space="0" w:color="auto"/>
        <w:bottom w:val="none" w:sz="0" w:space="0" w:color="auto"/>
        <w:right w:val="none" w:sz="0" w:space="0" w:color="auto"/>
      </w:divBdr>
    </w:div>
    <w:div w:id="1733040219">
      <w:bodyDiv w:val="1"/>
      <w:marLeft w:val="0"/>
      <w:marRight w:val="0"/>
      <w:marTop w:val="0"/>
      <w:marBottom w:val="0"/>
      <w:divBdr>
        <w:top w:val="none" w:sz="0" w:space="0" w:color="auto"/>
        <w:left w:val="none" w:sz="0" w:space="0" w:color="auto"/>
        <w:bottom w:val="none" w:sz="0" w:space="0" w:color="auto"/>
        <w:right w:val="none" w:sz="0" w:space="0" w:color="auto"/>
      </w:divBdr>
    </w:div>
    <w:div w:id="1736392054">
      <w:bodyDiv w:val="1"/>
      <w:marLeft w:val="0"/>
      <w:marRight w:val="0"/>
      <w:marTop w:val="0"/>
      <w:marBottom w:val="0"/>
      <w:divBdr>
        <w:top w:val="none" w:sz="0" w:space="0" w:color="auto"/>
        <w:left w:val="none" w:sz="0" w:space="0" w:color="auto"/>
        <w:bottom w:val="none" w:sz="0" w:space="0" w:color="auto"/>
        <w:right w:val="none" w:sz="0" w:space="0" w:color="auto"/>
      </w:divBdr>
    </w:div>
    <w:div w:id="1737436383">
      <w:bodyDiv w:val="1"/>
      <w:marLeft w:val="0"/>
      <w:marRight w:val="0"/>
      <w:marTop w:val="0"/>
      <w:marBottom w:val="0"/>
      <w:divBdr>
        <w:top w:val="none" w:sz="0" w:space="0" w:color="auto"/>
        <w:left w:val="none" w:sz="0" w:space="0" w:color="auto"/>
        <w:bottom w:val="none" w:sz="0" w:space="0" w:color="auto"/>
        <w:right w:val="none" w:sz="0" w:space="0" w:color="auto"/>
      </w:divBdr>
    </w:div>
    <w:div w:id="1739208254">
      <w:bodyDiv w:val="1"/>
      <w:marLeft w:val="0"/>
      <w:marRight w:val="0"/>
      <w:marTop w:val="0"/>
      <w:marBottom w:val="0"/>
      <w:divBdr>
        <w:top w:val="none" w:sz="0" w:space="0" w:color="auto"/>
        <w:left w:val="none" w:sz="0" w:space="0" w:color="auto"/>
        <w:bottom w:val="none" w:sz="0" w:space="0" w:color="auto"/>
        <w:right w:val="none" w:sz="0" w:space="0" w:color="auto"/>
      </w:divBdr>
    </w:div>
    <w:div w:id="1739553310">
      <w:bodyDiv w:val="1"/>
      <w:marLeft w:val="0"/>
      <w:marRight w:val="0"/>
      <w:marTop w:val="0"/>
      <w:marBottom w:val="0"/>
      <w:divBdr>
        <w:top w:val="none" w:sz="0" w:space="0" w:color="auto"/>
        <w:left w:val="none" w:sz="0" w:space="0" w:color="auto"/>
        <w:bottom w:val="none" w:sz="0" w:space="0" w:color="auto"/>
        <w:right w:val="none" w:sz="0" w:space="0" w:color="auto"/>
      </w:divBdr>
    </w:div>
    <w:div w:id="1740471663">
      <w:bodyDiv w:val="1"/>
      <w:marLeft w:val="0"/>
      <w:marRight w:val="0"/>
      <w:marTop w:val="0"/>
      <w:marBottom w:val="0"/>
      <w:divBdr>
        <w:top w:val="none" w:sz="0" w:space="0" w:color="auto"/>
        <w:left w:val="none" w:sz="0" w:space="0" w:color="auto"/>
        <w:bottom w:val="none" w:sz="0" w:space="0" w:color="auto"/>
        <w:right w:val="none" w:sz="0" w:space="0" w:color="auto"/>
      </w:divBdr>
    </w:div>
    <w:div w:id="1743022370">
      <w:bodyDiv w:val="1"/>
      <w:marLeft w:val="0"/>
      <w:marRight w:val="0"/>
      <w:marTop w:val="0"/>
      <w:marBottom w:val="0"/>
      <w:divBdr>
        <w:top w:val="none" w:sz="0" w:space="0" w:color="auto"/>
        <w:left w:val="none" w:sz="0" w:space="0" w:color="auto"/>
        <w:bottom w:val="none" w:sz="0" w:space="0" w:color="auto"/>
        <w:right w:val="none" w:sz="0" w:space="0" w:color="auto"/>
      </w:divBdr>
    </w:div>
    <w:div w:id="1743403484">
      <w:bodyDiv w:val="1"/>
      <w:marLeft w:val="0"/>
      <w:marRight w:val="0"/>
      <w:marTop w:val="0"/>
      <w:marBottom w:val="0"/>
      <w:divBdr>
        <w:top w:val="none" w:sz="0" w:space="0" w:color="auto"/>
        <w:left w:val="none" w:sz="0" w:space="0" w:color="auto"/>
        <w:bottom w:val="none" w:sz="0" w:space="0" w:color="auto"/>
        <w:right w:val="none" w:sz="0" w:space="0" w:color="auto"/>
      </w:divBdr>
    </w:div>
    <w:div w:id="1746487186">
      <w:bodyDiv w:val="1"/>
      <w:marLeft w:val="0"/>
      <w:marRight w:val="0"/>
      <w:marTop w:val="0"/>
      <w:marBottom w:val="0"/>
      <w:divBdr>
        <w:top w:val="none" w:sz="0" w:space="0" w:color="auto"/>
        <w:left w:val="none" w:sz="0" w:space="0" w:color="auto"/>
        <w:bottom w:val="none" w:sz="0" w:space="0" w:color="auto"/>
        <w:right w:val="none" w:sz="0" w:space="0" w:color="auto"/>
      </w:divBdr>
    </w:div>
    <w:div w:id="1751124404">
      <w:bodyDiv w:val="1"/>
      <w:marLeft w:val="0"/>
      <w:marRight w:val="0"/>
      <w:marTop w:val="0"/>
      <w:marBottom w:val="0"/>
      <w:divBdr>
        <w:top w:val="none" w:sz="0" w:space="0" w:color="auto"/>
        <w:left w:val="none" w:sz="0" w:space="0" w:color="auto"/>
        <w:bottom w:val="none" w:sz="0" w:space="0" w:color="auto"/>
        <w:right w:val="none" w:sz="0" w:space="0" w:color="auto"/>
      </w:divBdr>
    </w:div>
    <w:div w:id="1751466102">
      <w:bodyDiv w:val="1"/>
      <w:marLeft w:val="0"/>
      <w:marRight w:val="0"/>
      <w:marTop w:val="0"/>
      <w:marBottom w:val="0"/>
      <w:divBdr>
        <w:top w:val="none" w:sz="0" w:space="0" w:color="auto"/>
        <w:left w:val="none" w:sz="0" w:space="0" w:color="auto"/>
        <w:bottom w:val="none" w:sz="0" w:space="0" w:color="auto"/>
        <w:right w:val="none" w:sz="0" w:space="0" w:color="auto"/>
      </w:divBdr>
    </w:div>
    <w:div w:id="1754887526">
      <w:bodyDiv w:val="1"/>
      <w:marLeft w:val="0"/>
      <w:marRight w:val="0"/>
      <w:marTop w:val="0"/>
      <w:marBottom w:val="0"/>
      <w:divBdr>
        <w:top w:val="none" w:sz="0" w:space="0" w:color="auto"/>
        <w:left w:val="none" w:sz="0" w:space="0" w:color="auto"/>
        <w:bottom w:val="none" w:sz="0" w:space="0" w:color="auto"/>
        <w:right w:val="none" w:sz="0" w:space="0" w:color="auto"/>
      </w:divBdr>
    </w:div>
    <w:div w:id="1760179886">
      <w:bodyDiv w:val="1"/>
      <w:marLeft w:val="0"/>
      <w:marRight w:val="0"/>
      <w:marTop w:val="0"/>
      <w:marBottom w:val="0"/>
      <w:divBdr>
        <w:top w:val="none" w:sz="0" w:space="0" w:color="auto"/>
        <w:left w:val="none" w:sz="0" w:space="0" w:color="auto"/>
        <w:bottom w:val="none" w:sz="0" w:space="0" w:color="auto"/>
        <w:right w:val="none" w:sz="0" w:space="0" w:color="auto"/>
      </w:divBdr>
    </w:div>
    <w:div w:id="1762487261">
      <w:bodyDiv w:val="1"/>
      <w:marLeft w:val="0"/>
      <w:marRight w:val="0"/>
      <w:marTop w:val="0"/>
      <w:marBottom w:val="0"/>
      <w:divBdr>
        <w:top w:val="none" w:sz="0" w:space="0" w:color="auto"/>
        <w:left w:val="none" w:sz="0" w:space="0" w:color="auto"/>
        <w:bottom w:val="none" w:sz="0" w:space="0" w:color="auto"/>
        <w:right w:val="none" w:sz="0" w:space="0" w:color="auto"/>
      </w:divBdr>
    </w:div>
    <w:div w:id="1763640949">
      <w:bodyDiv w:val="1"/>
      <w:marLeft w:val="0"/>
      <w:marRight w:val="0"/>
      <w:marTop w:val="0"/>
      <w:marBottom w:val="0"/>
      <w:divBdr>
        <w:top w:val="none" w:sz="0" w:space="0" w:color="auto"/>
        <w:left w:val="none" w:sz="0" w:space="0" w:color="auto"/>
        <w:bottom w:val="none" w:sz="0" w:space="0" w:color="auto"/>
        <w:right w:val="none" w:sz="0" w:space="0" w:color="auto"/>
      </w:divBdr>
    </w:div>
    <w:div w:id="1764446932">
      <w:bodyDiv w:val="1"/>
      <w:marLeft w:val="0"/>
      <w:marRight w:val="0"/>
      <w:marTop w:val="0"/>
      <w:marBottom w:val="0"/>
      <w:divBdr>
        <w:top w:val="none" w:sz="0" w:space="0" w:color="auto"/>
        <w:left w:val="none" w:sz="0" w:space="0" w:color="auto"/>
        <w:bottom w:val="none" w:sz="0" w:space="0" w:color="auto"/>
        <w:right w:val="none" w:sz="0" w:space="0" w:color="auto"/>
      </w:divBdr>
    </w:div>
    <w:div w:id="1769734617">
      <w:bodyDiv w:val="1"/>
      <w:marLeft w:val="0"/>
      <w:marRight w:val="0"/>
      <w:marTop w:val="0"/>
      <w:marBottom w:val="0"/>
      <w:divBdr>
        <w:top w:val="none" w:sz="0" w:space="0" w:color="auto"/>
        <w:left w:val="none" w:sz="0" w:space="0" w:color="auto"/>
        <w:bottom w:val="none" w:sz="0" w:space="0" w:color="auto"/>
        <w:right w:val="none" w:sz="0" w:space="0" w:color="auto"/>
      </w:divBdr>
    </w:div>
    <w:div w:id="1770731344">
      <w:bodyDiv w:val="1"/>
      <w:marLeft w:val="0"/>
      <w:marRight w:val="0"/>
      <w:marTop w:val="0"/>
      <w:marBottom w:val="0"/>
      <w:divBdr>
        <w:top w:val="none" w:sz="0" w:space="0" w:color="auto"/>
        <w:left w:val="none" w:sz="0" w:space="0" w:color="auto"/>
        <w:bottom w:val="none" w:sz="0" w:space="0" w:color="auto"/>
        <w:right w:val="none" w:sz="0" w:space="0" w:color="auto"/>
      </w:divBdr>
    </w:div>
    <w:div w:id="1774780804">
      <w:bodyDiv w:val="1"/>
      <w:marLeft w:val="0"/>
      <w:marRight w:val="0"/>
      <w:marTop w:val="0"/>
      <w:marBottom w:val="0"/>
      <w:divBdr>
        <w:top w:val="none" w:sz="0" w:space="0" w:color="auto"/>
        <w:left w:val="none" w:sz="0" w:space="0" w:color="auto"/>
        <w:bottom w:val="none" w:sz="0" w:space="0" w:color="auto"/>
        <w:right w:val="none" w:sz="0" w:space="0" w:color="auto"/>
      </w:divBdr>
    </w:div>
    <w:div w:id="1775444967">
      <w:bodyDiv w:val="1"/>
      <w:marLeft w:val="0"/>
      <w:marRight w:val="0"/>
      <w:marTop w:val="0"/>
      <w:marBottom w:val="0"/>
      <w:divBdr>
        <w:top w:val="none" w:sz="0" w:space="0" w:color="auto"/>
        <w:left w:val="none" w:sz="0" w:space="0" w:color="auto"/>
        <w:bottom w:val="none" w:sz="0" w:space="0" w:color="auto"/>
        <w:right w:val="none" w:sz="0" w:space="0" w:color="auto"/>
      </w:divBdr>
    </w:div>
    <w:div w:id="1781219842">
      <w:bodyDiv w:val="1"/>
      <w:marLeft w:val="0"/>
      <w:marRight w:val="0"/>
      <w:marTop w:val="0"/>
      <w:marBottom w:val="0"/>
      <w:divBdr>
        <w:top w:val="none" w:sz="0" w:space="0" w:color="auto"/>
        <w:left w:val="none" w:sz="0" w:space="0" w:color="auto"/>
        <w:bottom w:val="none" w:sz="0" w:space="0" w:color="auto"/>
        <w:right w:val="none" w:sz="0" w:space="0" w:color="auto"/>
      </w:divBdr>
    </w:div>
    <w:div w:id="1781608985">
      <w:bodyDiv w:val="1"/>
      <w:marLeft w:val="0"/>
      <w:marRight w:val="0"/>
      <w:marTop w:val="0"/>
      <w:marBottom w:val="0"/>
      <w:divBdr>
        <w:top w:val="none" w:sz="0" w:space="0" w:color="auto"/>
        <w:left w:val="none" w:sz="0" w:space="0" w:color="auto"/>
        <w:bottom w:val="none" w:sz="0" w:space="0" w:color="auto"/>
        <w:right w:val="none" w:sz="0" w:space="0" w:color="auto"/>
      </w:divBdr>
    </w:div>
    <w:div w:id="1783378740">
      <w:bodyDiv w:val="1"/>
      <w:marLeft w:val="0"/>
      <w:marRight w:val="0"/>
      <w:marTop w:val="0"/>
      <w:marBottom w:val="0"/>
      <w:divBdr>
        <w:top w:val="none" w:sz="0" w:space="0" w:color="auto"/>
        <w:left w:val="none" w:sz="0" w:space="0" w:color="auto"/>
        <w:bottom w:val="none" w:sz="0" w:space="0" w:color="auto"/>
        <w:right w:val="none" w:sz="0" w:space="0" w:color="auto"/>
      </w:divBdr>
    </w:div>
    <w:div w:id="1788544928">
      <w:bodyDiv w:val="1"/>
      <w:marLeft w:val="0"/>
      <w:marRight w:val="0"/>
      <w:marTop w:val="0"/>
      <w:marBottom w:val="0"/>
      <w:divBdr>
        <w:top w:val="none" w:sz="0" w:space="0" w:color="auto"/>
        <w:left w:val="none" w:sz="0" w:space="0" w:color="auto"/>
        <w:bottom w:val="none" w:sz="0" w:space="0" w:color="auto"/>
        <w:right w:val="none" w:sz="0" w:space="0" w:color="auto"/>
      </w:divBdr>
    </w:div>
    <w:div w:id="1798642213">
      <w:bodyDiv w:val="1"/>
      <w:marLeft w:val="0"/>
      <w:marRight w:val="0"/>
      <w:marTop w:val="0"/>
      <w:marBottom w:val="0"/>
      <w:divBdr>
        <w:top w:val="none" w:sz="0" w:space="0" w:color="auto"/>
        <w:left w:val="none" w:sz="0" w:space="0" w:color="auto"/>
        <w:bottom w:val="none" w:sz="0" w:space="0" w:color="auto"/>
        <w:right w:val="none" w:sz="0" w:space="0" w:color="auto"/>
      </w:divBdr>
    </w:div>
    <w:div w:id="1808546873">
      <w:bodyDiv w:val="1"/>
      <w:marLeft w:val="0"/>
      <w:marRight w:val="0"/>
      <w:marTop w:val="0"/>
      <w:marBottom w:val="0"/>
      <w:divBdr>
        <w:top w:val="none" w:sz="0" w:space="0" w:color="auto"/>
        <w:left w:val="none" w:sz="0" w:space="0" w:color="auto"/>
        <w:bottom w:val="none" w:sz="0" w:space="0" w:color="auto"/>
        <w:right w:val="none" w:sz="0" w:space="0" w:color="auto"/>
      </w:divBdr>
    </w:div>
    <w:div w:id="1813667464">
      <w:bodyDiv w:val="1"/>
      <w:marLeft w:val="0"/>
      <w:marRight w:val="0"/>
      <w:marTop w:val="0"/>
      <w:marBottom w:val="0"/>
      <w:divBdr>
        <w:top w:val="none" w:sz="0" w:space="0" w:color="auto"/>
        <w:left w:val="none" w:sz="0" w:space="0" w:color="auto"/>
        <w:bottom w:val="none" w:sz="0" w:space="0" w:color="auto"/>
        <w:right w:val="none" w:sz="0" w:space="0" w:color="auto"/>
      </w:divBdr>
    </w:div>
    <w:div w:id="1815752835">
      <w:bodyDiv w:val="1"/>
      <w:marLeft w:val="0"/>
      <w:marRight w:val="0"/>
      <w:marTop w:val="0"/>
      <w:marBottom w:val="0"/>
      <w:divBdr>
        <w:top w:val="none" w:sz="0" w:space="0" w:color="auto"/>
        <w:left w:val="none" w:sz="0" w:space="0" w:color="auto"/>
        <w:bottom w:val="none" w:sz="0" w:space="0" w:color="auto"/>
        <w:right w:val="none" w:sz="0" w:space="0" w:color="auto"/>
      </w:divBdr>
    </w:div>
    <w:div w:id="1821729915">
      <w:bodyDiv w:val="1"/>
      <w:marLeft w:val="0"/>
      <w:marRight w:val="0"/>
      <w:marTop w:val="0"/>
      <w:marBottom w:val="0"/>
      <w:divBdr>
        <w:top w:val="none" w:sz="0" w:space="0" w:color="auto"/>
        <w:left w:val="none" w:sz="0" w:space="0" w:color="auto"/>
        <w:bottom w:val="none" w:sz="0" w:space="0" w:color="auto"/>
        <w:right w:val="none" w:sz="0" w:space="0" w:color="auto"/>
      </w:divBdr>
    </w:div>
    <w:div w:id="1823227492">
      <w:bodyDiv w:val="1"/>
      <w:marLeft w:val="0"/>
      <w:marRight w:val="0"/>
      <w:marTop w:val="0"/>
      <w:marBottom w:val="0"/>
      <w:divBdr>
        <w:top w:val="none" w:sz="0" w:space="0" w:color="auto"/>
        <w:left w:val="none" w:sz="0" w:space="0" w:color="auto"/>
        <w:bottom w:val="none" w:sz="0" w:space="0" w:color="auto"/>
        <w:right w:val="none" w:sz="0" w:space="0" w:color="auto"/>
      </w:divBdr>
    </w:div>
    <w:div w:id="1825585138">
      <w:bodyDiv w:val="1"/>
      <w:marLeft w:val="0"/>
      <w:marRight w:val="0"/>
      <w:marTop w:val="0"/>
      <w:marBottom w:val="0"/>
      <w:divBdr>
        <w:top w:val="none" w:sz="0" w:space="0" w:color="auto"/>
        <w:left w:val="none" w:sz="0" w:space="0" w:color="auto"/>
        <w:bottom w:val="none" w:sz="0" w:space="0" w:color="auto"/>
        <w:right w:val="none" w:sz="0" w:space="0" w:color="auto"/>
      </w:divBdr>
    </w:div>
    <w:div w:id="1829133386">
      <w:bodyDiv w:val="1"/>
      <w:marLeft w:val="0"/>
      <w:marRight w:val="0"/>
      <w:marTop w:val="0"/>
      <w:marBottom w:val="0"/>
      <w:divBdr>
        <w:top w:val="none" w:sz="0" w:space="0" w:color="auto"/>
        <w:left w:val="none" w:sz="0" w:space="0" w:color="auto"/>
        <w:bottom w:val="none" w:sz="0" w:space="0" w:color="auto"/>
        <w:right w:val="none" w:sz="0" w:space="0" w:color="auto"/>
      </w:divBdr>
    </w:div>
    <w:div w:id="1831285829">
      <w:bodyDiv w:val="1"/>
      <w:marLeft w:val="0"/>
      <w:marRight w:val="0"/>
      <w:marTop w:val="0"/>
      <w:marBottom w:val="0"/>
      <w:divBdr>
        <w:top w:val="none" w:sz="0" w:space="0" w:color="auto"/>
        <w:left w:val="none" w:sz="0" w:space="0" w:color="auto"/>
        <w:bottom w:val="none" w:sz="0" w:space="0" w:color="auto"/>
        <w:right w:val="none" w:sz="0" w:space="0" w:color="auto"/>
      </w:divBdr>
    </w:div>
    <w:div w:id="1831601670">
      <w:bodyDiv w:val="1"/>
      <w:marLeft w:val="0"/>
      <w:marRight w:val="0"/>
      <w:marTop w:val="0"/>
      <w:marBottom w:val="0"/>
      <w:divBdr>
        <w:top w:val="none" w:sz="0" w:space="0" w:color="auto"/>
        <w:left w:val="none" w:sz="0" w:space="0" w:color="auto"/>
        <w:bottom w:val="none" w:sz="0" w:space="0" w:color="auto"/>
        <w:right w:val="none" w:sz="0" w:space="0" w:color="auto"/>
      </w:divBdr>
    </w:div>
    <w:div w:id="1839342072">
      <w:bodyDiv w:val="1"/>
      <w:marLeft w:val="0"/>
      <w:marRight w:val="0"/>
      <w:marTop w:val="0"/>
      <w:marBottom w:val="0"/>
      <w:divBdr>
        <w:top w:val="none" w:sz="0" w:space="0" w:color="auto"/>
        <w:left w:val="none" w:sz="0" w:space="0" w:color="auto"/>
        <w:bottom w:val="none" w:sz="0" w:space="0" w:color="auto"/>
        <w:right w:val="none" w:sz="0" w:space="0" w:color="auto"/>
      </w:divBdr>
    </w:div>
    <w:div w:id="1843010244">
      <w:bodyDiv w:val="1"/>
      <w:marLeft w:val="0"/>
      <w:marRight w:val="0"/>
      <w:marTop w:val="0"/>
      <w:marBottom w:val="0"/>
      <w:divBdr>
        <w:top w:val="none" w:sz="0" w:space="0" w:color="auto"/>
        <w:left w:val="none" w:sz="0" w:space="0" w:color="auto"/>
        <w:bottom w:val="none" w:sz="0" w:space="0" w:color="auto"/>
        <w:right w:val="none" w:sz="0" w:space="0" w:color="auto"/>
      </w:divBdr>
    </w:div>
    <w:div w:id="1847094061">
      <w:bodyDiv w:val="1"/>
      <w:marLeft w:val="0"/>
      <w:marRight w:val="0"/>
      <w:marTop w:val="0"/>
      <w:marBottom w:val="0"/>
      <w:divBdr>
        <w:top w:val="none" w:sz="0" w:space="0" w:color="auto"/>
        <w:left w:val="none" w:sz="0" w:space="0" w:color="auto"/>
        <w:bottom w:val="none" w:sz="0" w:space="0" w:color="auto"/>
        <w:right w:val="none" w:sz="0" w:space="0" w:color="auto"/>
      </w:divBdr>
    </w:div>
    <w:div w:id="1847398720">
      <w:bodyDiv w:val="1"/>
      <w:marLeft w:val="0"/>
      <w:marRight w:val="0"/>
      <w:marTop w:val="0"/>
      <w:marBottom w:val="0"/>
      <w:divBdr>
        <w:top w:val="none" w:sz="0" w:space="0" w:color="auto"/>
        <w:left w:val="none" w:sz="0" w:space="0" w:color="auto"/>
        <w:bottom w:val="none" w:sz="0" w:space="0" w:color="auto"/>
        <w:right w:val="none" w:sz="0" w:space="0" w:color="auto"/>
      </w:divBdr>
    </w:div>
    <w:div w:id="1849981694">
      <w:bodyDiv w:val="1"/>
      <w:marLeft w:val="0"/>
      <w:marRight w:val="0"/>
      <w:marTop w:val="0"/>
      <w:marBottom w:val="0"/>
      <w:divBdr>
        <w:top w:val="none" w:sz="0" w:space="0" w:color="auto"/>
        <w:left w:val="none" w:sz="0" w:space="0" w:color="auto"/>
        <w:bottom w:val="none" w:sz="0" w:space="0" w:color="auto"/>
        <w:right w:val="none" w:sz="0" w:space="0" w:color="auto"/>
      </w:divBdr>
    </w:div>
    <w:div w:id="1866825038">
      <w:bodyDiv w:val="1"/>
      <w:marLeft w:val="0"/>
      <w:marRight w:val="0"/>
      <w:marTop w:val="0"/>
      <w:marBottom w:val="0"/>
      <w:divBdr>
        <w:top w:val="none" w:sz="0" w:space="0" w:color="auto"/>
        <w:left w:val="none" w:sz="0" w:space="0" w:color="auto"/>
        <w:bottom w:val="none" w:sz="0" w:space="0" w:color="auto"/>
        <w:right w:val="none" w:sz="0" w:space="0" w:color="auto"/>
      </w:divBdr>
    </w:div>
    <w:div w:id="1870022915">
      <w:bodyDiv w:val="1"/>
      <w:marLeft w:val="0"/>
      <w:marRight w:val="0"/>
      <w:marTop w:val="0"/>
      <w:marBottom w:val="0"/>
      <w:divBdr>
        <w:top w:val="none" w:sz="0" w:space="0" w:color="auto"/>
        <w:left w:val="none" w:sz="0" w:space="0" w:color="auto"/>
        <w:bottom w:val="none" w:sz="0" w:space="0" w:color="auto"/>
        <w:right w:val="none" w:sz="0" w:space="0" w:color="auto"/>
      </w:divBdr>
    </w:div>
    <w:div w:id="1872496273">
      <w:bodyDiv w:val="1"/>
      <w:marLeft w:val="0"/>
      <w:marRight w:val="0"/>
      <w:marTop w:val="0"/>
      <w:marBottom w:val="0"/>
      <w:divBdr>
        <w:top w:val="none" w:sz="0" w:space="0" w:color="auto"/>
        <w:left w:val="none" w:sz="0" w:space="0" w:color="auto"/>
        <w:bottom w:val="none" w:sz="0" w:space="0" w:color="auto"/>
        <w:right w:val="none" w:sz="0" w:space="0" w:color="auto"/>
      </w:divBdr>
    </w:div>
    <w:div w:id="1884898613">
      <w:bodyDiv w:val="1"/>
      <w:marLeft w:val="0"/>
      <w:marRight w:val="0"/>
      <w:marTop w:val="0"/>
      <w:marBottom w:val="0"/>
      <w:divBdr>
        <w:top w:val="none" w:sz="0" w:space="0" w:color="auto"/>
        <w:left w:val="none" w:sz="0" w:space="0" w:color="auto"/>
        <w:bottom w:val="none" w:sz="0" w:space="0" w:color="auto"/>
        <w:right w:val="none" w:sz="0" w:space="0" w:color="auto"/>
      </w:divBdr>
    </w:div>
    <w:div w:id="1889028510">
      <w:bodyDiv w:val="1"/>
      <w:marLeft w:val="0"/>
      <w:marRight w:val="0"/>
      <w:marTop w:val="0"/>
      <w:marBottom w:val="0"/>
      <w:divBdr>
        <w:top w:val="none" w:sz="0" w:space="0" w:color="auto"/>
        <w:left w:val="none" w:sz="0" w:space="0" w:color="auto"/>
        <w:bottom w:val="none" w:sz="0" w:space="0" w:color="auto"/>
        <w:right w:val="none" w:sz="0" w:space="0" w:color="auto"/>
      </w:divBdr>
    </w:div>
    <w:div w:id="1895117333">
      <w:bodyDiv w:val="1"/>
      <w:marLeft w:val="0"/>
      <w:marRight w:val="0"/>
      <w:marTop w:val="0"/>
      <w:marBottom w:val="0"/>
      <w:divBdr>
        <w:top w:val="none" w:sz="0" w:space="0" w:color="auto"/>
        <w:left w:val="none" w:sz="0" w:space="0" w:color="auto"/>
        <w:bottom w:val="none" w:sz="0" w:space="0" w:color="auto"/>
        <w:right w:val="none" w:sz="0" w:space="0" w:color="auto"/>
      </w:divBdr>
    </w:div>
    <w:div w:id="1895308260">
      <w:bodyDiv w:val="1"/>
      <w:marLeft w:val="0"/>
      <w:marRight w:val="0"/>
      <w:marTop w:val="0"/>
      <w:marBottom w:val="0"/>
      <w:divBdr>
        <w:top w:val="none" w:sz="0" w:space="0" w:color="auto"/>
        <w:left w:val="none" w:sz="0" w:space="0" w:color="auto"/>
        <w:bottom w:val="none" w:sz="0" w:space="0" w:color="auto"/>
        <w:right w:val="none" w:sz="0" w:space="0" w:color="auto"/>
      </w:divBdr>
    </w:div>
    <w:div w:id="1896773380">
      <w:bodyDiv w:val="1"/>
      <w:marLeft w:val="0"/>
      <w:marRight w:val="0"/>
      <w:marTop w:val="0"/>
      <w:marBottom w:val="0"/>
      <w:divBdr>
        <w:top w:val="none" w:sz="0" w:space="0" w:color="auto"/>
        <w:left w:val="none" w:sz="0" w:space="0" w:color="auto"/>
        <w:bottom w:val="none" w:sz="0" w:space="0" w:color="auto"/>
        <w:right w:val="none" w:sz="0" w:space="0" w:color="auto"/>
      </w:divBdr>
    </w:div>
    <w:div w:id="1899003274">
      <w:bodyDiv w:val="1"/>
      <w:marLeft w:val="0"/>
      <w:marRight w:val="0"/>
      <w:marTop w:val="0"/>
      <w:marBottom w:val="0"/>
      <w:divBdr>
        <w:top w:val="none" w:sz="0" w:space="0" w:color="auto"/>
        <w:left w:val="none" w:sz="0" w:space="0" w:color="auto"/>
        <w:bottom w:val="none" w:sz="0" w:space="0" w:color="auto"/>
        <w:right w:val="none" w:sz="0" w:space="0" w:color="auto"/>
      </w:divBdr>
    </w:div>
    <w:div w:id="1904216281">
      <w:bodyDiv w:val="1"/>
      <w:marLeft w:val="0"/>
      <w:marRight w:val="0"/>
      <w:marTop w:val="0"/>
      <w:marBottom w:val="0"/>
      <w:divBdr>
        <w:top w:val="none" w:sz="0" w:space="0" w:color="auto"/>
        <w:left w:val="none" w:sz="0" w:space="0" w:color="auto"/>
        <w:bottom w:val="none" w:sz="0" w:space="0" w:color="auto"/>
        <w:right w:val="none" w:sz="0" w:space="0" w:color="auto"/>
      </w:divBdr>
    </w:div>
    <w:div w:id="1904756874">
      <w:bodyDiv w:val="1"/>
      <w:marLeft w:val="0"/>
      <w:marRight w:val="0"/>
      <w:marTop w:val="0"/>
      <w:marBottom w:val="0"/>
      <w:divBdr>
        <w:top w:val="none" w:sz="0" w:space="0" w:color="auto"/>
        <w:left w:val="none" w:sz="0" w:space="0" w:color="auto"/>
        <w:bottom w:val="none" w:sz="0" w:space="0" w:color="auto"/>
        <w:right w:val="none" w:sz="0" w:space="0" w:color="auto"/>
      </w:divBdr>
    </w:div>
    <w:div w:id="1905407444">
      <w:bodyDiv w:val="1"/>
      <w:marLeft w:val="0"/>
      <w:marRight w:val="0"/>
      <w:marTop w:val="0"/>
      <w:marBottom w:val="0"/>
      <w:divBdr>
        <w:top w:val="none" w:sz="0" w:space="0" w:color="auto"/>
        <w:left w:val="none" w:sz="0" w:space="0" w:color="auto"/>
        <w:bottom w:val="none" w:sz="0" w:space="0" w:color="auto"/>
        <w:right w:val="none" w:sz="0" w:space="0" w:color="auto"/>
      </w:divBdr>
    </w:div>
    <w:div w:id="1906838422">
      <w:bodyDiv w:val="1"/>
      <w:marLeft w:val="0"/>
      <w:marRight w:val="0"/>
      <w:marTop w:val="0"/>
      <w:marBottom w:val="0"/>
      <w:divBdr>
        <w:top w:val="none" w:sz="0" w:space="0" w:color="auto"/>
        <w:left w:val="none" w:sz="0" w:space="0" w:color="auto"/>
        <w:bottom w:val="none" w:sz="0" w:space="0" w:color="auto"/>
        <w:right w:val="none" w:sz="0" w:space="0" w:color="auto"/>
      </w:divBdr>
    </w:div>
    <w:div w:id="1909077269">
      <w:bodyDiv w:val="1"/>
      <w:marLeft w:val="0"/>
      <w:marRight w:val="0"/>
      <w:marTop w:val="0"/>
      <w:marBottom w:val="0"/>
      <w:divBdr>
        <w:top w:val="none" w:sz="0" w:space="0" w:color="auto"/>
        <w:left w:val="none" w:sz="0" w:space="0" w:color="auto"/>
        <w:bottom w:val="none" w:sz="0" w:space="0" w:color="auto"/>
        <w:right w:val="none" w:sz="0" w:space="0" w:color="auto"/>
      </w:divBdr>
    </w:div>
    <w:div w:id="1918049209">
      <w:bodyDiv w:val="1"/>
      <w:marLeft w:val="0"/>
      <w:marRight w:val="0"/>
      <w:marTop w:val="0"/>
      <w:marBottom w:val="0"/>
      <w:divBdr>
        <w:top w:val="none" w:sz="0" w:space="0" w:color="auto"/>
        <w:left w:val="none" w:sz="0" w:space="0" w:color="auto"/>
        <w:bottom w:val="none" w:sz="0" w:space="0" w:color="auto"/>
        <w:right w:val="none" w:sz="0" w:space="0" w:color="auto"/>
      </w:divBdr>
    </w:div>
    <w:div w:id="1924340842">
      <w:bodyDiv w:val="1"/>
      <w:marLeft w:val="0"/>
      <w:marRight w:val="0"/>
      <w:marTop w:val="0"/>
      <w:marBottom w:val="0"/>
      <w:divBdr>
        <w:top w:val="none" w:sz="0" w:space="0" w:color="auto"/>
        <w:left w:val="none" w:sz="0" w:space="0" w:color="auto"/>
        <w:bottom w:val="none" w:sz="0" w:space="0" w:color="auto"/>
        <w:right w:val="none" w:sz="0" w:space="0" w:color="auto"/>
      </w:divBdr>
    </w:div>
    <w:div w:id="1929078949">
      <w:bodyDiv w:val="1"/>
      <w:marLeft w:val="0"/>
      <w:marRight w:val="0"/>
      <w:marTop w:val="0"/>
      <w:marBottom w:val="0"/>
      <w:divBdr>
        <w:top w:val="none" w:sz="0" w:space="0" w:color="auto"/>
        <w:left w:val="none" w:sz="0" w:space="0" w:color="auto"/>
        <w:bottom w:val="none" w:sz="0" w:space="0" w:color="auto"/>
        <w:right w:val="none" w:sz="0" w:space="0" w:color="auto"/>
      </w:divBdr>
    </w:div>
    <w:div w:id="1938058265">
      <w:bodyDiv w:val="1"/>
      <w:marLeft w:val="0"/>
      <w:marRight w:val="0"/>
      <w:marTop w:val="0"/>
      <w:marBottom w:val="0"/>
      <w:divBdr>
        <w:top w:val="none" w:sz="0" w:space="0" w:color="auto"/>
        <w:left w:val="none" w:sz="0" w:space="0" w:color="auto"/>
        <w:bottom w:val="none" w:sz="0" w:space="0" w:color="auto"/>
        <w:right w:val="none" w:sz="0" w:space="0" w:color="auto"/>
      </w:divBdr>
    </w:div>
    <w:div w:id="1947421136">
      <w:bodyDiv w:val="1"/>
      <w:marLeft w:val="0"/>
      <w:marRight w:val="0"/>
      <w:marTop w:val="0"/>
      <w:marBottom w:val="0"/>
      <w:divBdr>
        <w:top w:val="none" w:sz="0" w:space="0" w:color="auto"/>
        <w:left w:val="none" w:sz="0" w:space="0" w:color="auto"/>
        <w:bottom w:val="none" w:sz="0" w:space="0" w:color="auto"/>
        <w:right w:val="none" w:sz="0" w:space="0" w:color="auto"/>
      </w:divBdr>
    </w:div>
    <w:div w:id="1951081189">
      <w:bodyDiv w:val="1"/>
      <w:marLeft w:val="0"/>
      <w:marRight w:val="0"/>
      <w:marTop w:val="0"/>
      <w:marBottom w:val="0"/>
      <w:divBdr>
        <w:top w:val="none" w:sz="0" w:space="0" w:color="auto"/>
        <w:left w:val="none" w:sz="0" w:space="0" w:color="auto"/>
        <w:bottom w:val="none" w:sz="0" w:space="0" w:color="auto"/>
        <w:right w:val="none" w:sz="0" w:space="0" w:color="auto"/>
      </w:divBdr>
    </w:div>
    <w:div w:id="1954824295">
      <w:bodyDiv w:val="1"/>
      <w:marLeft w:val="0"/>
      <w:marRight w:val="0"/>
      <w:marTop w:val="0"/>
      <w:marBottom w:val="0"/>
      <w:divBdr>
        <w:top w:val="none" w:sz="0" w:space="0" w:color="auto"/>
        <w:left w:val="none" w:sz="0" w:space="0" w:color="auto"/>
        <w:bottom w:val="none" w:sz="0" w:space="0" w:color="auto"/>
        <w:right w:val="none" w:sz="0" w:space="0" w:color="auto"/>
      </w:divBdr>
    </w:div>
    <w:div w:id="1955555584">
      <w:bodyDiv w:val="1"/>
      <w:marLeft w:val="0"/>
      <w:marRight w:val="0"/>
      <w:marTop w:val="0"/>
      <w:marBottom w:val="0"/>
      <w:divBdr>
        <w:top w:val="none" w:sz="0" w:space="0" w:color="auto"/>
        <w:left w:val="none" w:sz="0" w:space="0" w:color="auto"/>
        <w:bottom w:val="none" w:sz="0" w:space="0" w:color="auto"/>
        <w:right w:val="none" w:sz="0" w:space="0" w:color="auto"/>
      </w:divBdr>
    </w:div>
    <w:div w:id="1957518023">
      <w:bodyDiv w:val="1"/>
      <w:marLeft w:val="0"/>
      <w:marRight w:val="0"/>
      <w:marTop w:val="0"/>
      <w:marBottom w:val="0"/>
      <w:divBdr>
        <w:top w:val="none" w:sz="0" w:space="0" w:color="auto"/>
        <w:left w:val="none" w:sz="0" w:space="0" w:color="auto"/>
        <w:bottom w:val="none" w:sz="0" w:space="0" w:color="auto"/>
        <w:right w:val="none" w:sz="0" w:space="0" w:color="auto"/>
      </w:divBdr>
    </w:div>
    <w:div w:id="1961451391">
      <w:bodyDiv w:val="1"/>
      <w:marLeft w:val="0"/>
      <w:marRight w:val="0"/>
      <w:marTop w:val="0"/>
      <w:marBottom w:val="0"/>
      <w:divBdr>
        <w:top w:val="none" w:sz="0" w:space="0" w:color="auto"/>
        <w:left w:val="none" w:sz="0" w:space="0" w:color="auto"/>
        <w:bottom w:val="none" w:sz="0" w:space="0" w:color="auto"/>
        <w:right w:val="none" w:sz="0" w:space="0" w:color="auto"/>
      </w:divBdr>
    </w:div>
    <w:div w:id="1963345718">
      <w:bodyDiv w:val="1"/>
      <w:marLeft w:val="0"/>
      <w:marRight w:val="0"/>
      <w:marTop w:val="0"/>
      <w:marBottom w:val="0"/>
      <w:divBdr>
        <w:top w:val="none" w:sz="0" w:space="0" w:color="auto"/>
        <w:left w:val="none" w:sz="0" w:space="0" w:color="auto"/>
        <w:bottom w:val="none" w:sz="0" w:space="0" w:color="auto"/>
        <w:right w:val="none" w:sz="0" w:space="0" w:color="auto"/>
      </w:divBdr>
    </w:div>
    <w:div w:id="1971863755">
      <w:bodyDiv w:val="1"/>
      <w:marLeft w:val="0"/>
      <w:marRight w:val="0"/>
      <w:marTop w:val="0"/>
      <w:marBottom w:val="0"/>
      <w:divBdr>
        <w:top w:val="none" w:sz="0" w:space="0" w:color="auto"/>
        <w:left w:val="none" w:sz="0" w:space="0" w:color="auto"/>
        <w:bottom w:val="none" w:sz="0" w:space="0" w:color="auto"/>
        <w:right w:val="none" w:sz="0" w:space="0" w:color="auto"/>
      </w:divBdr>
    </w:div>
    <w:div w:id="1973247714">
      <w:bodyDiv w:val="1"/>
      <w:marLeft w:val="0"/>
      <w:marRight w:val="0"/>
      <w:marTop w:val="0"/>
      <w:marBottom w:val="0"/>
      <w:divBdr>
        <w:top w:val="none" w:sz="0" w:space="0" w:color="auto"/>
        <w:left w:val="none" w:sz="0" w:space="0" w:color="auto"/>
        <w:bottom w:val="none" w:sz="0" w:space="0" w:color="auto"/>
        <w:right w:val="none" w:sz="0" w:space="0" w:color="auto"/>
      </w:divBdr>
    </w:div>
    <w:div w:id="1974675259">
      <w:bodyDiv w:val="1"/>
      <w:marLeft w:val="0"/>
      <w:marRight w:val="0"/>
      <w:marTop w:val="0"/>
      <w:marBottom w:val="0"/>
      <w:divBdr>
        <w:top w:val="none" w:sz="0" w:space="0" w:color="auto"/>
        <w:left w:val="none" w:sz="0" w:space="0" w:color="auto"/>
        <w:bottom w:val="none" w:sz="0" w:space="0" w:color="auto"/>
        <w:right w:val="none" w:sz="0" w:space="0" w:color="auto"/>
      </w:divBdr>
    </w:div>
    <w:div w:id="1977371175">
      <w:bodyDiv w:val="1"/>
      <w:marLeft w:val="0"/>
      <w:marRight w:val="0"/>
      <w:marTop w:val="0"/>
      <w:marBottom w:val="0"/>
      <w:divBdr>
        <w:top w:val="none" w:sz="0" w:space="0" w:color="auto"/>
        <w:left w:val="none" w:sz="0" w:space="0" w:color="auto"/>
        <w:bottom w:val="none" w:sz="0" w:space="0" w:color="auto"/>
        <w:right w:val="none" w:sz="0" w:space="0" w:color="auto"/>
      </w:divBdr>
    </w:div>
    <w:div w:id="1983387356">
      <w:bodyDiv w:val="1"/>
      <w:marLeft w:val="0"/>
      <w:marRight w:val="0"/>
      <w:marTop w:val="0"/>
      <w:marBottom w:val="0"/>
      <w:divBdr>
        <w:top w:val="none" w:sz="0" w:space="0" w:color="auto"/>
        <w:left w:val="none" w:sz="0" w:space="0" w:color="auto"/>
        <w:bottom w:val="none" w:sz="0" w:space="0" w:color="auto"/>
        <w:right w:val="none" w:sz="0" w:space="0" w:color="auto"/>
      </w:divBdr>
    </w:div>
    <w:div w:id="1986616953">
      <w:bodyDiv w:val="1"/>
      <w:marLeft w:val="0"/>
      <w:marRight w:val="0"/>
      <w:marTop w:val="0"/>
      <w:marBottom w:val="0"/>
      <w:divBdr>
        <w:top w:val="none" w:sz="0" w:space="0" w:color="auto"/>
        <w:left w:val="none" w:sz="0" w:space="0" w:color="auto"/>
        <w:bottom w:val="none" w:sz="0" w:space="0" w:color="auto"/>
        <w:right w:val="none" w:sz="0" w:space="0" w:color="auto"/>
      </w:divBdr>
    </w:div>
    <w:div w:id="1997024827">
      <w:bodyDiv w:val="1"/>
      <w:marLeft w:val="0"/>
      <w:marRight w:val="0"/>
      <w:marTop w:val="0"/>
      <w:marBottom w:val="0"/>
      <w:divBdr>
        <w:top w:val="none" w:sz="0" w:space="0" w:color="auto"/>
        <w:left w:val="none" w:sz="0" w:space="0" w:color="auto"/>
        <w:bottom w:val="none" w:sz="0" w:space="0" w:color="auto"/>
        <w:right w:val="none" w:sz="0" w:space="0" w:color="auto"/>
      </w:divBdr>
    </w:div>
    <w:div w:id="2004579174">
      <w:bodyDiv w:val="1"/>
      <w:marLeft w:val="0"/>
      <w:marRight w:val="0"/>
      <w:marTop w:val="0"/>
      <w:marBottom w:val="0"/>
      <w:divBdr>
        <w:top w:val="none" w:sz="0" w:space="0" w:color="auto"/>
        <w:left w:val="none" w:sz="0" w:space="0" w:color="auto"/>
        <w:bottom w:val="none" w:sz="0" w:space="0" w:color="auto"/>
        <w:right w:val="none" w:sz="0" w:space="0" w:color="auto"/>
      </w:divBdr>
    </w:div>
    <w:div w:id="2005235692">
      <w:bodyDiv w:val="1"/>
      <w:marLeft w:val="0"/>
      <w:marRight w:val="0"/>
      <w:marTop w:val="0"/>
      <w:marBottom w:val="0"/>
      <w:divBdr>
        <w:top w:val="none" w:sz="0" w:space="0" w:color="auto"/>
        <w:left w:val="none" w:sz="0" w:space="0" w:color="auto"/>
        <w:bottom w:val="none" w:sz="0" w:space="0" w:color="auto"/>
        <w:right w:val="none" w:sz="0" w:space="0" w:color="auto"/>
      </w:divBdr>
    </w:div>
    <w:div w:id="2010982130">
      <w:bodyDiv w:val="1"/>
      <w:marLeft w:val="0"/>
      <w:marRight w:val="0"/>
      <w:marTop w:val="0"/>
      <w:marBottom w:val="0"/>
      <w:divBdr>
        <w:top w:val="none" w:sz="0" w:space="0" w:color="auto"/>
        <w:left w:val="none" w:sz="0" w:space="0" w:color="auto"/>
        <w:bottom w:val="none" w:sz="0" w:space="0" w:color="auto"/>
        <w:right w:val="none" w:sz="0" w:space="0" w:color="auto"/>
      </w:divBdr>
    </w:div>
    <w:div w:id="2012829957">
      <w:bodyDiv w:val="1"/>
      <w:marLeft w:val="0"/>
      <w:marRight w:val="0"/>
      <w:marTop w:val="0"/>
      <w:marBottom w:val="0"/>
      <w:divBdr>
        <w:top w:val="none" w:sz="0" w:space="0" w:color="auto"/>
        <w:left w:val="none" w:sz="0" w:space="0" w:color="auto"/>
        <w:bottom w:val="none" w:sz="0" w:space="0" w:color="auto"/>
        <w:right w:val="none" w:sz="0" w:space="0" w:color="auto"/>
      </w:divBdr>
    </w:div>
    <w:div w:id="2012948135">
      <w:bodyDiv w:val="1"/>
      <w:marLeft w:val="0"/>
      <w:marRight w:val="0"/>
      <w:marTop w:val="0"/>
      <w:marBottom w:val="0"/>
      <w:divBdr>
        <w:top w:val="none" w:sz="0" w:space="0" w:color="auto"/>
        <w:left w:val="none" w:sz="0" w:space="0" w:color="auto"/>
        <w:bottom w:val="none" w:sz="0" w:space="0" w:color="auto"/>
        <w:right w:val="none" w:sz="0" w:space="0" w:color="auto"/>
      </w:divBdr>
    </w:div>
    <w:div w:id="2014453954">
      <w:bodyDiv w:val="1"/>
      <w:marLeft w:val="0"/>
      <w:marRight w:val="0"/>
      <w:marTop w:val="0"/>
      <w:marBottom w:val="0"/>
      <w:divBdr>
        <w:top w:val="none" w:sz="0" w:space="0" w:color="auto"/>
        <w:left w:val="none" w:sz="0" w:space="0" w:color="auto"/>
        <w:bottom w:val="none" w:sz="0" w:space="0" w:color="auto"/>
        <w:right w:val="none" w:sz="0" w:space="0" w:color="auto"/>
      </w:divBdr>
    </w:div>
    <w:div w:id="2017463286">
      <w:bodyDiv w:val="1"/>
      <w:marLeft w:val="0"/>
      <w:marRight w:val="0"/>
      <w:marTop w:val="0"/>
      <w:marBottom w:val="0"/>
      <w:divBdr>
        <w:top w:val="none" w:sz="0" w:space="0" w:color="auto"/>
        <w:left w:val="none" w:sz="0" w:space="0" w:color="auto"/>
        <w:bottom w:val="none" w:sz="0" w:space="0" w:color="auto"/>
        <w:right w:val="none" w:sz="0" w:space="0" w:color="auto"/>
      </w:divBdr>
    </w:div>
    <w:div w:id="2019889641">
      <w:bodyDiv w:val="1"/>
      <w:marLeft w:val="0"/>
      <w:marRight w:val="0"/>
      <w:marTop w:val="0"/>
      <w:marBottom w:val="0"/>
      <w:divBdr>
        <w:top w:val="none" w:sz="0" w:space="0" w:color="auto"/>
        <w:left w:val="none" w:sz="0" w:space="0" w:color="auto"/>
        <w:bottom w:val="none" w:sz="0" w:space="0" w:color="auto"/>
        <w:right w:val="none" w:sz="0" w:space="0" w:color="auto"/>
      </w:divBdr>
    </w:div>
    <w:div w:id="2022313228">
      <w:bodyDiv w:val="1"/>
      <w:marLeft w:val="0"/>
      <w:marRight w:val="0"/>
      <w:marTop w:val="0"/>
      <w:marBottom w:val="0"/>
      <w:divBdr>
        <w:top w:val="none" w:sz="0" w:space="0" w:color="auto"/>
        <w:left w:val="none" w:sz="0" w:space="0" w:color="auto"/>
        <w:bottom w:val="none" w:sz="0" w:space="0" w:color="auto"/>
        <w:right w:val="none" w:sz="0" w:space="0" w:color="auto"/>
      </w:divBdr>
    </w:div>
    <w:div w:id="2022900270">
      <w:bodyDiv w:val="1"/>
      <w:marLeft w:val="0"/>
      <w:marRight w:val="0"/>
      <w:marTop w:val="0"/>
      <w:marBottom w:val="0"/>
      <w:divBdr>
        <w:top w:val="none" w:sz="0" w:space="0" w:color="auto"/>
        <w:left w:val="none" w:sz="0" w:space="0" w:color="auto"/>
        <w:bottom w:val="none" w:sz="0" w:space="0" w:color="auto"/>
        <w:right w:val="none" w:sz="0" w:space="0" w:color="auto"/>
      </w:divBdr>
    </w:div>
    <w:div w:id="2023782231">
      <w:bodyDiv w:val="1"/>
      <w:marLeft w:val="0"/>
      <w:marRight w:val="0"/>
      <w:marTop w:val="0"/>
      <w:marBottom w:val="0"/>
      <w:divBdr>
        <w:top w:val="none" w:sz="0" w:space="0" w:color="auto"/>
        <w:left w:val="none" w:sz="0" w:space="0" w:color="auto"/>
        <w:bottom w:val="none" w:sz="0" w:space="0" w:color="auto"/>
        <w:right w:val="none" w:sz="0" w:space="0" w:color="auto"/>
      </w:divBdr>
    </w:div>
    <w:div w:id="2024354402">
      <w:bodyDiv w:val="1"/>
      <w:marLeft w:val="0"/>
      <w:marRight w:val="0"/>
      <w:marTop w:val="0"/>
      <w:marBottom w:val="0"/>
      <w:divBdr>
        <w:top w:val="none" w:sz="0" w:space="0" w:color="auto"/>
        <w:left w:val="none" w:sz="0" w:space="0" w:color="auto"/>
        <w:bottom w:val="none" w:sz="0" w:space="0" w:color="auto"/>
        <w:right w:val="none" w:sz="0" w:space="0" w:color="auto"/>
      </w:divBdr>
    </w:div>
    <w:div w:id="2034574562">
      <w:bodyDiv w:val="1"/>
      <w:marLeft w:val="0"/>
      <w:marRight w:val="0"/>
      <w:marTop w:val="0"/>
      <w:marBottom w:val="0"/>
      <w:divBdr>
        <w:top w:val="none" w:sz="0" w:space="0" w:color="auto"/>
        <w:left w:val="none" w:sz="0" w:space="0" w:color="auto"/>
        <w:bottom w:val="none" w:sz="0" w:space="0" w:color="auto"/>
        <w:right w:val="none" w:sz="0" w:space="0" w:color="auto"/>
      </w:divBdr>
    </w:div>
    <w:div w:id="2035419742">
      <w:bodyDiv w:val="1"/>
      <w:marLeft w:val="0"/>
      <w:marRight w:val="0"/>
      <w:marTop w:val="0"/>
      <w:marBottom w:val="0"/>
      <w:divBdr>
        <w:top w:val="none" w:sz="0" w:space="0" w:color="auto"/>
        <w:left w:val="none" w:sz="0" w:space="0" w:color="auto"/>
        <w:bottom w:val="none" w:sz="0" w:space="0" w:color="auto"/>
        <w:right w:val="none" w:sz="0" w:space="0" w:color="auto"/>
      </w:divBdr>
    </w:div>
    <w:div w:id="2038042416">
      <w:bodyDiv w:val="1"/>
      <w:marLeft w:val="0"/>
      <w:marRight w:val="0"/>
      <w:marTop w:val="0"/>
      <w:marBottom w:val="0"/>
      <w:divBdr>
        <w:top w:val="none" w:sz="0" w:space="0" w:color="auto"/>
        <w:left w:val="none" w:sz="0" w:space="0" w:color="auto"/>
        <w:bottom w:val="none" w:sz="0" w:space="0" w:color="auto"/>
        <w:right w:val="none" w:sz="0" w:space="0" w:color="auto"/>
      </w:divBdr>
    </w:div>
    <w:div w:id="2038582962">
      <w:bodyDiv w:val="1"/>
      <w:marLeft w:val="0"/>
      <w:marRight w:val="0"/>
      <w:marTop w:val="0"/>
      <w:marBottom w:val="0"/>
      <w:divBdr>
        <w:top w:val="none" w:sz="0" w:space="0" w:color="auto"/>
        <w:left w:val="none" w:sz="0" w:space="0" w:color="auto"/>
        <w:bottom w:val="none" w:sz="0" w:space="0" w:color="auto"/>
        <w:right w:val="none" w:sz="0" w:space="0" w:color="auto"/>
      </w:divBdr>
    </w:div>
    <w:div w:id="2039235470">
      <w:bodyDiv w:val="1"/>
      <w:marLeft w:val="0"/>
      <w:marRight w:val="0"/>
      <w:marTop w:val="0"/>
      <w:marBottom w:val="0"/>
      <w:divBdr>
        <w:top w:val="none" w:sz="0" w:space="0" w:color="auto"/>
        <w:left w:val="none" w:sz="0" w:space="0" w:color="auto"/>
        <w:bottom w:val="none" w:sz="0" w:space="0" w:color="auto"/>
        <w:right w:val="none" w:sz="0" w:space="0" w:color="auto"/>
      </w:divBdr>
    </w:div>
    <w:div w:id="2050446929">
      <w:bodyDiv w:val="1"/>
      <w:marLeft w:val="0"/>
      <w:marRight w:val="0"/>
      <w:marTop w:val="0"/>
      <w:marBottom w:val="0"/>
      <w:divBdr>
        <w:top w:val="none" w:sz="0" w:space="0" w:color="auto"/>
        <w:left w:val="none" w:sz="0" w:space="0" w:color="auto"/>
        <w:bottom w:val="none" w:sz="0" w:space="0" w:color="auto"/>
        <w:right w:val="none" w:sz="0" w:space="0" w:color="auto"/>
      </w:divBdr>
    </w:div>
    <w:div w:id="2061199946">
      <w:bodyDiv w:val="1"/>
      <w:marLeft w:val="0"/>
      <w:marRight w:val="0"/>
      <w:marTop w:val="0"/>
      <w:marBottom w:val="0"/>
      <w:divBdr>
        <w:top w:val="none" w:sz="0" w:space="0" w:color="auto"/>
        <w:left w:val="none" w:sz="0" w:space="0" w:color="auto"/>
        <w:bottom w:val="none" w:sz="0" w:space="0" w:color="auto"/>
        <w:right w:val="none" w:sz="0" w:space="0" w:color="auto"/>
      </w:divBdr>
    </w:div>
    <w:div w:id="2061704420">
      <w:bodyDiv w:val="1"/>
      <w:marLeft w:val="0"/>
      <w:marRight w:val="0"/>
      <w:marTop w:val="0"/>
      <w:marBottom w:val="0"/>
      <w:divBdr>
        <w:top w:val="none" w:sz="0" w:space="0" w:color="auto"/>
        <w:left w:val="none" w:sz="0" w:space="0" w:color="auto"/>
        <w:bottom w:val="none" w:sz="0" w:space="0" w:color="auto"/>
        <w:right w:val="none" w:sz="0" w:space="0" w:color="auto"/>
      </w:divBdr>
    </w:div>
    <w:div w:id="2062436174">
      <w:bodyDiv w:val="1"/>
      <w:marLeft w:val="0"/>
      <w:marRight w:val="0"/>
      <w:marTop w:val="0"/>
      <w:marBottom w:val="0"/>
      <w:divBdr>
        <w:top w:val="none" w:sz="0" w:space="0" w:color="auto"/>
        <w:left w:val="none" w:sz="0" w:space="0" w:color="auto"/>
        <w:bottom w:val="none" w:sz="0" w:space="0" w:color="auto"/>
        <w:right w:val="none" w:sz="0" w:space="0" w:color="auto"/>
      </w:divBdr>
    </w:div>
    <w:div w:id="2064792853">
      <w:bodyDiv w:val="1"/>
      <w:marLeft w:val="0"/>
      <w:marRight w:val="0"/>
      <w:marTop w:val="0"/>
      <w:marBottom w:val="0"/>
      <w:divBdr>
        <w:top w:val="none" w:sz="0" w:space="0" w:color="auto"/>
        <w:left w:val="none" w:sz="0" w:space="0" w:color="auto"/>
        <w:bottom w:val="none" w:sz="0" w:space="0" w:color="auto"/>
        <w:right w:val="none" w:sz="0" w:space="0" w:color="auto"/>
      </w:divBdr>
    </w:div>
    <w:div w:id="2065058276">
      <w:bodyDiv w:val="1"/>
      <w:marLeft w:val="0"/>
      <w:marRight w:val="0"/>
      <w:marTop w:val="0"/>
      <w:marBottom w:val="0"/>
      <w:divBdr>
        <w:top w:val="none" w:sz="0" w:space="0" w:color="auto"/>
        <w:left w:val="none" w:sz="0" w:space="0" w:color="auto"/>
        <w:bottom w:val="none" w:sz="0" w:space="0" w:color="auto"/>
        <w:right w:val="none" w:sz="0" w:space="0" w:color="auto"/>
      </w:divBdr>
    </w:div>
    <w:div w:id="2072534507">
      <w:bodyDiv w:val="1"/>
      <w:marLeft w:val="0"/>
      <w:marRight w:val="0"/>
      <w:marTop w:val="0"/>
      <w:marBottom w:val="0"/>
      <w:divBdr>
        <w:top w:val="none" w:sz="0" w:space="0" w:color="auto"/>
        <w:left w:val="none" w:sz="0" w:space="0" w:color="auto"/>
        <w:bottom w:val="none" w:sz="0" w:space="0" w:color="auto"/>
        <w:right w:val="none" w:sz="0" w:space="0" w:color="auto"/>
      </w:divBdr>
    </w:div>
    <w:div w:id="2073844212">
      <w:bodyDiv w:val="1"/>
      <w:marLeft w:val="0"/>
      <w:marRight w:val="0"/>
      <w:marTop w:val="0"/>
      <w:marBottom w:val="0"/>
      <w:divBdr>
        <w:top w:val="none" w:sz="0" w:space="0" w:color="auto"/>
        <w:left w:val="none" w:sz="0" w:space="0" w:color="auto"/>
        <w:bottom w:val="none" w:sz="0" w:space="0" w:color="auto"/>
        <w:right w:val="none" w:sz="0" w:space="0" w:color="auto"/>
      </w:divBdr>
    </w:div>
    <w:div w:id="2079747659">
      <w:bodyDiv w:val="1"/>
      <w:marLeft w:val="0"/>
      <w:marRight w:val="0"/>
      <w:marTop w:val="0"/>
      <w:marBottom w:val="0"/>
      <w:divBdr>
        <w:top w:val="none" w:sz="0" w:space="0" w:color="auto"/>
        <w:left w:val="none" w:sz="0" w:space="0" w:color="auto"/>
        <w:bottom w:val="none" w:sz="0" w:space="0" w:color="auto"/>
        <w:right w:val="none" w:sz="0" w:space="0" w:color="auto"/>
      </w:divBdr>
    </w:div>
    <w:div w:id="2090156879">
      <w:bodyDiv w:val="1"/>
      <w:marLeft w:val="0"/>
      <w:marRight w:val="0"/>
      <w:marTop w:val="0"/>
      <w:marBottom w:val="0"/>
      <w:divBdr>
        <w:top w:val="none" w:sz="0" w:space="0" w:color="auto"/>
        <w:left w:val="none" w:sz="0" w:space="0" w:color="auto"/>
        <w:bottom w:val="none" w:sz="0" w:space="0" w:color="auto"/>
        <w:right w:val="none" w:sz="0" w:space="0" w:color="auto"/>
      </w:divBdr>
    </w:div>
    <w:div w:id="2092579987">
      <w:bodyDiv w:val="1"/>
      <w:marLeft w:val="0"/>
      <w:marRight w:val="0"/>
      <w:marTop w:val="0"/>
      <w:marBottom w:val="0"/>
      <w:divBdr>
        <w:top w:val="none" w:sz="0" w:space="0" w:color="auto"/>
        <w:left w:val="none" w:sz="0" w:space="0" w:color="auto"/>
        <w:bottom w:val="none" w:sz="0" w:space="0" w:color="auto"/>
        <w:right w:val="none" w:sz="0" w:space="0" w:color="auto"/>
      </w:divBdr>
    </w:div>
    <w:div w:id="2105032137">
      <w:bodyDiv w:val="1"/>
      <w:marLeft w:val="0"/>
      <w:marRight w:val="0"/>
      <w:marTop w:val="0"/>
      <w:marBottom w:val="0"/>
      <w:divBdr>
        <w:top w:val="none" w:sz="0" w:space="0" w:color="auto"/>
        <w:left w:val="none" w:sz="0" w:space="0" w:color="auto"/>
        <w:bottom w:val="none" w:sz="0" w:space="0" w:color="auto"/>
        <w:right w:val="none" w:sz="0" w:space="0" w:color="auto"/>
      </w:divBdr>
    </w:div>
    <w:div w:id="2106000105">
      <w:bodyDiv w:val="1"/>
      <w:marLeft w:val="0"/>
      <w:marRight w:val="0"/>
      <w:marTop w:val="0"/>
      <w:marBottom w:val="0"/>
      <w:divBdr>
        <w:top w:val="none" w:sz="0" w:space="0" w:color="auto"/>
        <w:left w:val="none" w:sz="0" w:space="0" w:color="auto"/>
        <w:bottom w:val="none" w:sz="0" w:space="0" w:color="auto"/>
        <w:right w:val="none" w:sz="0" w:space="0" w:color="auto"/>
      </w:divBdr>
    </w:div>
    <w:div w:id="2106462350">
      <w:bodyDiv w:val="1"/>
      <w:marLeft w:val="0"/>
      <w:marRight w:val="0"/>
      <w:marTop w:val="0"/>
      <w:marBottom w:val="0"/>
      <w:divBdr>
        <w:top w:val="none" w:sz="0" w:space="0" w:color="auto"/>
        <w:left w:val="none" w:sz="0" w:space="0" w:color="auto"/>
        <w:bottom w:val="none" w:sz="0" w:space="0" w:color="auto"/>
        <w:right w:val="none" w:sz="0" w:space="0" w:color="auto"/>
      </w:divBdr>
    </w:div>
    <w:div w:id="2108117202">
      <w:bodyDiv w:val="1"/>
      <w:marLeft w:val="0"/>
      <w:marRight w:val="0"/>
      <w:marTop w:val="0"/>
      <w:marBottom w:val="0"/>
      <w:divBdr>
        <w:top w:val="none" w:sz="0" w:space="0" w:color="auto"/>
        <w:left w:val="none" w:sz="0" w:space="0" w:color="auto"/>
        <w:bottom w:val="none" w:sz="0" w:space="0" w:color="auto"/>
        <w:right w:val="none" w:sz="0" w:space="0" w:color="auto"/>
      </w:divBdr>
    </w:div>
    <w:div w:id="2110007929">
      <w:bodyDiv w:val="1"/>
      <w:marLeft w:val="0"/>
      <w:marRight w:val="0"/>
      <w:marTop w:val="0"/>
      <w:marBottom w:val="0"/>
      <w:divBdr>
        <w:top w:val="none" w:sz="0" w:space="0" w:color="auto"/>
        <w:left w:val="none" w:sz="0" w:space="0" w:color="auto"/>
        <w:bottom w:val="none" w:sz="0" w:space="0" w:color="auto"/>
        <w:right w:val="none" w:sz="0" w:space="0" w:color="auto"/>
      </w:divBdr>
    </w:div>
    <w:div w:id="2111386390">
      <w:bodyDiv w:val="1"/>
      <w:marLeft w:val="0"/>
      <w:marRight w:val="0"/>
      <w:marTop w:val="0"/>
      <w:marBottom w:val="0"/>
      <w:divBdr>
        <w:top w:val="none" w:sz="0" w:space="0" w:color="auto"/>
        <w:left w:val="none" w:sz="0" w:space="0" w:color="auto"/>
        <w:bottom w:val="none" w:sz="0" w:space="0" w:color="auto"/>
        <w:right w:val="none" w:sz="0" w:space="0" w:color="auto"/>
      </w:divBdr>
    </w:div>
    <w:div w:id="2117095909">
      <w:bodyDiv w:val="1"/>
      <w:marLeft w:val="0"/>
      <w:marRight w:val="0"/>
      <w:marTop w:val="0"/>
      <w:marBottom w:val="0"/>
      <w:divBdr>
        <w:top w:val="none" w:sz="0" w:space="0" w:color="auto"/>
        <w:left w:val="none" w:sz="0" w:space="0" w:color="auto"/>
        <w:bottom w:val="none" w:sz="0" w:space="0" w:color="auto"/>
        <w:right w:val="none" w:sz="0" w:space="0" w:color="auto"/>
      </w:divBdr>
    </w:div>
    <w:div w:id="2119980294">
      <w:bodyDiv w:val="1"/>
      <w:marLeft w:val="0"/>
      <w:marRight w:val="0"/>
      <w:marTop w:val="0"/>
      <w:marBottom w:val="0"/>
      <w:divBdr>
        <w:top w:val="none" w:sz="0" w:space="0" w:color="auto"/>
        <w:left w:val="none" w:sz="0" w:space="0" w:color="auto"/>
        <w:bottom w:val="none" w:sz="0" w:space="0" w:color="auto"/>
        <w:right w:val="none" w:sz="0" w:space="0" w:color="auto"/>
      </w:divBdr>
    </w:div>
    <w:div w:id="2122412068">
      <w:bodyDiv w:val="1"/>
      <w:marLeft w:val="0"/>
      <w:marRight w:val="0"/>
      <w:marTop w:val="0"/>
      <w:marBottom w:val="0"/>
      <w:divBdr>
        <w:top w:val="none" w:sz="0" w:space="0" w:color="auto"/>
        <w:left w:val="none" w:sz="0" w:space="0" w:color="auto"/>
        <w:bottom w:val="none" w:sz="0" w:space="0" w:color="auto"/>
        <w:right w:val="none" w:sz="0" w:space="0" w:color="auto"/>
      </w:divBdr>
    </w:div>
    <w:div w:id="2129622235">
      <w:bodyDiv w:val="1"/>
      <w:marLeft w:val="0"/>
      <w:marRight w:val="0"/>
      <w:marTop w:val="0"/>
      <w:marBottom w:val="0"/>
      <w:divBdr>
        <w:top w:val="none" w:sz="0" w:space="0" w:color="auto"/>
        <w:left w:val="none" w:sz="0" w:space="0" w:color="auto"/>
        <w:bottom w:val="none" w:sz="0" w:space="0" w:color="auto"/>
        <w:right w:val="none" w:sz="0" w:space="0" w:color="auto"/>
      </w:divBdr>
    </w:div>
    <w:div w:id="2131708110">
      <w:bodyDiv w:val="1"/>
      <w:marLeft w:val="0"/>
      <w:marRight w:val="0"/>
      <w:marTop w:val="0"/>
      <w:marBottom w:val="0"/>
      <w:divBdr>
        <w:top w:val="none" w:sz="0" w:space="0" w:color="auto"/>
        <w:left w:val="none" w:sz="0" w:space="0" w:color="auto"/>
        <w:bottom w:val="none" w:sz="0" w:space="0" w:color="auto"/>
        <w:right w:val="none" w:sz="0" w:space="0" w:color="auto"/>
      </w:divBdr>
    </w:div>
    <w:div w:id="2139108634">
      <w:bodyDiv w:val="1"/>
      <w:marLeft w:val="0"/>
      <w:marRight w:val="0"/>
      <w:marTop w:val="0"/>
      <w:marBottom w:val="0"/>
      <w:divBdr>
        <w:top w:val="none" w:sz="0" w:space="0" w:color="auto"/>
        <w:left w:val="none" w:sz="0" w:space="0" w:color="auto"/>
        <w:bottom w:val="none" w:sz="0" w:space="0" w:color="auto"/>
        <w:right w:val="none" w:sz="0" w:space="0" w:color="auto"/>
      </w:divBdr>
    </w:div>
    <w:div w:id="2140953650">
      <w:bodyDiv w:val="1"/>
      <w:marLeft w:val="0"/>
      <w:marRight w:val="0"/>
      <w:marTop w:val="0"/>
      <w:marBottom w:val="0"/>
      <w:divBdr>
        <w:top w:val="none" w:sz="0" w:space="0" w:color="auto"/>
        <w:left w:val="none" w:sz="0" w:space="0" w:color="auto"/>
        <w:bottom w:val="none" w:sz="0" w:space="0" w:color="auto"/>
        <w:right w:val="none" w:sz="0" w:space="0" w:color="auto"/>
      </w:divBdr>
    </w:div>
    <w:div w:id="2145271447">
      <w:bodyDiv w:val="1"/>
      <w:marLeft w:val="0"/>
      <w:marRight w:val="0"/>
      <w:marTop w:val="0"/>
      <w:marBottom w:val="0"/>
      <w:divBdr>
        <w:top w:val="none" w:sz="0" w:space="0" w:color="auto"/>
        <w:left w:val="none" w:sz="0" w:space="0" w:color="auto"/>
        <w:bottom w:val="none" w:sz="0" w:space="0" w:color="auto"/>
        <w:right w:val="none" w:sz="0" w:space="0" w:color="auto"/>
      </w:divBdr>
    </w:div>
    <w:div w:id="2146001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bp.org.pk/departments/stats/ntb.htm" TargetMode="External"/><Relationship Id="rId18" Type="http://schemas.openxmlformats.org/officeDocument/2006/relationships/hyperlink" Target="http://www.sbp.org.pk/departments/stats/Expalanatory-Note.pdf"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sbp.org.pk/ecodata/AnaAccDepArch.xls" TargetMode="External"/><Relationship Id="rId17" Type="http://schemas.openxmlformats.org/officeDocument/2006/relationships/hyperlink" Target="http://www.sbp.org.pk/ecodata.asp" TargetMode="External"/><Relationship Id="rId2" Type="http://schemas.openxmlformats.org/officeDocument/2006/relationships/numbering" Target="numbering.xml"/><Relationship Id="rId16" Type="http://schemas.openxmlformats.org/officeDocument/2006/relationships/hyperlink" Target="http://www.sbp.org.pk/ecodata/DepositoryArch.xls" TargetMode="External"/><Relationship Id="rId20" Type="http://schemas.openxmlformats.org/officeDocument/2006/relationships/hyperlink" Target="http://www.sbp.org.pk/departments/stats/Expalanatory-Note.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bp.org.pk/ecodata/Revision_Monetary_Stats.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sbp.org.pk/ecodata/Revision_Monetary_Stats.pdf" TargetMode="External"/><Relationship Id="rId23" Type="http://schemas.openxmlformats.org/officeDocument/2006/relationships/fontTable" Target="fontTable.xml"/><Relationship Id="rId10" Type="http://schemas.openxmlformats.org/officeDocument/2006/relationships/hyperlink" Target="http://www.sbp.org.pk/ecodata/AnaAccArc.xls" TargetMode="External"/><Relationship Id="rId19" Type="http://schemas.openxmlformats.org/officeDocument/2006/relationships/hyperlink" Target="http://www.sbp.org.pk/ecodata/RSMS.pdf" TargetMode="External"/><Relationship Id="rId4" Type="http://schemas.microsoft.com/office/2007/relationships/stylesWithEffects" Target="stylesWithEffects.xml"/><Relationship Id="rId9" Type="http://schemas.openxmlformats.org/officeDocument/2006/relationships/hyperlink" Target="http://www.sbp.org.pk/departments/Guidelines.htm" TargetMode="External"/><Relationship Id="rId14" Type="http://schemas.openxmlformats.org/officeDocument/2006/relationships/hyperlink" Target="file://C:\Users\sajjad9129\Desktop\MSB%20Nov-16\MSB-Nov-16\Chapters\2.%20Based%20on%20MFSM%202000%20guidelines,%20Monetary%20Survey%20(MS)%20compilation%20methodology%20has%20been%20revisited%20from%20June-08.%20Therefore,%20these%20estimates%20are%20not%20comparable%20with%20the%20tables%20%202.4,%202.14%20and%20table%20on%20'weekly%20money%20profile'%20which%20are%20based%20on%20weekly%20data.%20The%20comparison%20and%20explanatory%20notes%20on%20the%20revisions%20are%20available%20at%20SBP%20website%20at%20the%20link%20http:\www.sbp.org.pk\ecodata.asp"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D3614C-6E94-4819-BB12-F8C1FBE749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3240</TotalTime>
  <Pages>14</Pages>
  <Words>8673</Words>
  <Characters>49440</Characters>
  <Application>Microsoft Office Word</Application>
  <DocSecurity>0</DocSecurity>
  <Lines>412</Lines>
  <Paragraphs>115</Paragraphs>
  <ScaleCrop>false</ScaleCrop>
  <HeadingPairs>
    <vt:vector size="2" baseType="variant">
      <vt:variant>
        <vt:lpstr>Title</vt:lpstr>
      </vt:variant>
      <vt:variant>
        <vt:i4>1</vt:i4>
      </vt:variant>
    </vt:vector>
  </HeadingPairs>
  <TitlesOfParts>
    <vt:vector size="1" baseType="lpstr">
      <vt:lpstr>2.1   MONETARY   ASSETS</vt:lpstr>
    </vt:vector>
  </TitlesOfParts>
  <Company>HKRG</Company>
  <LinksUpToDate>false</LinksUpToDate>
  <CharactersWithSpaces>57998</CharactersWithSpaces>
  <SharedDoc>false</SharedDoc>
  <HLinks>
    <vt:vector size="42" baseType="variant">
      <vt:variant>
        <vt:i4>5308480</vt:i4>
      </vt:variant>
      <vt:variant>
        <vt:i4>21</vt:i4>
      </vt:variant>
      <vt:variant>
        <vt:i4>0</vt:i4>
      </vt:variant>
      <vt:variant>
        <vt:i4>5</vt:i4>
      </vt:variant>
      <vt:variant>
        <vt:lpwstr>http://www.sbp.org.pk/ecodata.asp</vt:lpwstr>
      </vt:variant>
      <vt:variant>
        <vt:lpwstr/>
      </vt:variant>
      <vt:variant>
        <vt:i4>5308480</vt:i4>
      </vt:variant>
      <vt:variant>
        <vt:i4>18</vt:i4>
      </vt:variant>
      <vt:variant>
        <vt:i4>0</vt:i4>
      </vt:variant>
      <vt:variant>
        <vt:i4>5</vt:i4>
      </vt:variant>
      <vt:variant>
        <vt:lpwstr>http://www.sbp.org.pk/ecodata.asp</vt:lpwstr>
      </vt:variant>
      <vt:variant>
        <vt:lpwstr/>
      </vt:variant>
      <vt:variant>
        <vt:i4>4653056</vt:i4>
      </vt:variant>
      <vt:variant>
        <vt:i4>15</vt:i4>
      </vt:variant>
      <vt:variant>
        <vt:i4>0</vt:i4>
      </vt:variant>
      <vt:variant>
        <vt:i4>5</vt:i4>
      </vt:variant>
      <vt:variant>
        <vt:lpwstr>http://www.sbp.org.pk/ecodata/DepositoryArch.xls</vt:lpwstr>
      </vt:variant>
      <vt:variant>
        <vt:lpwstr/>
      </vt:variant>
      <vt:variant>
        <vt:i4>7012456</vt:i4>
      </vt:variant>
      <vt:variant>
        <vt:i4>12</vt:i4>
      </vt:variant>
      <vt:variant>
        <vt:i4>0</vt:i4>
      </vt:variant>
      <vt:variant>
        <vt:i4>5</vt:i4>
      </vt:variant>
      <vt:variant>
        <vt:lpwstr>../../../MSB Nov-16/MSB-Nov-16/Chapters/2. Based on MFSM 2000 guidelines, Monetary Survey (MS) compilation methodology has been revisited from June-08. Therefore, these estimates are not comparable with the tables  2.4, 2.14 and table on 'weekly money profile' which are based on weekly data. The comparison and explanatory notes on the revisions are available at SBP website at the link http:/www.sbp.org.pk/ecodata.asp</vt:lpwstr>
      </vt:variant>
      <vt:variant>
        <vt:lpwstr/>
      </vt:variant>
      <vt:variant>
        <vt:i4>6946868</vt:i4>
      </vt:variant>
      <vt:variant>
        <vt:i4>9</vt:i4>
      </vt:variant>
      <vt:variant>
        <vt:i4>0</vt:i4>
      </vt:variant>
      <vt:variant>
        <vt:i4>5</vt:i4>
      </vt:variant>
      <vt:variant>
        <vt:lpwstr>http://www.sbp.org.pk/ecodata/AnaAccDepArch.xls</vt:lpwstr>
      </vt:variant>
      <vt:variant>
        <vt:lpwstr/>
      </vt:variant>
      <vt:variant>
        <vt:i4>8323128</vt:i4>
      </vt:variant>
      <vt:variant>
        <vt:i4>3</vt:i4>
      </vt:variant>
      <vt:variant>
        <vt:i4>0</vt:i4>
      </vt:variant>
      <vt:variant>
        <vt:i4>5</vt:i4>
      </vt:variant>
      <vt:variant>
        <vt:lpwstr>http://www.sbp.org.pk/ecodata/AnaAccArc.xls</vt:lpwstr>
      </vt:variant>
      <vt:variant>
        <vt:lpwstr/>
      </vt:variant>
      <vt:variant>
        <vt:i4>5505024</vt:i4>
      </vt:variant>
      <vt:variant>
        <vt:i4>0</vt:i4>
      </vt:variant>
      <vt:variant>
        <vt:i4>0</vt:i4>
      </vt:variant>
      <vt:variant>
        <vt:i4>5</vt:i4>
      </vt:variant>
      <vt:variant>
        <vt:lpwstr>http://www.sbp.org.pk/departments/Guidelines.htm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   MONETARY   ASSETS</dc:title>
  <dc:creator>Muhammad sajjad Kiani</dc:creator>
  <cp:lastModifiedBy>Kiani</cp:lastModifiedBy>
  <cp:revision>507</cp:revision>
  <cp:lastPrinted>2020-06-08T05:25:00Z</cp:lastPrinted>
  <dcterms:created xsi:type="dcterms:W3CDTF">2017-08-23T10:08:00Z</dcterms:created>
  <dcterms:modified xsi:type="dcterms:W3CDTF">2020-08-07T01:22:00Z</dcterms:modified>
</cp:coreProperties>
</file>