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06725F" w:rsidRPr="00423117" w:rsidTr="00C45778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</w:tr>
      <w:tr w:rsidR="0006725F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725F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7656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1,524,140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737,434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3,531,887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1,031,774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41,177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21,013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556,269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670,940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1,370,089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3,308,876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1,814,575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408,201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2,937,986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3,004,480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3,885,115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5,402,931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4,620,130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4,253,107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326,659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9,790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649,716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211,058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19,382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1,471,278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1,357,491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71,507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195,811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</w:t>
            </w:r>
          </w:p>
        </w:tc>
      </w:tr>
      <w:tr w:rsidR="0006725F" w:rsidRPr="00423117" w:rsidTr="0006725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70A5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466,474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6725F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423117" w:rsidRDefault="0006725F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725F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06725F" w:rsidRPr="006C1D3D" w:rsidRDefault="0006725F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06725F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6C1D3D" w:rsidRDefault="0006725F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800.7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AA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4,646.0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4,275.3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142.5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A3899" w:rsidRPr="00E73AA6" w:rsidRDefault="00AA389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9C50E7" w:rsidRPr="00E73AA6" w:rsidTr="00AD0CA4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9C50E7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9C50E7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</w:tr>
      <w:tr w:rsidR="00B54000" w:rsidRPr="00E73AA6" w:rsidTr="00B5400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</w:tr>
      <w:tr w:rsidR="0006725F" w:rsidRPr="00E73AA6" w:rsidTr="0006725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50E7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06725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48,833</w:t>
            </w:r>
          </w:p>
        </w:tc>
      </w:tr>
      <w:tr w:rsidR="0006725F" w:rsidRPr="00E73AA6" w:rsidTr="0006725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1,628</w:t>
            </w:r>
          </w:p>
        </w:tc>
      </w:tr>
      <w:tr w:rsidR="009C50E7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9C50E7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9C50E7" w:rsidRPr="00E73AA6" w:rsidTr="009C50E7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9C50E7" w:rsidRPr="00E73AA6" w:rsidTr="009C50E7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022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  <w:r w:rsidR="00022AAD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-1</w:t>
            </w:r>
            <w:r w:rsidR="00022AAD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9C50E7" w:rsidRPr="00E73AA6" w:rsidTr="009C50E7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D50667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6725F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D50667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6725F">
              <w:rPr>
                <w:sz w:val="16"/>
                <w:szCs w:val="16"/>
              </w:rPr>
              <w:t>.00</w:t>
            </w: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CD5E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CD5E2F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725F" w:rsidRPr="00E73AA6" w:rsidRDefault="0006725F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E73AA6" w:rsidTr="00434BED">
        <w:trPr>
          <w:trHeight w:hRule="exact" w:val="216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25F" w:rsidRPr="00E73AA6" w:rsidRDefault="0006725F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06725F" w:rsidRPr="00E73AA6" w:rsidTr="00844D46">
        <w:trPr>
          <w:trHeight w:hRule="exact" w:val="414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06725F" w:rsidRPr="00E73AA6" w:rsidTr="00844D46">
        <w:trPr>
          <w:trHeight w:val="300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169" w:type="dxa"/>
        <w:jc w:val="center"/>
        <w:tblInd w:w="2323" w:type="dxa"/>
        <w:tblLook w:val="04A0"/>
      </w:tblPr>
      <w:tblGrid>
        <w:gridCol w:w="1189"/>
        <w:gridCol w:w="793"/>
        <w:gridCol w:w="729"/>
        <w:gridCol w:w="660"/>
        <w:gridCol w:w="727"/>
        <w:gridCol w:w="611"/>
        <w:gridCol w:w="691"/>
        <w:gridCol w:w="507"/>
        <w:gridCol w:w="752"/>
        <w:gridCol w:w="611"/>
        <w:gridCol w:w="691"/>
        <w:gridCol w:w="500"/>
        <w:gridCol w:w="708"/>
      </w:tblGrid>
      <w:tr w:rsidR="007F6980" w:rsidRPr="00254811" w:rsidTr="00B54000">
        <w:trPr>
          <w:trHeight w:val="270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B54000">
        <w:trPr>
          <w:trHeight w:val="315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B54000">
        <w:trPr>
          <w:trHeight w:val="162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06725F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9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56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5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06725F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06725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EF41A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5498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33C23" w:rsidRDefault="0006725F" w:rsidP="0027656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33C23" w:rsidRDefault="0006725F" w:rsidP="0027656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5498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33C23" w:rsidRDefault="0006725F" w:rsidP="0027656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33C23" w:rsidRDefault="0006725F" w:rsidP="0027656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30D2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130D2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C23A4C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254811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D93093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07-Jun-18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1,423,528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1,331,828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6.7207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8,089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6.8545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21-Jun-18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123,148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57,348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5C05F8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05-Jul-18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518,201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357,201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19-Jul-18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3,542,413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3,236,665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7.7213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26,825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AD0CA4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2765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02-Aug-18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1,011,948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950,448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16-Aug-18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30-Aug-18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605286" w:rsidRDefault="0006725F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7F6980" w:rsidRDefault="0006725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Default="0006725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13-Sep-18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33,684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27-Sep-18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06725F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06725F" w:rsidRPr="00254811" w:rsidTr="0006725F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B540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B54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B54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B54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B54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6725F" w:rsidRPr="00F21299" w:rsidRDefault="0006725F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725F" w:rsidRPr="00254811" w:rsidTr="0006725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Pr="00254811" w:rsidRDefault="0006725F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6725F" w:rsidRPr="00254811" w:rsidTr="00B54000">
        <w:trPr>
          <w:trHeight w:val="69"/>
          <w:jc w:val="center"/>
        </w:trPr>
        <w:tc>
          <w:tcPr>
            <w:tcW w:w="916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06725F" w:rsidRDefault="0006725F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06725F" w:rsidRPr="009A072D" w:rsidRDefault="0006725F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2A2699" w:rsidRDefault="002A2699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2A2699">
        <w:trPr>
          <w:trHeight w:val="25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2A2699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A065F6">
        <w:trPr>
          <w:trHeight w:val="117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A065F6">
        <w:trPr>
          <w:trHeight w:val="105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8A3F0B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8A3F0B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8A3F0B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8A3F0B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8A3F0B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8A3F0B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F46C28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F46C2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F0A89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A96C0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9764B0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4B0">
              <w:rPr>
                <w:b/>
                <w:bCs/>
                <w:color w:val="000000"/>
                <w:sz w:val="16"/>
                <w:szCs w:val="16"/>
              </w:rPr>
              <w:t>13-Jun-18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4,636.40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2,674.90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99.2784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7.4677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540.40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97.8000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1,594.20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596.80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100.2900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9764B0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C8240C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40C">
              <w:rPr>
                <w:b/>
                <w:bCs/>
                <w:color w:val="000000"/>
                <w:sz w:val="16"/>
                <w:szCs w:val="16"/>
              </w:rPr>
              <w:t>12-Jul-18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C8240C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110D53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D53">
              <w:rPr>
                <w:b/>
                <w:bCs/>
                <w:color w:val="000000"/>
                <w:sz w:val="16"/>
                <w:szCs w:val="16"/>
              </w:rPr>
              <w:t>9-Aug-18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15,918.00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95.1326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15,646.00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76568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110D53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Default="00276568" w:rsidP="00276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F0A89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1280" w:rsidRPr="00E73AA6" w:rsidTr="0085128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1280" w:rsidRPr="00851280" w:rsidRDefault="00851280" w:rsidP="008512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280">
              <w:rPr>
                <w:b/>
                <w:bCs/>
                <w:color w:val="000000"/>
                <w:sz w:val="16"/>
                <w:szCs w:val="16"/>
              </w:rPr>
              <w:t>6-Sep-18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851280" w:rsidRPr="00E73AA6" w:rsidTr="0085128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1280" w:rsidRDefault="00851280" w:rsidP="00851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4,668.00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4,668.00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95.1849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9.2500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9.2500</w:t>
            </w:r>
          </w:p>
        </w:tc>
      </w:tr>
      <w:tr w:rsidR="00851280" w:rsidRPr="00E73AA6" w:rsidTr="0085128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1280" w:rsidRDefault="00851280" w:rsidP="00851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851280" w:rsidRPr="00E73AA6" w:rsidTr="0085128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1280" w:rsidRDefault="00851280" w:rsidP="00851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51280" w:rsidRPr="00851280" w:rsidRDefault="00851280" w:rsidP="00851280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6568" w:rsidRPr="00E73AA6" w:rsidTr="00A065F6">
        <w:trPr>
          <w:trHeight w:val="132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A2699" w:rsidRDefault="00276568" w:rsidP="00276568">
            <w:pPr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76568" w:rsidRPr="00E73AA6" w:rsidTr="0036157E">
        <w:trPr>
          <w:trHeight w:val="200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2075ED" w:rsidRDefault="00276568" w:rsidP="00276568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276568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2075ED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E73AA6" w:rsidRDefault="00276568" w:rsidP="00276568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E73AA6" w:rsidRDefault="00276568" w:rsidP="00276568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76568" w:rsidRPr="00E73AA6" w:rsidRDefault="00276568" w:rsidP="00276568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76568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2075ED" w:rsidRDefault="00276568" w:rsidP="0027656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276568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276568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FE2BFA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BFA">
              <w:rPr>
                <w:b/>
                <w:bCs/>
                <w:color w:val="000000"/>
                <w:sz w:val="16"/>
                <w:szCs w:val="16"/>
              </w:rPr>
              <w:t>28-Jun-18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122,075.00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15,157.80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276568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276568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FE2BFA" w:rsidRDefault="00276568" w:rsidP="00276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09-Aug</w:t>
            </w:r>
            <w:r w:rsidRPr="00FE2BFA">
              <w:rPr>
                <w:b/>
                <w:bCs/>
                <w:color w:val="000000"/>
                <w:sz w:val="16"/>
                <w:szCs w:val="16"/>
              </w:rPr>
              <w:t>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907A1" w:rsidRDefault="00276568" w:rsidP="002765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  <w:r w:rsidRPr="00FE2BFA">
              <w:rPr>
                <w:sz w:val="16"/>
                <w:szCs w:val="16"/>
              </w:rPr>
              <w:t>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6568" w:rsidRPr="00FE2BFA" w:rsidRDefault="00276568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275</w:t>
            </w:r>
            <w:r w:rsidRPr="00FE2B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FE2BFA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075ED">
              <w:rPr>
                <w:sz w:val="16"/>
                <w:szCs w:val="16"/>
              </w:rPr>
              <w:t>0</w:t>
            </w:r>
          </w:p>
        </w:tc>
      </w:tr>
      <w:tr w:rsidR="00276568" w:rsidRPr="00E73AA6" w:rsidTr="00FE2BFA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6568" w:rsidRPr="00E73AA6" w:rsidRDefault="00276568" w:rsidP="00276568">
            <w:pPr>
              <w:jc w:val="right"/>
              <w:rPr>
                <w:sz w:val="16"/>
                <w:szCs w:val="16"/>
              </w:rPr>
            </w:pPr>
          </w:p>
        </w:tc>
      </w:tr>
      <w:tr w:rsidR="00276568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6568" w:rsidRDefault="00276568" w:rsidP="002765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NBR= No Bids Received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276568" w:rsidRDefault="00276568" w:rsidP="002765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276568" w:rsidRDefault="00276568" w:rsidP="002765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276568" w:rsidRDefault="00276568" w:rsidP="00276568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  <w:p w:rsidR="00276568" w:rsidRPr="00E73AA6" w:rsidRDefault="00276568" w:rsidP="00577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</w:t>
            </w:r>
            <w:r>
              <w:rPr>
                <w:sz w:val="14"/>
                <w:szCs w:val="14"/>
              </w:rPr>
              <w:t>N</w:t>
            </w:r>
            <w:r w:rsidRPr="00575071">
              <w:rPr>
                <w:sz w:val="14"/>
                <w:szCs w:val="14"/>
              </w:rPr>
              <w:t>o PIB (Floating Rate) Auction was conducted during the month of July</w:t>
            </w:r>
            <w:r w:rsidR="005774F1">
              <w:rPr>
                <w:sz w:val="14"/>
                <w:szCs w:val="14"/>
              </w:rPr>
              <w:t xml:space="preserve"> &amp; Sep</w:t>
            </w:r>
            <w:r w:rsidR="001419D1">
              <w:rPr>
                <w:sz w:val="14"/>
                <w:szCs w:val="14"/>
              </w:rPr>
              <w:t>,</w:t>
            </w:r>
            <w:r w:rsidRPr="00575071">
              <w:rPr>
                <w:sz w:val="14"/>
                <w:szCs w:val="14"/>
              </w:rPr>
              <w:t xml:space="preserve"> 2018.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F3062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3519A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C83337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0D7FE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110D5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8431A8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293D40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7.42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E7966" w:rsidRDefault="003D0FD0" w:rsidP="003D0FD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7.53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7.74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9159E9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3D0FD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8.47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D0FD0" w:rsidRPr="00E73AA6" w:rsidTr="003D0FD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8.77</w:t>
            </w:r>
          </w:p>
        </w:tc>
      </w:tr>
      <w:tr w:rsidR="003D0FD0" w:rsidRPr="00E73AA6" w:rsidTr="003D0FD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D0FD0" w:rsidRDefault="003D0FD0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9.06</w:t>
            </w:r>
          </w:p>
        </w:tc>
      </w:tr>
      <w:tr w:rsidR="003D0FD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D0FD0" w:rsidRPr="00E73AA6" w:rsidRDefault="003D0FD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3D0FD0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D0FD0" w:rsidRPr="00E73AA6" w:rsidRDefault="003D0FD0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FD0" w:rsidRPr="00E73AA6" w:rsidRDefault="003D0FD0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D0" w:rsidRPr="00E73AA6" w:rsidRDefault="003D0FD0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3D0FD0" w:rsidRPr="00E73AA6" w:rsidRDefault="003D0FD0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3D0FD0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D0FD0" w:rsidRDefault="003D0FD0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3D0FD0" w:rsidRPr="00E73AA6" w:rsidRDefault="003D0FD0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457470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sz w:val="16"/>
                <w:szCs w:val="16"/>
              </w:rPr>
            </w:pPr>
            <w:r w:rsidRPr="006A6E8A">
              <w:rPr>
                <w:sz w:val="16"/>
                <w:szCs w:val="16"/>
              </w:rPr>
              <w:t>6.78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703104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7.75</w:t>
            </w:r>
          </w:p>
        </w:tc>
      </w:tr>
      <w:tr w:rsidR="003D0FD0" w:rsidRPr="00E73AA6" w:rsidTr="003D0FD0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3D0FD0" w:rsidRPr="00E73AA6" w:rsidRDefault="003D0FD0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0FD0" w:rsidRPr="00E73AA6" w:rsidRDefault="003D0FD0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D0FD0" w:rsidRPr="003D0FD0" w:rsidRDefault="003D0FD0" w:rsidP="003D0FD0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703104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703104" w:rsidRPr="00E73AA6" w:rsidRDefault="00703104" w:rsidP="00703104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03104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703104" w:rsidRPr="00E73AA6" w:rsidRDefault="00703104" w:rsidP="00703104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097054" w:rsidP="006416CF">
      <w:pPr>
        <w:tabs>
          <w:tab w:val="right" w:pos="9271"/>
        </w:tabs>
        <w:ind w:right="-252"/>
        <w:jc w:val="center"/>
      </w:pPr>
      <w:r w:rsidRPr="00097054">
        <w:rPr>
          <w:noProof/>
        </w:rPr>
        <w:lastRenderedPageBreak/>
        <w:drawing>
          <wp:inline distT="0" distB="0" distL="0" distR="0">
            <wp:extent cx="5286375" cy="8230126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775" cy="823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64" w:rsidRDefault="008C0564" w:rsidP="00193993">
      <w:pPr>
        <w:tabs>
          <w:tab w:val="right" w:pos="9271"/>
        </w:tabs>
        <w:ind w:right="-252"/>
      </w:pPr>
    </w:p>
    <w:p w:rsidR="006D5CE4" w:rsidRDefault="006D5CE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124.1930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124.2189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124.3757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144.6357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1.1188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159.9668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160.0415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160.3989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124.3587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143.6792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143.7294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144.1644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159.2908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159.3105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159.6530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124.3847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143.8704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143.9628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144.3788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159.3390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159.4052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159.7316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144.4952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144.6024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145.0438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160.6531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160.7358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161.1025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124.2954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144.6658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144.7931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145.2198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160.6811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160.7853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161.1373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124.4642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143.8834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144.0302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144.4611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160.8431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160.9700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161.3292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144.1940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144.3276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144.7882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161.9799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162.0920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162.4758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124.4746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144.0126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144.1592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144.6177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161.8231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161.9508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162.3380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124.4745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144.2814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144.4162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144.8783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162.1232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162.2364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162.6309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124.2937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145.3994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145.5249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145.9789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163.1170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163.2193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163.5996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124.2987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144.7353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144.8655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145.3035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162.6642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163.1363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124.3208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124.4645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145.2278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145.3823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145.8401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1.1098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163.2066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163.3422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163.7169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124.4629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145.4250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145.5798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146.0302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164.0425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164.4163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124.4652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146.2384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146.8401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162.9496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163.0795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163.4561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124.2998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124.4619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146.1886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146.3351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146.8082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163.3347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163.8507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124.4202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146.1665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146.2844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146.7470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163.5953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163.9687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145.5990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145.7259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146.1280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163.0806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163.1769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163.4994</w:t>
            </w:r>
          </w:p>
        </w:tc>
      </w:tr>
      <w:tr w:rsidR="00703800" w:rsidRPr="00930252" w:rsidTr="00703800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28-Sep-18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124.2492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124.2857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124.4378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144.1913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144.3130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144.7606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162.2385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162.3353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162.7066</w:t>
            </w:r>
          </w:p>
        </w:tc>
      </w:tr>
      <w:tr w:rsidR="00703800" w:rsidRPr="00930252" w:rsidTr="00703800">
        <w:trPr>
          <w:trHeight w:hRule="exact" w:val="1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1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A31CFA" w:rsidTr="005C05F8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127.9944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128.0936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128.5122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409.9797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410.1497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410.9000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89.1845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409.9818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410.0103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410.6687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127.5362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128.0313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410.0051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410.1533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410.7816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128.2382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128.6624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89.3994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410.2277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410.4417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411.1746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128.8490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129.2615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410.6834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411.3964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127.7531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127.8931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128.3081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88.4882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410.0203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410.3288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411.0837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127.5367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410.1826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410.4584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411.2199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127.5683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127.7080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88.4916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410.0500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410.3541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411.1248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128.0497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128.6217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410.2651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410.5459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411.3365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128.8797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129.0012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129.4356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89.4963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410.7254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411.5150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128.9198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129.3402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410.1308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410.3867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411.1422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129.3514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129.4995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129.9415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410.6740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411.4135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128.6069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129.1856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90.2327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410.6580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411.3984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129.5857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129.7290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130.1603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90.4143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90.4512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90.5777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33.1934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410.5366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410.8009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411.6118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128.5665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129.1566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90.1813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410.7048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411.5192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128.5556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128.6699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129.1132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90.2749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410.6397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411.3738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128.3771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89.8866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410.3478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410.5324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411.1966</w:t>
            </w:r>
          </w:p>
        </w:tc>
      </w:tr>
      <w:tr w:rsidR="00703800" w:rsidRPr="00B455F2" w:rsidTr="00703800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28-Sep-18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127.2980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127.8451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409.7053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409.9133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7038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410.7017</w:t>
            </w:r>
          </w:p>
        </w:tc>
      </w:tr>
      <w:tr w:rsidR="00703800" w:rsidRPr="00B455F2" w:rsidTr="00703800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03800" w:rsidRDefault="00703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703800" w:rsidRDefault="00703800" w:rsidP="004B09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15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1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84633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A70D23" w:rsidRPr="00B455F2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</w:tr>
      <w:tr w:rsidR="00A70D23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70D23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928" w:type="dxa"/>
        <w:tblLayout w:type="fixed"/>
        <w:tblLook w:val="04A0"/>
      </w:tblPr>
      <w:tblGrid>
        <w:gridCol w:w="284"/>
        <w:gridCol w:w="589"/>
        <w:gridCol w:w="45"/>
        <w:gridCol w:w="511"/>
        <w:gridCol w:w="563"/>
        <w:gridCol w:w="624"/>
        <w:gridCol w:w="534"/>
        <w:gridCol w:w="558"/>
        <w:gridCol w:w="624"/>
        <w:gridCol w:w="543"/>
        <w:gridCol w:w="543"/>
        <w:gridCol w:w="624"/>
        <w:gridCol w:w="630"/>
        <w:gridCol w:w="540"/>
        <w:gridCol w:w="540"/>
        <w:gridCol w:w="636"/>
        <w:gridCol w:w="540"/>
      </w:tblGrid>
      <w:tr w:rsidR="00751809" w:rsidRPr="00E73AA6" w:rsidTr="00752CC1">
        <w:trPr>
          <w:trHeight w:val="357"/>
        </w:trPr>
        <w:tc>
          <w:tcPr>
            <w:tcW w:w="892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752CC1">
        <w:trPr>
          <w:trHeight w:val="180"/>
        </w:trPr>
        <w:tc>
          <w:tcPr>
            <w:tcW w:w="892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752CC1">
        <w:trPr>
          <w:trHeight w:val="180"/>
        </w:trPr>
        <w:tc>
          <w:tcPr>
            <w:tcW w:w="892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752CC1">
        <w:trPr>
          <w:cantSplit/>
          <w:trHeight w:val="330"/>
        </w:trPr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22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2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3D0FD0" w:rsidRPr="00E73AA6" w:rsidTr="00752CC1">
        <w:trPr>
          <w:trHeight w:val="315"/>
        </w:trPr>
        <w:tc>
          <w:tcPr>
            <w:tcW w:w="284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FD0" w:rsidRPr="00E73AA6" w:rsidRDefault="003D0FD0" w:rsidP="003D0FD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A1152B" w:rsidRDefault="003D0FD0" w:rsidP="003D0FD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3D0FD0" w:rsidRPr="00E73AA6" w:rsidTr="00752CC1">
        <w:trPr>
          <w:trHeight w:val="192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3D0FD0" w:rsidRPr="00E73AA6" w:rsidTr="00752CC1">
        <w:trPr>
          <w:trHeight w:val="177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D0FD0" w:rsidRPr="00E73AA6" w:rsidRDefault="003D0FD0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530AF6" w:rsidRDefault="003D0FD0" w:rsidP="003D0FD0">
            <w:pPr>
              <w:jc w:val="right"/>
              <w:rPr>
                <w:sz w:val="14"/>
                <w:szCs w:val="14"/>
              </w:rPr>
            </w:pP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CC1" w:rsidRPr="00E73AA6" w:rsidRDefault="00752CC1" w:rsidP="003D0FD0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737.8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33.7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254.8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341.2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737.8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40.1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562.7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52CC1" w:rsidRPr="00E73AA6" w:rsidTr="00752CC1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2CC1" w:rsidRPr="00E73AA6" w:rsidRDefault="00752CC1" w:rsidP="003D0FD0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52CC1" w:rsidRPr="00E73AA6" w:rsidTr="00752CC1">
        <w:trPr>
          <w:trHeight w:val="300"/>
        </w:trPr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3D0FD0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Pr="00530AF6" w:rsidRDefault="00752CC1" w:rsidP="00752CC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CC1" w:rsidRPr="00E73AA6" w:rsidRDefault="00752CC1" w:rsidP="003D0FD0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6,053.6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111.8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3,524.0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628.2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5,854.7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7,557.7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1,606.6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6,053.6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226.0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8,195.9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9,545.4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4,998.8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585.1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235.3</w:t>
            </w:r>
          </w:p>
        </w:tc>
      </w:tr>
      <w:tr w:rsidR="00752CC1" w:rsidRPr="00E73AA6" w:rsidTr="00752CC1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2CC1" w:rsidRPr="00E73AA6" w:rsidRDefault="00752CC1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2CC1" w:rsidRPr="00E73AA6" w:rsidRDefault="00752CC1" w:rsidP="003D0FD0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3D0FD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52CC1" w:rsidRDefault="00752CC1" w:rsidP="00752C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D0FD0" w:rsidRPr="00E73AA6" w:rsidTr="00752CC1">
        <w:trPr>
          <w:trHeight w:val="198"/>
        </w:trPr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FD0" w:rsidRPr="00E73AA6" w:rsidRDefault="003D0FD0" w:rsidP="003D0FD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D0FD0" w:rsidRPr="00E73AA6" w:rsidRDefault="003D0FD0" w:rsidP="003D0FD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3D0FD0" w:rsidRPr="00E73AA6" w:rsidTr="00752CC1">
        <w:trPr>
          <w:trHeight w:val="202"/>
        </w:trPr>
        <w:tc>
          <w:tcPr>
            <w:tcW w:w="4332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96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3D0FD0" w:rsidRPr="00E73AA6" w:rsidRDefault="003D0FD0" w:rsidP="003D0FD0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D0FD0" w:rsidRPr="00E73AA6" w:rsidTr="00752CC1">
        <w:trPr>
          <w:trHeight w:val="225"/>
        </w:trPr>
        <w:tc>
          <w:tcPr>
            <w:tcW w:w="892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FD0" w:rsidRPr="00E73AA6" w:rsidRDefault="003D0FD0" w:rsidP="003D0FD0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99" w:rsidRDefault="002A2699">
      <w:r>
        <w:separator/>
      </w:r>
    </w:p>
  </w:endnote>
  <w:endnote w:type="continuationSeparator" w:id="0">
    <w:p w:rsidR="002A2699" w:rsidRDefault="002A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99" w:rsidRDefault="00C04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26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699" w:rsidRDefault="002A26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99" w:rsidRDefault="00C042FB">
    <w:pPr>
      <w:pStyle w:val="Footer"/>
      <w:jc w:val="center"/>
    </w:pPr>
    <w:fldSimple w:instr=" PAGE   \* MERGEFORMAT ">
      <w:r w:rsidR="001419D1">
        <w:rPr>
          <w:noProof/>
        </w:rPr>
        <w:t>126</w:t>
      </w:r>
    </w:fldSimple>
  </w:p>
  <w:p w:rsidR="002A2699" w:rsidRDefault="002A26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99" w:rsidRDefault="002A2699">
      <w:r>
        <w:separator/>
      </w:r>
    </w:p>
  </w:footnote>
  <w:footnote w:type="continuationSeparator" w:id="0">
    <w:p w:rsidR="002A2699" w:rsidRDefault="002A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AAD"/>
    <w:rsid w:val="00022C83"/>
    <w:rsid w:val="000239F3"/>
    <w:rsid w:val="00025923"/>
    <w:rsid w:val="0002639A"/>
    <w:rsid w:val="00026734"/>
    <w:rsid w:val="00026DEB"/>
    <w:rsid w:val="000270A4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1DD3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25F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269B"/>
    <w:rsid w:val="00102A20"/>
    <w:rsid w:val="00103302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2FA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568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4D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517"/>
    <w:rsid w:val="003A7C83"/>
    <w:rsid w:val="003A7D5B"/>
    <w:rsid w:val="003B0132"/>
    <w:rsid w:val="003B0E31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641E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4B7"/>
    <w:rsid w:val="005774F1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6E8A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1280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793B"/>
    <w:rsid w:val="00977E2E"/>
    <w:rsid w:val="00980DCE"/>
    <w:rsid w:val="00980E71"/>
    <w:rsid w:val="00981170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4508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A490-C9E0-4A4D-A61C-CD3E0955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23809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190</cp:revision>
  <cp:lastPrinted>2017-10-31T07:38:00Z</cp:lastPrinted>
  <dcterms:created xsi:type="dcterms:W3CDTF">2017-08-23T10:10:00Z</dcterms:created>
  <dcterms:modified xsi:type="dcterms:W3CDTF">2018-11-01T06:39:00Z</dcterms:modified>
</cp:coreProperties>
</file>