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D6" w:rsidRDefault="00F46CD6" w:rsidP="0069571C">
      <w:pPr>
        <w:jc w:val="left"/>
        <w:rPr>
          <w:color w:val="auto"/>
        </w:rPr>
      </w:pPr>
    </w:p>
    <w:tbl>
      <w:tblPr>
        <w:tblpPr w:leftFromText="180" w:rightFromText="180" w:vertAnchor="page" w:horzAnchor="margin" w:tblpXSpec="center" w:tblpY="946"/>
        <w:tblW w:w="10548" w:type="dxa"/>
        <w:tblLayout w:type="fixed"/>
        <w:tblLook w:val="04A0"/>
      </w:tblPr>
      <w:tblGrid>
        <w:gridCol w:w="3912"/>
        <w:gridCol w:w="696"/>
        <w:gridCol w:w="720"/>
        <w:gridCol w:w="720"/>
        <w:gridCol w:w="810"/>
        <w:gridCol w:w="720"/>
        <w:gridCol w:w="720"/>
        <w:gridCol w:w="720"/>
        <w:gridCol w:w="720"/>
        <w:gridCol w:w="810"/>
      </w:tblGrid>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D37119" w:rsidRPr="00FA2FBA" w:rsidTr="008754F5">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D37119" w:rsidRPr="00FA2FBA" w:rsidRDefault="00D37119" w:rsidP="008C15FE">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D37119" w:rsidRPr="00FA2FBA" w:rsidRDefault="00D37119" w:rsidP="008C15FE">
            <w:pPr>
              <w:rPr>
                <w:b/>
                <w:bCs/>
                <w:color w:val="auto"/>
                <w:szCs w:val="16"/>
              </w:rPr>
            </w:pPr>
            <w:r>
              <w:rPr>
                <w:b/>
                <w:bCs/>
                <w:color w:val="auto"/>
                <w:szCs w:val="16"/>
              </w:rPr>
              <w:t>FY15</w:t>
            </w:r>
          </w:p>
        </w:tc>
        <w:tc>
          <w:tcPr>
            <w:tcW w:w="720" w:type="dxa"/>
            <w:vMerge w:val="restart"/>
            <w:tcBorders>
              <w:top w:val="single" w:sz="12" w:space="0" w:color="auto"/>
              <w:left w:val="single" w:sz="4" w:space="0" w:color="auto"/>
            </w:tcBorders>
            <w:shd w:val="clear" w:color="auto" w:fill="auto"/>
            <w:vAlign w:val="center"/>
          </w:tcPr>
          <w:p w:rsidR="00D37119" w:rsidRPr="00FA2FBA" w:rsidRDefault="00D37119" w:rsidP="008C15FE">
            <w:pPr>
              <w:rPr>
                <w:b/>
                <w:bCs/>
                <w:color w:val="auto"/>
                <w:szCs w:val="16"/>
              </w:rPr>
            </w:pPr>
            <w:r>
              <w:rPr>
                <w:b/>
                <w:bCs/>
                <w:color w:val="auto"/>
                <w:szCs w:val="16"/>
              </w:rPr>
              <w:t>FY16</w:t>
            </w:r>
          </w:p>
        </w:tc>
        <w:tc>
          <w:tcPr>
            <w:tcW w:w="720" w:type="dxa"/>
            <w:vMerge w:val="restart"/>
            <w:tcBorders>
              <w:top w:val="single" w:sz="12" w:space="0" w:color="auto"/>
              <w:left w:val="single" w:sz="4" w:space="0" w:color="auto"/>
            </w:tcBorders>
            <w:shd w:val="clear" w:color="auto" w:fill="auto"/>
            <w:vAlign w:val="center"/>
          </w:tcPr>
          <w:p w:rsidR="00D37119" w:rsidRPr="00FA2FBA" w:rsidRDefault="00D37119" w:rsidP="00B4080E">
            <w:pPr>
              <w:rPr>
                <w:b/>
                <w:bCs/>
                <w:color w:val="auto"/>
                <w:szCs w:val="16"/>
              </w:rPr>
            </w:pPr>
            <w:r w:rsidRPr="00B4080E">
              <w:rPr>
                <w:b/>
                <w:bCs/>
                <w:color w:val="auto"/>
                <w:szCs w:val="16"/>
              </w:rPr>
              <w:t>FY17</w:t>
            </w:r>
          </w:p>
        </w:tc>
        <w:tc>
          <w:tcPr>
            <w:tcW w:w="2250" w:type="dxa"/>
            <w:gridSpan w:val="3"/>
            <w:tcBorders>
              <w:top w:val="single" w:sz="12" w:space="0" w:color="auto"/>
              <w:left w:val="single" w:sz="4" w:space="0" w:color="auto"/>
              <w:bottom w:val="single" w:sz="4" w:space="0" w:color="auto"/>
            </w:tcBorders>
            <w:shd w:val="clear" w:color="auto" w:fill="auto"/>
            <w:vAlign w:val="center"/>
          </w:tcPr>
          <w:p w:rsidR="00D37119" w:rsidRPr="00FA2FBA" w:rsidRDefault="00D37119" w:rsidP="008C15FE">
            <w:pPr>
              <w:rPr>
                <w:b/>
                <w:bCs/>
                <w:color w:val="auto"/>
                <w:szCs w:val="16"/>
              </w:rPr>
            </w:pPr>
            <w:r>
              <w:rPr>
                <w:b/>
                <w:bCs/>
                <w:color w:val="auto"/>
                <w:szCs w:val="16"/>
              </w:rPr>
              <w:t>2017</w:t>
            </w:r>
          </w:p>
        </w:tc>
        <w:tc>
          <w:tcPr>
            <w:tcW w:w="2250" w:type="dxa"/>
            <w:gridSpan w:val="3"/>
            <w:tcBorders>
              <w:top w:val="single" w:sz="12" w:space="0" w:color="auto"/>
              <w:left w:val="single" w:sz="4" w:space="0" w:color="auto"/>
              <w:bottom w:val="single" w:sz="4" w:space="0" w:color="auto"/>
            </w:tcBorders>
            <w:shd w:val="clear" w:color="auto" w:fill="auto"/>
            <w:vAlign w:val="center"/>
          </w:tcPr>
          <w:p w:rsidR="00D37119" w:rsidRPr="00FA2FBA" w:rsidRDefault="00D37119" w:rsidP="008C15FE">
            <w:pPr>
              <w:rPr>
                <w:b/>
                <w:bCs/>
                <w:color w:val="auto"/>
                <w:szCs w:val="16"/>
              </w:rPr>
            </w:pPr>
            <w:r>
              <w:rPr>
                <w:b/>
                <w:bCs/>
                <w:color w:val="auto"/>
                <w:szCs w:val="16"/>
              </w:rPr>
              <w:t>2018</w:t>
            </w:r>
          </w:p>
        </w:tc>
      </w:tr>
      <w:tr w:rsidR="008754F5" w:rsidRPr="00FA2FBA" w:rsidTr="008754F5">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8754F5" w:rsidRPr="00FA2FBA" w:rsidRDefault="008754F5" w:rsidP="008754F5">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754F5" w:rsidRPr="006619BF" w:rsidRDefault="008754F5" w:rsidP="008754F5">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754F5" w:rsidRPr="006619BF" w:rsidRDefault="008754F5" w:rsidP="008754F5">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754F5" w:rsidRPr="006619BF" w:rsidRDefault="008754F5" w:rsidP="008754F5">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754F5" w:rsidRPr="006619BF" w:rsidRDefault="008754F5" w:rsidP="008754F5">
            <w:pPr>
              <w:jc w:val="right"/>
              <w:rPr>
                <w:b/>
                <w:color w:val="auto"/>
                <w:sz w:val="14"/>
                <w:szCs w:val="14"/>
              </w:rPr>
            </w:pPr>
            <w:r>
              <w:rPr>
                <w:b/>
                <w:color w:val="auto"/>
                <w:sz w:val="14"/>
                <w:szCs w:val="14"/>
              </w:rPr>
              <w:t>Feb</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8754F5" w:rsidRPr="006619BF" w:rsidRDefault="008754F5" w:rsidP="008754F5">
            <w:pPr>
              <w:jc w:val="right"/>
              <w:rPr>
                <w:b/>
                <w:color w:val="auto"/>
                <w:sz w:val="14"/>
                <w:szCs w:val="14"/>
              </w:rPr>
            </w:pPr>
            <w:r>
              <w:rPr>
                <w:b/>
                <w:color w:val="auto"/>
                <w:sz w:val="14"/>
                <w:szCs w:val="14"/>
              </w:rPr>
              <w:t>Mar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754F5" w:rsidRPr="006619BF" w:rsidRDefault="008754F5" w:rsidP="008754F5">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754F5" w:rsidRPr="006619BF" w:rsidRDefault="008754F5" w:rsidP="008754F5">
            <w:pPr>
              <w:jc w:val="right"/>
              <w:rPr>
                <w:b/>
                <w:color w:val="auto"/>
                <w:sz w:val="14"/>
                <w:szCs w:val="14"/>
              </w:rPr>
            </w:pPr>
            <w:r>
              <w:rPr>
                <w:b/>
                <w:color w:val="auto"/>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8754F5" w:rsidRPr="006619BF" w:rsidRDefault="008754F5" w:rsidP="008754F5">
            <w:pPr>
              <w:jc w:val="right"/>
              <w:rPr>
                <w:b/>
                <w:color w:val="auto"/>
                <w:sz w:val="14"/>
                <w:szCs w:val="14"/>
              </w:rPr>
            </w:pPr>
            <w:r>
              <w:rPr>
                <w:b/>
                <w:color w:val="auto"/>
                <w:sz w:val="14"/>
                <w:szCs w:val="14"/>
              </w:rPr>
              <w:t>Feb</w:t>
            </w:r>
          </w:p>
        </w:tc>
        <w:tc>
          <w:tcPr>
            <w:tcW w:w="810" w:type="dxa"/>
            <w:tcBorders>
              <w:top w:val="single" w:sz="4" w:space="0" w:color="auto"/>
              <w:bottom w:val="single" w:sz="12" w:space="0" w:color="auto"/>
              <w:right w:val="nil"/>
            </w:tcBorders>
            <w:shd w:val="clear" w:color="auto" w:fill="auto"/>
            <w:tcMar>
              <w:left w:w="43" w:type="dxa"/>
              <w:right w:w="43" w:type="dxa"/>
            </w:tcMar>
            <w:vAlign w:val="center"/>
            <w:hideMark/>
          </w:tcPr>
          <w:p w:rsidR="008754F5" w:rsidRPr="006619BF" w:rsidRDefault="008754F5" w:rsidP="008754F5">
            <w:pPr>
              <w:jc w:val="right"/>
              <w:rPr>
                <w:b/>
                <w:color w:val="auto"/>
                <w:sz w:val="14"/>
                <w:szCs w:val="14"/>
              </w:rPr>
            </w:pPr>
            <w:r>
              <w:rPr>
                <w:b/>
                <w:color w:val="auto"/>
                <w:sz w:val="14"/>
                <w:szCs w:val="14"/>
              </w:rPr>
              <w:t xml:space="preserve">Mar </w:t>
            </w:r>
            <w:r w:rsidRPr="00D37119">
              <w:rPr>
                <w:b/>
                <w:color w:val="auto"/>
                <w:sz w:val="14"/>
                <w:szCs w:val="14"/>
                <w:vertAlign w:val="superscript"/>
              </w:rPr>
              <w:t>P</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971,259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1,322,526</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1,101,149</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884D1B" w:rsidRDefault="00884D1B" w:rsidP="008754F5">
            <w:pPr>
              <w:jc w:val="right"/>
              <w:rPr>
                <w:b/>
                <w:bCs/>
                <w:sz w:val="14"/>
                <w:szCs w:val="14"/>
              </w:rPr>
            </w:pPr>
            <w:r>
              <w:rPr>
                <w:b/>
                <w:bCs/>
                <w:sz w:val="14"/>
                <w:szCs w:val="14"/>
              </w:rPr>
              <w:t>1,221,430</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1,150,625</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941,783</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785,589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727,029</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684,557</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1,910,973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2,632,353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2,415,139</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b/>
                <w:bCs/>
                <w:sz w:val="14"/>
                <w:szCs w:val="14"/>
              </w:rPr>
            </w:pPr>
            <w:r>
              <w:rPr>
                <w:b/>
                <w:bCs/>
                <w:sz w:val="14"/>
                <w:szCs w:val="14"/>
              </w:rPr>
              <w:t>2,503,947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2,437,497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2,364,316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2,241,640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2,174,503</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2,203,040</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247,151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287,170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270,361</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273,092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270,760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297,139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308,710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302,540</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317,447</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72,235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67,662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63,716</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64,481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64,859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61,937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63,397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59,492</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62,327</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1,274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5,146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10,319</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12,520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11,368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24,504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25,331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27,602</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26,815</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1,142,128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1,610,699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1,673,291</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1,318,921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1,232,377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1,367,490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888,052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943,394</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806,561</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294,753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355,822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94,091</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540,832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563,433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287,506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622,023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510,399</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642,306</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2,206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1,203</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129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554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48</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153,432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303,647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302,158</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294,100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294,700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325,610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333,573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331,027</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347,584</w:t>
            </w:r>
          </w:p>
        </w:tc>
      </w:tr>
      <w:tr w:rsidR="00884D1B" w:rsidRPr="006764F7"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i/>
                <w:iCs/>
                <w:sz w:val="14"/>
                <w:szCs w:val="14"/>
              </w:rPr>
            </w:pPr>
            <w:r>
              <w:rPr>
                <w:i/>
                <w:iCs/>
                <w:sz w:val="14"/>
                <w:szCs w:val="14"/>
              </w:rPr>
              <w:t>147,980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i/>
                <w:iCs/>
                <w:sz w:val="14"/>
                <w:szCs w:val="14"/>
              </w:rPr>
            </w:pPr>
            <w:r>
              <w:rPr>
                <w:i/>
                <w:iCs/>
                <w:sz w:val="14"/>
                <w:szCs w:val="14"/>
              </w:rPr>
              <w:t>297,634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i/>
                <w:iCs/>
                <w:sz w:val="14"/>
                <w:szCs w:val="14"/>
              </w:rPr>
            </w:pPr>
            <w:r>
              <w:rPr>
                <w:i/>
                <w:iCs/>
                <w:sz w:val="14"/>
                <w:szCs w:val="14"/>
              </w:rPr>
              <w:t>296,399</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i/>
                <w:iCs/>
                <w:sz w:val="14"/>
                <w:szCs w:val="14"/>
              </w:rPr>
            </w:pPr>
            <w:r>
              <w:rPr>
                <w:i/>
                <w:iCs/>
                <w:sz w:val="14"/>
                <w:szCs w:val="14"/>
              </w:rPr>
              <w:t>288,316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i/>
                <w:iCs/>
                <w:sz w:val="14"/>
                <w:szCs w:val="14"/>
              </w:rPr>
            </w:pPr>
            <w:r>
              <w:rPr>
                <w:i/>
                <w:iCs/>
                <w:sz w:val="14"/>
                <w:szCs w:val="14"/>
              </w:rPr>
              <w:t>288,954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i/>
                <w:iCs/>
                <w:sz w:val="14"/>
                <w:szCs w:val="14"/>
              </w:rPr>
            </w:pPr>
            <w:r>
              <w:rPr>
                <w:i/>
                <w:iCs/>
                <w:sz w:val="14"/>
                <w:szCs w:val="14"/>
              </w:rPr>
              <w:t>319,417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i/>
                <w:iCs/>
                <w:sz w:val="14"/>
                <w:szCs w:val="14"/>
              </w:rPr>
            </w:pPr>
            <w:r>
              <w:rPr>
                <w:i/>
                <w:iCs/>
                <w:sz w:val="14"/>
                <w:szCs w:val="14"/>
              </w:rPr>
              <w:t>327,194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i/>
                <w:iCs/>
                <w:sz w:val="14"/>
                <w:szCs w:val="14"/>
              </w:rPr>
            </w:pPr>
            <w:r>
              <w:rPr>
                <w:i/>
                <w:iCs/>
                <w:sz w:val="14"/>
                <w:szCs w:val="14"/>
              </w:rPr>
              <w:t>324,747</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i/>
                <w:iCs/>
                <w:sz w:val="14"/>
                <w:szCs w:val="14"/>
              </w:rPr>
            </w:pPr>
            <w:r>
              <w:rPr>
                <w:i/>
                <w:iCs/>
                <w:sz w:val="14"/>
                <w:szCs w:val="14"/>
              </w:rPr>
              <w:t>341,064</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939,714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1,309,828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1,313,990</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b/>
                <w:bCs/>
                <w:sz w:val="14"/>
                <w:szCs w:val="14"/>
              </w:rPr>
            </w:pPr>
            <w:r>
              <w:rPr>
                <w:b/>
                <w:bCs/>
                <w:sz w:val="14"/>
                <w:szCs w:val="14"/>
              </w:rPr>
              <w:t>1,282,516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1,286,872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1,422,533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1,456,051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1,447,475</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1,518,483</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72,316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74,964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74,664</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74,767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75,070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78,927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79,114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78,827</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82,525</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560,890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931,789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939,436</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911,918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915,533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1,012,580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1,034,888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1,027,149</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1,076,196</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165,263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158,508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155,550</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155,614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155,230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175,646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183,008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182,846</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193,553</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141,246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144,567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144,340</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140,217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141,038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155,379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159,041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158,653</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166,210</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1,075,155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1,953,605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2,047,042</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b/>
                <w:bCs/>
                <w:sz w:val="14"/>
                <w:szCs w:val="14"/>
              </w:rPr>
            </w:pPr>
            <w:r>
              <w:rPr>
                <w:b/>
                <w:bCs/>
                <w:sz w:val="14"/>
                <w:szCs w:val="14"/>
              </w:rPr>
              <w:t>1,447,338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1,642,259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2,222,177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1,475,709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2,058,120</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601,033</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1,911,736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1,423,182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2,329,434</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b/>
                <w:bCs/>
                <w:sz w:val="14"/>
                <w:szCs w:val="14"/>
              </w:rPr>
            </w:pPr>
            <w:r>
              <w:rPr>
                <w:b/>
                <w:bCs/>
                <w:sz w:val="14"/>
                <w:szCs w:val="14"/>
              </w:rPr>
              <w:t>2,379,079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2,226,404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2,347,094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3,282,390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2,846,985</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4,493,533</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2,085,691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1,715,195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2,424,678</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b/>
                <w:bCs/>
                <w:sz w:val="14"/>
                <w:szCs w:val="14"/>
              </w:rPr>
            </w:pPr>
            <w:r>
              <w:rPr>
                <w:b/>
                <w:bCs/>
                <w:sz w:val="14"/>
                <w:szCs w:val="14"/>
              </w:rPr>
              <w:t>2,764,036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2,632,468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2,611,382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3,637,982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3,145,891</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4,737,790</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2,327,124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2,052,301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2,524,167</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b/>
                <w:bCs/>
                <w:sz w:val="14"/>
                <w:szCs w:val="14"/>
              </w:rPr>
            </w:pPr>
            <w:r>
              <w:rPr>
                <w:b/>
                <w:bCs/>
                <w:sz w:val="14"/>
                <w:szCs w:val="14"/>
              </w:rPr>
              <w:t>2,998,358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2,795,823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2,664,054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3,695,956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3,203,490</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4,793,953</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2,324,384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2,049,561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2,521,427</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2,995,618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2,793,083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2,622,892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3,655,957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3,162,680</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4,752,885</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2,740</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41,162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39,998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40,810</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41,068</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241,432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99,489</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b/>
                <w:bCs/>
                <w:sz w:val="14"/>
                <w:szCs w:val="14"/>
              </w:rPr>
            </w:pPr>
            <w:r>
              <w:rPr>
                <w:b/>
                <w:bCs/>
                <w:sz w:val="14"/>
                <w:szCs w:val="14"/>
              </w:rPr>
              <w:t>234,323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163,355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52,672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57,974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57,599</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56,163</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241,432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99,489</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234,323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163,355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52,672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57,974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57,599</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56,163</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(95,244)</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b/>
                <w:bCs/>
                <w:sz w:val="14"/>
                <w:szCs w:val="14"/>
              </w:rPr>
            </w:pPr>
            <w:r>
              <w:rPr>
                <w:b/>
                <w:bCs/>
                <w:sz w:val="14"/>
                <w:szCs w:val="14"/>
              </w:rPr>
              <w:t>(384,956)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(406,064)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(264,288)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(355,592)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(298,906)</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(244,257)</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4,883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151</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4,485</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4,883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151</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4,485</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95,244</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b/>
                <w:bCs/>
                <w:sz w:val="14"/>
                <w:szCs w:val="14"/>
              </w:rPr>
            </w:pPr>
            <w:r>
              <w:rPr>
                <w:b/>
                <w:bCs/>
                <w:sz w:val="14"/>
                <w:szCs w:val="14"/>
              </w:rPr>
              <w:t>384,956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406,064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269,171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355,592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299,057</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248,742</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173,956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95,244</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384,956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406,064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269,171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355,592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299,057</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248,742</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30,875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32,815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24,408</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b/>
                <w:bCs/>
                <w:sz w:val="14"/>
                <w:szCs w:val="14"/>
              </w:rPr>
            </w:pPr>
            <w:r>
              <w:rPr>
                <w:b/>
                <w:bCs/>
                <w:sz w:val="14"/>
                <w:szCs w:val="14"/>
              </w:rPr>
              <w:t>32,193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32,086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23,538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23,386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23,414</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23,463</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11,831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12,106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4,988</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12,219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12,232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4,645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4,651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4,652</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4,665</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12</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27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31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34</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46</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19,033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20,698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19,407</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19,963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19,842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18,867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18,705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18,728</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18,753</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3,121,565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3,948,832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4,838,708</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b/>
                <w:bCs/>
                <w:sz w:val="14"/>
                <w:szCs w:val="14"/>
              </w:rPr>
            </w:pPr>
            <w:r>
              <w:rPr>
                <w:b/>
                <w:bCs/>
                <w:sz w:val="14"/>
                <w:szCs w:val="14"/>
              </w:rPr>
              <w:t>4,244,761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4,262,749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4,855,742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4,908,512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4,990,509</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5,037,101</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2,707,258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3,554,922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4,167,136</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b/>
                <w:bCs/>
                <w:sz w:val="14"/>
                <w:szCs w:val="14"/>
              </w:rPr>
            </w:pPr>
            <w:r>
              <w:rPr>
                <w:b/>
                <w:bCs/>
                <w:sz w:val="14"/>
                <w:szCs w:val="14"/>
              </w:rPr>
              <w:t>3,661,648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3,672,538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4,119,552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4,175,386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4,233,439</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4,287,150</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411,394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668,128</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b/>
                <w:bCs/>
                <w:sz w:val="14"/>
                <w:szCs w:val="14"/>
              </w:rPr>
            </w:pPr>
            <w:r>
              <w:rPr>
                <w:b/>
                <w:bCs/>
                <w:sz w:val="14"/>
                <w:szCs w:val="14"/>
              </w:rPr>
              <w:t>580,111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587,228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733,304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730,150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b/>
                <w:bCs/>
                <w:sz w:val="14"/>
                <w:szCs w:val="14"/>
              </w:rPr>
            </w:pPr>
            <w:r>
              <w:rPr>
                <w:b/>
                <w:bCs/>
                <w:sz w:val="14"/>
                <w:szCs w:val="14"/>
              </w:rPr>
              <w:t>754,020</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746,633</w:t>
            </w:r>
          </w:p>
        </w:tc>
      </w:tr>
      <w:tr w:rsidR="00884D1B" w:rsidRPr="00FA2FBA" w:rsidTr="00884D1B">
        <w:trPr>
          <w:trHeight w:val="266"/>
        </w:trPr>
        <w:tc>
          <w:tcPr>
            <w:tcW w:w="3912" w:type="dxa"/>
            <w:tcBorders>
              <w:top w:val="nil"/>
              <w:left w:val="nil"/>
              <w:bottom w:val="nil"/>
              <w:right w:val="nil"/>
            </w:tcBorders>
            <w:shd w:val="clear" w:color="auto" w:fill="auto"/>
            <w:noWrap/>
            <w:vAlign w:val="center"/>
            <w:hideMark/>
          </w:tcPr>
          <w:p w:rsidR="00884D1B" w:rsidRPr="00FA2FBA" w:rsidRDefault="00884D1B" w:rsidP="008754F5">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411,394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668,128</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580,111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587,228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733,304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730,150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754,020</w:t>
            </w:r>
          </w:p>
        </w:tc>
        <w:tc>
          <w:tcPr>
            <w:tcW w:w="810"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746,633</w:t>
            </w:r>
          </w:p>
        </w:tc>
      </w:tr>
      <w:tr w:rsidR="00884D1B" w:rsidRPr="00FA2FBA" w:rsidTr="00884D1B">
        <w:trPr>
          <w:trHeight w:val="266"/>
        </w:trPr>
        <w:tc>
          <w:tcPr>
            <w:tcW w:w="3912" w:type="dxa"/>
            <w:tcBorders>
              <w:top w:val="nil"/>
              <w:left w:val="nil"/>
              <w:bottom w:val="single" w:sz="12" w:space="0" w:color="auto"/>
              <w:right w:val="nil"/>
            </w:tcBorders>
            <w:shd w:val="clear" w:color="auto" w:fill="auto"/>
            <w:noWrap/>
            <w:vAlign w:val="center"/>
            <w:hideMark/>
          </w:tcPr>
          <w:p w:rsidR="00884D1B" w:rsidRPr="00FA2FBA" w:rsidRDefault="00884D1B" w:rsidP="008754F5">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84D1B" w:rsidRDefault="00884D1B" w:rsidP="008754F5">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98" w:type="dxa"/>
        <w:tblLayout w:type="fixed"/>
        <w:tblLook w:val="04A0"/>
      </w:tblPr>
      <w:tblGrid>
        <w:gridCol w:w="4100"/>
        <w:gridCol w:w="652"/>
        <w:gridCol w:w="741"/>
        <w:gridCol w:w="815"/>
        <w:gridCol w:w="715"/>
        <w:gridCol w:w="720"/>
        <w:gridCol w:w="730"/>
        <w:gridCol w:w="720"/>
        <w:gridCol w:w="725"/>
        <w:gridCol w:w="780"/>
      </w:tblGrid>
      <w:tr w:rsidR="00DF368E" w:rsidRPr="00FA2FBA" w:rsidTr="009024A8">
        <w:trPr>
          <w:trHeight w:val="360"/>
        </w:trPr>
        <w:tc>
          <w:tcPr>
            <w:tcW w:w="1069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DF368E">
        <w:trPr>
          <w:trHeight w:val="268"/>
        </w:trPr>
        <w:tc>
          <w:tcPr>
            <w:tcW w:w="1069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D37119" w:rsidRPr="00FA2FBA" w:rsidTr="00884D1B">
        <w:trPr>
          <w:trHeight w:val="268"/>
        </w:trPr>
        <w:tc>
          <w:tcPr>
            <w:tcW w:w="4100" w:type="dxa"/>
            <w:vMerge w:val="restart"/>
            <w:tcBorders>
              <w:top w:val="single" w:sz="12" w:space="0" w:color="auto"/>
              <w:bottom w:val="single" w:sz="12" w:space="0" w:color="auto"/>
              <w:right w:val="single" w:sz="4" w:space="0" w:color="auto"/>
            </w:tcBorders>
            <w:shd w:val="clear" w:color="auto" w:fill="auto"/>
            <w:noWrap/>
            <w:vAlign w:val="center"/>
            <w:hideMark/>
          </w:tcPr>
          <w:p w:rsidR="00D37119" w:rsidRPr="00FA2FBA" w:rsidRDefault="00D37119" w:rsidP="00DF368E">
            <w:pPr>
              <w:rPr>
                <w:b/>
                <w:bCs/>
                <w:color w:val="auto"/>
                <w:szCs w:val="16"/>
              </w:rPr>
            </w:pPr>
            <w:r w:rsidRPr="00FA2FBA">
              <w:rPr>
                <w:b/>
                <w:bCs/>
                <w:color w:val="auto"/>
                <w:szCs w:val="16"/>
              </w:rPr>
              <w:t>I T E M S</w:t>
            </w:r>
          </w:p>
        </w:tc>
        <w:tc>
          <w:tcPr>
            <w:tcW w:w="65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D37119" w:rsidRPr="00FA2FBA" w:rsidRDefault="00D37119" w:rsidP="00B4080E">
            <w:pPr>
              <w:jc w:val="right"/>
              <w:rPr>
                <w:b/>
                <w:bCs/>
                <w:color w:val="auto"/>
                <w:szCs w:val="16"/>
              </w:rPr>
            </w:pPr>
            <w:r>
              <w:rPr>
                <w:b/>
                <w:bCs/>
                <w:color w:val="auto"/>
                <w:szCs w:val="16"/>
              </w:rPr>
              <w:t>FY15</w:t>
            </w:r>
          </w:p>
        </w:tc>
        <w:tc>
          <w:tcPr>
            <w:tcW w:w="741" w:type="dxa"/>
            <w:vMerge w:val="restart"/>
            <w:tcBorders>
              <w:top w:val="single" w:sz="12" w:space="0" w:color="auto"/>
              <w:left w:val="single" w:sz="4" w:space="0" w:color="auto"/>
            </w:tcBorders>
            <w:shd w:val="clear" w:color="auto" w:fill="auto"/>
            <w:tcMar>
              <w:left w:w="43" w:type="dxa"/>
              <w:right w:w="43" w:type="dxa"/>
            </w:tcMar>
            <w:vAlign w:val="center"/>
            <w:hideMark/>
          </w:tcPr>
          <w:p w:rsidR="00D37119" w:rsidRPr="00FA2FBA" w:rsidRDefault="00D37119" w:rsidP="00B4080E">
            <w:pPr>
              <w:jc w:val="right"/>
              <w:rPr>
                <w:b/>
                <w:bCs/>
                <w:color w:val="auto"/>
                <w:szCs w:val="16"/>
              </w:rPr>
            </w:pPr>
            <w:r>
              <w:rPr>
                <w:b/>
                <w:bCs/>
                <w:color w:val="auto"/>
                <w:szCs w:val="16"/>
              </w:rPr>
              <w:t>FY16</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D37119" w:rsidRPr="00FA2FBA" w:rsidRDefault="00D37119" w:rsidP="00B4080E">
            <w:pPr>
              <w:jc w:val="right"/>
              <w:rPr>
                <w:b/>
                <w:bCs/>
                <w:color w:val="auto"/>
                <w:szCs w:val="16"/>
              </w:rPr>
            </w:pPr>
            <w:r w:rsidRPr="00B4080E">
              <w:rPr>
                <w:b/>
                <w:bCs/>
                <w:color w:val="auto"/>
                <w:szCs w:val="16"/>
              </w:rPr>
              <w:t>FY17</w:t>
            </w:r>
          </w:p>
        </w:tc>
        <w:tc>
          <w:tcPr>
            <w:tcW w:w="2165" w:type="dxa"/>
            <w:gridSpan w:val="3"/>
            <w:tcBorders>
              <w:top w:val="single" w:sz="12" w:space="0" w:color="auto"/>
              <w:left w:val="single" w:sz="4" w:space="0" w:color="auto"/>
              <w:bottom w:val="single" w:sz="4" w:space="0" w:color="auto"/>
            </w:tcBorders>
            <w:shd w:val="clear" w:color="auto" w:fill="auto"/>
            <w:vAlign w:val="center"/>
          </w:tcPr>
          <w:p w:rsidR="00D37119" w:rsidRPr="00FA2FBA" w:rsidRDefault="00D37119" w:rsidP="00DF368E">
            <w:pPr>
              <w:rPr>
                <w:b/>
                <w:bCs/>
                <w:color w:val="auto"/>
                <w:szCs w:val="16"/>
              </w:rPr>
            </w:pPr>
            <w:r>
              <w:rPr>
                <w:b/>
                <w:bCs/>
                <w:color w:val="auto"/>
                <w:szCs w:val="16"/>
              </w:rPr>
              <w:t>2017</w:t>
            </w:r>
          </w:p>
        </w:tc>
        <w:tc>
          <w:tcPr>
            <w:tcW w:w="2225" w:type="dxa"/>
            <w:gridSpan w:val="3"/>
            <w:tcBorders>
              <w:top w:val="single" w:sz="12" w:space="0" w:color="auto"/>
              <w:left w:val="single" w:sz="4" w:space="0" w:color="auto"/>
              <w:bottom w:val="single" w:sz="4" w:space="0" w:color="auto"/>
            </w:tcBorders>
            <w:shd w:val="clear" w:color="auto" w:fill="auto"/>
            <w:vAlign w:val="center"/>
          </w:tcPr>
          <w:p w:rsidR="00D37119" w:rsidRPr="00FA2FBA" w:rsidRDefault="00D37119" w:rsidP="00DF368E">
            <w:pPr>
              <w:rPr>
                <w:b/>
                <w:bCs/>
                <w:color w:val="auto"/>
                <w:szCs w:val="16"/>
              </w:rPr>
            </w:pPr>
            <w:r>
              <w:rPr>
                <w:b/>
                <w:bCs/>
                <w:color w:val="auto"/>
                <w:szCs w:val="16"/>
              </w:rPr>
              <w:t>2018</w:t>
            </w:r>
          </w:p>
        </w:tc>
      </w:tr>
      <w:tr w:rsidR="003370AC" w:rsidRPr="00FA2FBA" w:rsidTr="00884D1B">
        <w:trPr>
          <w:trHeight w:val="268"/>
        </w:trPr>
        <w:tc>
          <w:tcPr>
            <w:tcW w:w="4100" w:type="dxa"/>
            <w:vMerge/>
            <w:tcBorders>
              <w:bottom w:val="single" w:sz="12" w:space="0" w:color="auto"/>
              <w:right w:val="single" w:sz="4" w:space="0" w:color="auto"/>
            </w:tcBorders>
            <w:shd w:val="clear" w:color="auto" w:fill="auto"/>
            <w:noWrap/>
            <w:vAlign w:val="center"/>
            <w:hideMark/>
          </w:tcPr>
          <w:p w:rsidR="003370AC" w:rsidRPr="00FA2FBA" w:rsidRDefault="003370AC" w:rsidP="003370AC">
            <w:pPr>
              <w:jc w:val="left"/>
              <w:rPr>
                <w:b/>
                <w:bCs/>
                <w:color w:val="auto"/>
                <w:szCs w:val="16"/>
              </w:rPr>
            </w:pPr>
          </w:p>
        </w:tc>
        <w:tc>
          <w:tcPr>
            <w:tcW w:w="65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p>
        </w:tc>
        <w:tc>
          <w:tcPr>
            <w:tcW w:w="71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r>
              <w:rPr>
                <w:b/>
                <w:color w:val="auto"/>
                <w:sz w:val="14"/>
                <w:szCs w:val="14"/>
              </w:rPr>
              <w:t>Feb</w:t>
            </w:r>
          </w:p>
        </w:tc>
        <w:tc>
          <w:tcPr>
            <w:tcW w:w="720" w:type="dxa"/>
            <w:tcBorders>
              <w:bottom w:val="single" w:sz="12" w:space="0" w:color="auto"/>
              <w:right w:val="single" w:sz="4"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r>
              <w:rPr>
                <w:b/>
                <w:color w:val="auto"/>
                <w:sz w:val="14"/>
                <w:szCs w:val="14"/>
              </w:rPr>
              <w:t>Mar</w:t>
            </w:r>
          </w:p>
        </w:tc>
        <w:tc>
          <w:tcPr>
            <w:tcW w:w="730"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r>
              <w:rPr>
                <w:b/>
                <w:color w:val="auto"/>
                <w:sz w:val="14"/>
                <w:szCs w:val="14"/>
              </w:rPr>
              <w:t>Dec</w:t>
            </w:r>
          </w:p>
        </w:tc>
        <w:tc>
          <w:tcPr>
            <w:tcW w:w="720" w:type="dxa"/>
            <w:tcBorders>
              <w:left w:val="single" w:sz="4" w:space="0" w:color="auto"/>
              <w:bottom w:val="single" w:sz="12"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r>
              <w:rPr>
                <w:b/>
                <w:color w:val="auto"/>
                <w:sz w:val="14"/>
                <w:szCs w:val="14"/>
              </w:rPr>
              <w:t>Jan</w:t>
            </w:r>
          </w:p>
        </w:tc>
        <w:tc>
          <w:tcPr>
            <w:tcW w:w="725" w:type="dxa"/>
            <w:tcBorders>
              <w:bottom w:val="single" w:sz="12"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r>
              <w:rPr>
                <w:b/>
                <w:color w:val="auto"/>
                <w:sz w:val="14"/>
                <w:szCs w:val="14"/>
              </w:rPr>
              <w:t>Feb</w:t>
            </w:r>
          </w:p>
        </w:tc>
        <w:tc>
          <w:tcPr>
            <w:tcW w:w="780" w:type="dxa"/>
            <w:tcBorders>
              <w:bottom w:val="single" w:sz="12" w:space="0" w:color="auto"/>
            </w:tcBorders>
            <w:shd w:val="clear" w:color="auto" w:fill="auto"/>
            <w:noWrap/>
            <w:tcMar>
              <w:left w:w="43" w:type="dxa"/>
              <w:right w:w="43" w:type="dxa"/>
            </w:tcMar>
            <w:vAlign w:val="center"/>
            <w:hideMark/>
          </w:tcPr>
          <w:p w:rsidR="003370AC" w:rsidRPr="006619BF" w:rsidRDefault="003370AC" w:rsidP="003370AC">
            <w:pPr>
              <w:jc w:val="right"/>
              <w:rPr>
                <w:b/>
                <w:color w:val="auto"/>
                <w:sz w:val="14"/>
                <w:szCs w:val="14"/>
              </w:rPr>
            </w:pPr>
            <w:r>
              <w:rPr>
                <w:b/>
                <w:color w:val="auto"/>
                <w:sz w:val="14"/>
                <w:szCs w:val="14"/>
              </w:rPr>
              <w:t xml:space="preserve">Mar </w:t>
            </w:r>
            <w:r w:rsidRPr="00D37119">
              <w:rPr>
                <w:b/>
                <w:color w:val="auto"/>
                <w:sz w:val="14"/>
                <w:szCs w:val="14"/>
                <w:vertAlign w:val="superscript"/>
              </w:rPr>
              <w:t>P</w:t>
            </w:r>
          </w:p>
        </w:tc>
      </w:tr>
      <w:tr w:rsidR="00884D1B" w:rsidRPr="00FA2FBA" w:rsidTr="00884D1B">
        <w:trPr>
          <w:trHeight w:val="245"/>
        </w:trPr>
        <w:tc>
          <w:tcPr>
            <w:tcW w:w="4100" w:type="dxa"/>
            <w:tcBorders>
              <w:top w:val="single" w:sz="12" w:space="0" w:color="auto"/>
            </w:tcBorders>
            <w:shd w:val="clear" w:color="auto" w:fill="auto"/>
            <w:noWrap/>
            <w:vAlign w:val="center"/>
            <w:hideMark/>
          </w:tcPr>
          <w:p w:rsidR="00884D1B" w:rsidRPr="00FA2FBA" w:rsidRDefault="00884D1B" w:rsidP="003370AC">
            <w:pPr>
              <w:jc w:val="left"/>
              <w:rPr>
                <w:b/>
                <w:bCs/>
                <w:color w:val="auto"/>
                <w:szCs w:val="16"/>
              </w:rPr>
            </w:pPr>
            <w:r w:rsidRPr="00FA2FBA">
              <w:rPr>
                <w:b/>
                <w:bCs/>
                <w:color w:val="auto"/>
                <w:szCs w:val="16"/>
              </w:rPr>
              <w:t>3) Deposits included in broad money</w:t>
            </w:r>
          </w:p>
        </w:tc>
        <w:tc>
          <w:tcPr>
            <w:tcW w:w="652" w:type="dxa"/>
            <w:tcBorders>
              <w:top w:val="single" w:sz="12" w:space="0" w:color="auto"/>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2,914</w:t>
            </w:r>
          </w:p>
        </w:tc>
        <w:tc>
          <w:tcPr>
            <w:tcW w:w="741" w:type="dxa"/>
            <w:tcBorders>
              <w:top w:val="single" w:sz="12" w:space="0" w:color="auto"/>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5,259</w:t>
            </w:r>
          </w:p>
        </w:tc>
        <w:tc>
          <w:tcPr>
            <w:tcW w:w="815" w:type="dxa"/>
            <w:tcBorders>
              <w:top w:val="single" w:sz="12" w:space="0" w:color="auto"/>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3,444</w:t>
            </w:r>
          </w:p>
        </w:tc>
        <w:tc>
          <w:tcPr>
            <w:tcW w:w="715" w:type="dxa"/>
            <w:tcBorders>
              <w:top w:val="single" w:sz="12" w:space="0" w:color="auto"/>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3,002</w:t>
            </w:r>
          </w:p>
        </w:tc>
        <w:tc>
          <w:tcPr>
            <w:tcW w:w="720" w:type="dxa"/>
            <w:tcBorders>
              <w:top w:val="single" w:sz="12" w:space="0" w:color="auto"/>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2,983</w:t>
            </w:r>
          </w:p>
        </w:tc>
        <w:tc>
          <w:tcPr>
            <w:tcW w:w="730" w:type="dxa"/>
            <w:tcBorders>
              <w:top w:val="single" w:sz="12" w:space="0" w:color="auto"/>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2,886</w:t>
            </w:r>
          </w:p>
        </w:tc>
        <w:tc>
          <w:tcPr>
            <w:tcW w:w="720" w:type="dxa"/>
            <w:tcBorders>
              <w:top w:val="single" w:sz="12" w:space="0" w:color="auto"/>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2,975</w:t>
            </w:r>
          </w:p>
        </w:tc>
        <w:tc>
          <w:tcPr>
            <w:tcW w:w="725" w:type="dxa"/>
            <w:tcBorders>
              <w:top w:val="single" w:sz="12" w:space="0" w:color="auto"/>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3,049</w:t>
            </w:r>
          </w:p>
        </w:tc>
        <w:tc>
          <w:tcPr>
            <w:tcW w:w="780" w:type="dxa"/>
            <w:tcBorders>
              <w:top w:val="single" w:sz="12" w:space="0" w:color="auto"/>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3,318</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ind w:firstLineChars="156" w:firstLine="251"/>
              <w:jc w:val="left"/>
              <w:rPr>
                <w:b/>
                <w:bCs/>
                <w:color w:val="auto"/>
                <w:szCs w:val="16"/>
              </w:rPr>
            </w:pPr>
            <w:r w:rsidRPr="00FA2FBA">
              <w:rPr>
                <w:b/>
                <w:bCs/>
                <w:color w:val="auto"/>
                <w:szCs w:val="16"/>
              </w:rPr>
              <w:t>Transferable deposits</w:t>
            </w:r>
          </w:p>
        </w:tc>
        <w:tc>
          <w:tcPr>
            <w:tcW w:w="652"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411</w:t>
            </w:r>
          </w:p>
        </w:tc>
        <w:tc>
          <w:tcPr>
            <w:tcW w:w="741"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1,601</w:t>
            </w:r>
          </w:p>
        </w:tc>
        <w:tc>
          <w:tcPr>
            <w:tcW w:w="815"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1,499</w:t>
            </w:r>
          </w:p>
        </w:tc>
        <w:tc>
          <w:tcPr>
            <w:tcW w:w="715"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1,517</w:t>
            </w:r>
          </w:p>
        </w:tc>
        <w:tc>
          <w:tcPr>
            <w:tcW w:w="720" w:type="dxa"/>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1,517</w:t>
            </w:r>
          </w:p>
        </w:tc>
        <w:tc>
          <w:tcPr>
            <w:tcW w:w="730"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1,534</w:t>
            </w:r>
          </w:p>
        </w:tc>
        <w:tc>
          <w:tcPr>
            <w:tcW w:w="720"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1,520</w:t>
            </w:r>
          </w:p>
        </w:tc>
        <w:tc>
          <w:tcPr>
            <w:tcW w:w="725"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1,520</w:t>
            </w:r>
          </w:p>
        </w:tc>
        <w:tc>
          <w:tcPr>
            <w:tcW w:w="780" w:type="dxa"/>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1,337</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116</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11</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ind w:firstLine="342"/>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112</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112</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112</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112</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112</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132</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132</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132</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132</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183</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1,478</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1,387</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1,405</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1,405</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1,402</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1,388</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1,388</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1,205</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ind w:firstLine="252"/>
              <w:jc w:val="left"/>
              <w:rPr>
                <w:b/>
                <w:bCs/>
                <w:color w:val="auto"/>
                <w:szCs w:val="16"/>
              </w:rPr>
            </w:pPr>
            <w:r w:rsidRPr="00FA2FBA">
              <w:rPr>
                <w:b/>
                <w:bCs/>
                <w:color w:val="auto"/>
                <w:szCs w:val="16"/>
              </w:rPr>
              <w:t>Other deposits</w:t>
            </w:r>
          </w:p>
        </w:tc>
        <w:tc>
          <w:tcPr>
            <w:tcW w:w="652"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2,502</w:t>
            </w:r>
          </w:p>
        </w:tc>
        <w:tc>
          <w:tcPr>
            <w:tcW w:w="741"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3,658</w:t>
            </w:r>
          </w:p>
        </w:tc>
        <w:tc>
          <w:tcPr>
            <w:tcW w:w="815"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1,945</w:t>
            </w:r>
          </w:p>
        </w:tc>
        <w:tc>
          <w:tcPr>
            <w:tcW w:w="715"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1,486</w:t>
            </w:r>
          </w:p>
        </w:tc>
        <w:tc>
          <w:tcPr>
            <w:tcW w:w="720" w:type="dxa"/>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1,467</w:t>
            </w:r>
          </w:p>
        </w:tc>
        <w:tc>
          <w:tcPr>
            <w:tcW w:w="730"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1,352</w:t>
            </w:r>
          </w:p>
        </w:tc>
        <w:tc>
          <w:tcPr>
            <w:tcW w:w="720"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1,455</w:t>
            </w:r>
          </w:p>
        </w:tc>
        <w:tc>
          <w:tcPr>
            <w:tcW w:w="725"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1,529</w:t>
            </w:r>
          </w:p>
        </w:tc>
        <w:tc>
          <w:tcPr>
            <w:tcW w:w="780" w:type="dxa"/>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1,980</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1,790</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3,203</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1,553</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977</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945</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843</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943</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902</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1,344</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ind w:firstLineChars="213" w:firstLine="341"/>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712</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455</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392</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509</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521</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509</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511</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627</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636</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jc w:val="left"/>
              <w:rPr>
                <w:b/>
                <w:bCs/>
                <w:color w:val="auto"/>
                <w:szCs w:val="16"/>
              </w:rPr>
            </w:pPr>
            <w:r w:rsidRPr="00FA2FBA">
              <w:rPr>
                <w:b/>
                <w:bCs/>
                <w:color w:val="auto"/>
                <w:szCs w:val="16"/>
              </w:rPr>
              <w:t>4) Securities other than shares included in broad money</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ind w:firstLineChars="213" w:firstLine="341"/>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jc w:val="left"/>
              <w:rPr>
                <w:b/>
                <w:bCs/>
                <w:color w:val="auto"/>
                <w:szCs w:val="16"/>
              </w:rPr>
            </w:pPr>
            <w:r w:rsidRPr="00FA2FBA">
              <w:rPr>
                <w:b/>
                <w:bCs/>
                <w:color w:val="auto"/>
                <w:szCs w:val="16"/>
              </w:rPr>
              <w:t>Deposits excluded from broad money</w:t>
            </w:r>
          </w:p>
        </w:tc>
        <w:tc>
          <w:tcPr>
            <w:tcW w:w="652"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41,348</w:t>
            </w:r>
          </w:p>
        </w:tc>
        <w:tc>
          <w:tcPr>
            <w:tcW w:w="741"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46,276</w:t>
            </w:r>
          </w:p>
        </w:tc>
        <w:tc>
          <w:tcPr>
            <w:tcW w:w="815"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51,168</w:t>
            </w:r>
          </w:p>
        </w:tc>
        <w:tc>
          <w:tcPr>
            <w:tcW w:w="715"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46,107</w:t>
            </w:r>
          </w:p>
        </w:tc>
        <w:tc>
          <w:tcPr>
            <w:tcW w:w="720" w:type="dxa"/>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46,043</w:t>
            </w:r>
          </w:p>
        </w:tc>
        <w:tc>
          <w:tcPr>
            <w:tcW w:w="730"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51,077</w:t>
            </w:r>
          </w:p>
        </w:tc>
        <w:tc>
          <w:tcPr>
            <w:tcW w:w="720"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51,107</w:t>
            </w:r>
          </w:p>
        </w:tc>
        <w:tc>
          <w:tcPr>
            <w:tcW w:w="725"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50,994</w:t>
            </w:r>
          </w:p>
        </w:tc>
        <w:tc>
          <w:tcPr>
            <w:tcW w:w="780" w:type="dxa"/>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51,326</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884D1B" w:rsidRDefault="00884D1B" w:rsidP="003370AC">
            <w:pPr>
              <w:ind w:firstLineChars="200" w:firstLine="320"/>
              <w:jc w:val="right"/>
              <w:rPr>
                <w:i/>
                <w:iCs/>
                <w:szCs w:val="16"/>
              </w:rPr>
            </w:pPr>
            <w:r>
              <w:rPr>
                <w:i/>
                <w:iCs/>
                <w:szCs w:val="16"/>
              </w:rPr>
              <w:t>-</w:t>
            </w:r>
          </w:p>
        </w:tc>
        <w:tc>
          <w:tcPr>
            <w:tcW w:w="741" w:type="dxa"/>
            <w:shd w:val="clear" w:color="auto" w:fill="auto"/>
            <w:tcMar>
              <w:left w:w="43" w:type="dxa"/>
              <w:right w:w="43" w:type="dxa"/>
            </w:tcMar>
            <w:vAlign w:val="center"/>
            <w:hideMark/>
          </w:tcPr>
          <w:p w:rsidR="00884D1B" w:rsidRDefault="00884D1B" w:rsidP="003370AC">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hideMark/>
          </w:tcPr>
          <w:p w:rsidR="00884D1B" w:rsidRDefault="00884D1B" w:rsidP="003370AC">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884D1B" w:rsidRDefault="00884D1B" w:rsidP="003370AC">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hideMark/>
          </w:tcPr>
          <w:p w:rsidR="00884D1B" w:rsidRDefault="00884D1B" w:rsidP="00884D1B">
            <w:pPr>
              <w:ind w:firstLineChars="200" w:firstLine="320"/>
              <w:jc w:val="right"/>
              <w:rPr>
                <w:i/>
                <w:iCs/>
                <w:szCs w:val="16"/>
              </w:rPr>
            </w:pPr>
            <w:r>
              <w:rPr>
                <w:i/>
                <w:iCs/>
                <w:szCs w:val="16"/>
              </w:rPr>
              <w:t>-</w:t>
            </w:r>
          </w:p>
        </w:tc>
        <w:tc>
          <w:tcPr>
            <w:tcW w:w="730" w:type="dxa"/>
            <w:shd w:val="clear" w:color="auto" w:fill="auto"/>
            <w:tcMar>
              <w:left w:w="43" w:type="dxa"/>
              <w:right w:w="43" w:type="dxa"/>
            </w:tcMar>
            <w:vAlign w:val="center"/>
            <w:hideMark/>
          </w:tcPr>
          <w:p w:rsidR="00884D1B" w:rsidRDefault="00884D1B" w:rsidP="003370AC">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hideMark/>
          </w:tcPr>
          <w:p w:rsidR="00884D1B" w:rsidRDefault="00884D1B" w:rsidP="003370AC">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884D1B" w:rsidRDefault="00884D1B" w:rsidP="003370AC">
            <w:pPr>
              <w:ind w:firstLineChars="200" w:firstLine="320"/>
              <w:jc w:val="right"/>
              <w:rPr>
                <w:i/>
                <w:iCs/>
                <w:szCs w:val="16"/>
              </w:rPr>
            </w:pPr>
            <w:r>
              <w:rPr>
                <w:i/>
                <w:iCs/>
                <w:szCs w:val="16"/>
              </w:rPr>
              <w:t>-</w:t>
            </w:r>
          </w:p>
        </w:tc>
        <w:tc>
          <w:tcPr>
            <w:tcW w:w="780" w:type="dxa"/>
            <w:shd w:val="clear" w:color="auto" w:fill="auto"/>
            <w:noWrap/>
            <w:tcMar>
              <w:left w:w="43" w:type="dxa"/>
              <w:right w:w="43" w:type="dxa"/>
            </w:tcMar>
            <w:vAlign w:val="center"/>
            <w:hideMark/>
          </w:tcPr>
          <w:p w:rsidR="00884D1B" w:rsidRDefault="00884D1B" w:rsidP="00884D1B">
            <w:pPr>
              <w:ind w:firstLineChars="200" w:firstLine="320"/>
              <w:jc w:val="right"/>
              <w:rPr>
                <w:i/>
                <w:iCs/>
                <w:szCs w:val="16"/>
              </w:rPr>
            </w:pPr>
            <w:r>
              <w:rPr>
                <w:i/>
                <w:iCs/>
                <w:szCs w:val="16"/>
              </w:rPr>
              <w:t>-</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jc w:val="left"/>
              <w:rPr>
                <w:b/>
                <w:bCs/>
                <w:color w:val="auto"/>
                <w:szCs w:val="16"/>
              </w:rPr>
            </w:pPr>
            <w:r w:rsidRPr="00FA2FBA">
              <w:rPr>
                <w:b/>
                <w:bCs/>
                <w:color w:val="auto"/>
                <w:szCs w:val="16"/>
              </w:rPr>
              <w:t>Securities other than shares excluded from broad money</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jc w:val="left"/>
              <w:rPr>
                <w:b/>
                <w:bCs/>
                <w:color w:val="auto"/>
                <w:szCs w:val="16"/>
              </w:rPr>
            </w:pPr>
            <w:r w:rsidRPr="00FA2FBA">
              <w:rPr>
                <w:b/>
                <w:bCs/>
                <w:color w:val="auto"/>
                <w:szCs w:val="16"/>
              </w:rPr>
              <w:t>Loans</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5,933</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12,721</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80,880</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jc w:val="left"/>
              <w:rPr>
                <w:b/>
                <w:bCs/>
                <w:color w:val="auto"/>
                <w:szCs w:val="16"/>
              </w:rPr>
            </w:pPr>
            <w:r w:rsidRPr="00FA2FBA">
              <w:rPr>
                <w:b/>
                <w:bCs/>
                <w:color w:val="auto"/>
                <w:szCs w:val="16"/>
              </w:rPr>
              <w:t>Financial derivatives</w:t>
            </w:r>
          </w:p>
        </w:tc>
        <w:tc>
          <w:tcPr>
            <w:tcW w:w="652" w:type="dxa"/>
            <w:shd w:val="clear" w:color="auto" w:fill="auto"/>
            <w:tcMar>
              <w:left w:w="43" w:type="dxa"/>
              <w:right w:w="43" w:type="dxa"/>
            </w:tcMar>
            <w:vAlign w:val="center"/>
            <w:hideMark/>
          </w:tcPr>
          <w:p w:rsidR="00884D1B" w:rsidRPr="00415E56" w:rsidRDefault="00884D1B" w:rsidP="003370AC">
            <w:pPr>
              <w:jc w:val="right"/>
              <w:rPr>
                <w:b/>
                <w:bCs/>
                <w:sz w:val="14"/>
                <w:szCs w:val="14"/>
              </w:rPr>
            </w:pPr>
            <w:r w:rsidRPr="00415E56">
              <w:rPr>
                <w:b/>
                <w:bCs/>
                <w:sz w:val="14"/>
                <w:szCs w:val="14"/>
              </w:rPr>
              <w:t>-</w:t>
            </w:r>
          </w:p>
        </w:tc>
        <w:tc>
          <w:tcPr>
            <w:tcW w:w="741"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w:t>
            </w:r>
          </w:p>
        </w:tc>
        <w:tc>
          <w:tcPr>
            <w:tcW w:w="815"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w:t>
            </w:r>
          </w:p>
        </w:tc>
        <w:tc>
          <w:tcPr>
            <w:tcW w:w="720" w:type="dxa"/>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w:t>
            </w:r>
          </w:p>
        </w:tc>
        <w:tc>
          <w:tcPr>
            <w:tcW w:w="720"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jc w:val="left"/>
              <w:rPr>
                <w:b/>
                <w:bCs/>
                <w:color w:val="auto"/>
                <w:szCs w:val="16"/>
              </w:rPr>
            </w:pPr>
            <w:r w:rsidRPr="00FA2FBA">
              <w:rPr>
                <w:b/>
                <w:bCs/>
                <w:color w:val="auto"/>
                <w:szCs w:val="16"/>
              </w:rPr>
              <w:t>Trade credit and advances</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jc w:val="left"/>
              <w:rPr>
                <w:b/>
                <w:bCs/>
                <w:color w:val="auto"/>
                <w:szCs w:val="16"/>
              </w:rPr>
            </w:pPr>
            <w:r w:rsidRPr="00FA2FBA">
              <w:rPr>
                <w:b/>
                <w:bCs/>
                <w:color w:val="auto"/>
                <w:szCs w:val="16"/>
              </w:rPr>
              <w:t>Shares and Other equity</w:t>
            </w:r>
          </w:p>
        </w:tc>
        <w:tc>
          <w:tcPr>
            <w:tcW w:w="652"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529,385</w:t>
            </w:r>
          </w:p>
        </w:tc>
        <w:tc>
          <w:tcPr>
            <w:tcW w:w="741"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619,975</w:t>
            </w:r>
          </w:p>
        </w:tc>
        <w:tc>
          <w:tcPr>
            <w:tcW w:w="815"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611,317</w:t>
            </w:r>
          </w:p>
        </w:tc>
        <w:tc>
          <w:tcPr>
            <w:tcW w:w="715"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803,113</w:t>
            </w:r>
          </w:p>
        </w:tc>
        <w:tc>
          <w:tcPr>
            <w:tcW w:w="720" w:type="dxa"/>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805,468</w:t>
            </w:r>
          </w:p>
        </w:tc>
        <w:tc>
          <w:tcPr>
            <w:tcW w:w="730"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707,984</w:t>
            </w:r>
          </w:p>
        </w:tc>
        <w:tc>
          <w:tcPr>
            <w:tcW w:w="720"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712,903</w:t>
            </w:r>
          </w:p>
        </w:tc>
        <w:tc>
          <w:tcPr>
            <w:tcW w:w="725"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730,294</w:t>
            </w:r>
          </w:p>
        </w:tc>
        <w:tc>
          <w:tcPr>
            <w:tcW w:w="780" w:type="dxa"/>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739,775</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ind w:firstLineChars="200" w:firstLine="320"/>
              <w:jc w:val="left"/>
              <w:rPr>
                <w:color w:val="auto"/>
                <w:szCs w:val="16"/>
              </w:rPr>
            </w:pPr>
            <w:r w:rsidRPr="00FA2FBA">
              <w:rPr>
                <w:color w:val="auto"/>
                <w:szCs w:val="16"/>
              </w:rPr>
              <w:t>a) Funds contributed by owners</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100</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100</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100</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100</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100</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100</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100</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ind w:firstLineChars="200" w:firstLine="320"/>
              <w:jc w:val="left"/>
              <w:rPr>
                <w:color w:val="auto"/>
                <w:szCs w:val="16"/>
              </w:rPr>
            </w:pPr>
            <w:r w:rsidRPr="00FA2FBA">
              <w:rPr>
                <w:color w:val="auto"/>
                <w:szCs w:val="16"/>
              </w:rPr>
              <w:t>b) Retained earnings</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3,712</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43,958</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171,572</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176,580</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116,986</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110,405</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133,965</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126,139</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ind w:firstLineChars="200" w:firstLine="320"/>
              <w:jc w:val="left"/>
              <w:rPr>
                <w:color w:val="auto"/>
                <w:szCs w:val="16"/>
              </w:rPr>
            </w:pPr>
            <w:r w:rsidRPr="00FA2FBA">
              <w:rPr>
                <w:color w:val="auto"/>
                <w:szCs w:val="16"/>
              </w:rPr>
              <w:t>c) General &amp; special reserves</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175,944</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175,944</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142,136</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178,036</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178,036</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155,715</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155,715</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155,715</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155,715</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ind w:firstLineChars="200" w:firstLine="320"/>
              <w:jc w:val="left"/>
              <w:rPr>
                <w:color w:val="auto"/>
                <w:szCs w:val="16"/>
              </w:rPr>
            </w:pPr>
            <w:r w:rsidRPr="00FA2FBA">
              <w:rPr>
                <w:color w:val="auto"/>
                <w:szCs w:val="16"/>
              </w:rPr>
              <w:t>d) Valuation adjustment</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353,341</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440,218</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425,123</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453,405</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450,751</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435,182</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446,683</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440,514</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457,820</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jc w:val="left"/>
              <w:rPr>
                <w:b/>
                <w:bCs/>
                <w:color w:val="auto"/>
                <w:szCs w:val="16"/>
              </w:rPr>
            </w:pPr>
            <w:r w:rsidRPr="00FA2FBA">
              <w:rPr>
                <w:b/>
                <w:bCs/>
                <w:color w:val="auto"/>
                <w:szCs w:val="16"/>
              </w:rPr>
              <w:t>Other items (net)</w:t>
            </w:r>
          </w:p>
        </w:tc>
        <w:tc>
          <w:tcPr>
            <w:tcW w:w="652"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296,727</w:t>
            </w:r>
          </w:p>
        </w:tc>
        <w:tc>
          <w:tcPr>
            <w:tcW w:w="741"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117,045</w:t>
            </w:r>
          </w:p>
        </w:tc>
        <w:tc>
          <w:tcPr>
            <w:tcW w:w="815"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840</w:t>
            </w:r>
          </w:p>
        </w:tc>
        <w:tc>
          <w:tcPr>
            <w:tcW w:w="715"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(19,874)</w:t>
            </w:r>
          </w:p>
        </w:tc>
        <w:tc>
          <w:tcPr>
            <w:tcW w:w="720" w:type="dxa"/>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(75,608)</w:t>
            </w:r>
          </w:p>
        </w:tc>
        <w:tc>
          <w:tcPr>
            <w:tcW w:w="730"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(80,210)</w:t>
            </w:r>
          </w:p>
        </w:tc>
        <w:tc>
          <w:tcPr>
            <w:tcW w:w="720"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(105,449)</w:t>
            </w:r>
          </w:p>
        </w:tc>
        <w:tc>
          <w:tcPr>
            <w:tcW w:w="725" w:type="dxa"/>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(116,250)</w:t>
            </w:r>
          </w:p>
        </w:tc>
        <w:tc>
          <w:tcPr>
            <w:tcW w:w="780" w:type="dxa"/>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(106,496)</w:t>
            </w:r>
          </w:p>
        </w:tc>
      </w:tr>
      <w:tr w:rsidR="00884D1B" w:rsidRPr="00FA2FBA" w:rsidTr="00884D1B">
        <w:trPr>
          <w:trHeight w:val="245"/>
        </w:trPr>
        <w:tc>
          <w:tcPr>
            <w:tcW w:w="4100" w:type="dxa"/>
            <w:shd w:val="clear" w:color="auto" w:fill="auto"/>
            <w:noWrap/>
            <w:vAlign w:val="center"/>
            <w:hideMark/>
          </w:tcPr>
          <w:p w:rsidR="00884D1B" w:rsidRPr="00FA2FBA" w:rsidRDefault="00884D1B" w:rsidP="003370AC">
            <w:pPr>
              <w:ind w:firstLineChars="200" w:firstLine="320"/>
              <w:jc w:val="left"/>
              <w:rPr>
                <w:color w:val="auto"/>
                <w:szCs w:val="16"/>
              </w:rPr>
            </w:pPr>
            <w:r w:rsidRPr="00FA2FBA">
              <w:rPr>
                <w:color w:val="auto"/>
                <w:szCs w:val="16"/>
              </w:rPr>
              <w:t>Other liabilities</w:t>
            </w:r>
          </w:p>
        </w:tc>
        <w:tc>
          <w:tcPr>
            <w:tcW w:w="652"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342,370</w:t>
            </w:r>
          </w:p>
        </w:tc>
        <w:tc>
          <w:tcPr>
            <w:tcW w:w="741"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196,916</w:t>
            </w:r>
          </w:p>
        </w:tc>
        <w:tc>
          <w:tcPr>
            <w:tcW w:w="8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180,353</w:t>
            </w:r>
          </w:p>
        </w:tc>
        <w:tc>
          <w:tcPr>
            <w:tcW w:w="71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149,006</w:t>
            </w:r>
          </w:p>
        </w:tc>
        <w:tc>
          <w:tcPr>
            <w:tcW w:w="720" w:type="dxa"/>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155,682</w:t>
            </w:r>
          </w:p>
        </w:tc>
        <w:tc>
          <w:tcPr>
            <w:tcW w:w="73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170,788</w:t>
            </w:r>
          </w:p>
        </w:tc>
        <w:tc>
          <w:tcPr>
            <w:tcW w:w="720"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146,691</w:t>
            </w:r>
          </w:p>
        </w:tc>
        <w:tc>
          <w:tcPr>
            <w:tcW w:w="725" w:type="dxa"/>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147,658</w:t>
            </w:r>
          </w:p>
        </w:tc>
        <w:tc>
          <w:tcPr>
            <w:tcW w:w="780" w:type="dxa"/>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151,136</w:t>
            </w:r>
          </w:p>
        </w:tc>
      </w:tr>
      <w:tr w:rsidR="00884D1B" w:rsidRPr="00FA2FBA" w:rsidTr="00884D1B">
        <w:trPr>
          <w:trHeight w:val="245"/>
        </w:trPr>
        <w:tc>
          <w:tcPr>
            <w:tcW w:w="4100" w:type="dxa"/>
            <w:tcBorders>
              <w:bottom w:val="single" w:sz="12" w:space="0" w:color="auto"/>
            </w:tcBorders>
            <w:shd w:val="clear" w:color="auto" w:fill="auto"/>
            <w:noWrap/>
            <w:vAlign w:val="center"/>
            <w:hideMark/>
          </w:tcPr>
          <w:p w:rsidR="00884D1B" w:rsidRPr="00FA2FBA" w:rsidRDefault="00884D1B" w:rsidP="003370AC">
            <w:pPr>
              <w:jc w:val="left"/>
              <w:rPr>
                <w:i/>
                <w:iCs/>
                <w:color w:val="auto"/>
                <w:szCs w:val="16"/>
              </w:rPr>
            </w:pPr>
            <w:r w:rsidRPr="00FA2FBA">
              <w:rPr>
                <w:i/>
                <w:iCs/>
                <w:color w:val="auto"/>
                <w:szCs w:val="16"/>
              </w:rPr>
              <w:t>Less: Other Assets</w:t>
            </w:r>
          </w:p>
        </w:tc>
        <w:tc>
          <w:tcPr>
            <w:tcW w:w="652" w:type="dxa"/>
            <w:tcBorders>
              <w:bottom w:val="single" w:sz="12" w:space="0" w:color="auto"/>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45,643</w:t>
            </w:r>
          </w:p>
        </w:tc>
        <w:tc>
          <w:tcPr>
            <w:tcW w:w="741" w:type="dxa"/>
            <w:tcBorders>
              <w:bottom w:val="single" w:sz="12" w:space="0" w:color="auto"/>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79,871</w:t>
            </w:r>
          </w:p>
        </w:tc>
        <w:tc>
          <w:tcPr>
            <w:tcW w:w="815" w:type="dxa"/>
            <w:tcBorders>
              <w:bottom w:val="single" w:sz="12" w:space="0" w:color="auto"/>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179,512</w:t>
            </w:r>
          </w:p>
        </w:tc>
        <w:tc>
          <w:tcPr>
            <w:tcW w:w="715" w:type="dxa"/>
            <w:tcBorders>
              <w:bottom w:val="single" w:sz="12" w:space="0" w:color="auto"/>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168,879</w:t>
            </w:r>
          </w:p>
        </w:tc>
        <w:tc>
          <w:tcPr>
            <w:tcW w:w="720" w:type="dxa"/>
            <w:tcBorders>
              <w:bottom w:val="single" w:sz="12" w:space="0" w:color="auto"/>
            </w:tcBorders>
            <w:shd w:val="clear" w:color="auto" w:fill="auto"/>
            <w:tcMar>
              <w:left w:w="43" w:type="dxa"/>
              <w:right w:w="43" w:type="dxa"/>
            </w:tcMar>
            <w:vAlign w:val="center"/>
            <w:hideMark/>
          </w:tcPr>
          <w:p w:rsidR="00884D1B" w:rsidRDefault="00884D1B" w:rsidP="00884D1B">
            <w:pPr>
              <w:jc w:val="right"/>
              <w:rPr>
                <w:i/>
                <w:iCs/>
                <w:sz w:val="14"/>
                <w:szCs w:val="14"/>
              </w:rPr>
            </w:pPr>
            <w:r>
              <w:rPr>
                <w:i/>
                <w:iCs/>
                <w:sz w:val="14"/>
                <w:szCs w:val="14"/>
              </w:rPr>
              <w:t>231,290</w:t>
            </w:r>
          </w:p>
        </w:tc>
        <w:tc>
          <w:tcPr>
            <w:tcW w:w="730" w:type="dxa"/>
            <w:tcBorders>
              <w:bottom w:val="single" w:sz="12" w:space="0" w:color="auto"/>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250,998</w:t>
            </w:r>
          </w:p>
        </w:tc>
        <w:tc>
          <w:tcPr>
            <w:tcW w:w="720" w:type="dxa"/>
            <w:tcBorders>
              <w:bottom w:val="single" w:sz="12" w:space="0" w:color="auto"/>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252,140</w:t>
            </w:r>
          </w:p>
        </w:tc>
        <w:tc>
          <w:tcPr>
            <w:tcW w:w="725" w:type="dxa"/>
            <w:tcBorders>
              <w:bottom w:val="single" w:sz="12" w:space="0" w:color="auto"/>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263,907</w:t>
            </w:r>
          </w:p>
        </w:tc>
        <w:tc>
          <w:tcPr>
            <w:tcW w:w="780" w:type="dxa"/>
            <w:tcBorders>
              <w:bottom w:val="single" w:sz="12" w:space="0" w:color="auto"/>
            </w:tcBorders>
            <w:shd w:val="clear" w:color="auto" w:fill="auto"/>
            <w:noWrap/>
            <w:tcMar>
              <w:left w:w="43" w:type="dxa"/>
              <w:right w:w="43" w:type="dxa"/>
            </w:tcMar>
            <w:vAlign w:val="center"/>
            <w:hideMark/>
          </w:tcPr>
          <w:p w:rsidR="00884D1B" w:rsidRDefault="00884D1B" w:rsidP="00884D1B">
            <w:pPr>
              <w:jc w:val="right"/>
              <w:rPr>
                <w:i/>
                <w:iCs/>
                <w:sz w:val="14"/>
                <w:szCs w:val="14"/>
              </w:rPr>
            </w:pPr>
            <w:r>
              <w:rPr>
                <w:i/>
                <w:iCs/>
                <w:sz w:val="14"/>
                <w:szCs w:val="14"/>
              </w:rPr>
              <w:t>257,632</w:t>
            </w:r>
          </w:p>
        </w:tc>
      </w:tr>
      <w:tr w:rsidR="003370AC" w:rsidRPr="00FA2FBA" w:rsidTr="00DF368E">
        <w:trPr>
          <w:trHeight w:val="268"/>
        </w:trPr>
        <w:tc>
          <w:tcPr>
            <w:tcW w:w="10698" w:type="dxa"/>
            <w:gridSpan w:val="10"/>
            <w:tcBorders>
              <w:top w:val="single" w:sz="12" w:space="0" w:color="auto"/>
            </w:tcBorders>
            <w:shd w:val="clear" w:color="auto" w:fill="auto"/>
            <w:noWrap/>
            <w:vAlign w:val="center"/>
            <w:hideMark/>
          </w:tcPr>
          <w:p w:rsidR="003370AC" w:rsidRPr="00FA2FBA" w:rsidRDefault="003370AC" w:rsidP="003370AC">
            <w:pPr>
              <w:jc w:val="left"/>
              <w:rPr>
                <w:rFonts w:ascii="Calibri" w:hAnsi="Calibri"/>
                <w:sz w:val="22"/>
                <w:szCs w:val="22"/>
              </w:rPr>
            </w:pPr>
            <w:r w:rsidRPr="004F1CC1">
              <w:rPr>
                <w:b/>
                <w:bCs/>
                <w:color w:val="auto"/>
                <w:sz w:val="14"/>
                <w:szCs w:val="14"/>
              </w:rPr>
              <w:t xml:space="preserve">Note :  </w:t>
            </w:r>
          </w:p>
        </w:tc>
      </w:tr>
      <w:tr w:rsidR="003370AC" w:rsidRPr="00FA2FBA" w:rsidTr="009024A8">
        <w:trPr>
          <w:trHeight w:val="423"/>
        </w:trPr>
        <w:tc>
          <w:tcPr>
            <w:tcW w:w="10698" w:type="dxa"/>
            <w:gridSpan w:val="10"/>
            <w:shd w:val="clear" w:color="auto" w:fill="auto"/>
            <w:noWrap/>
            <w:vAlign w:val="center"/>
            <w:hideMark/>
          </w:tcPr>
          <w:p w:rsidR="003370AC" w:rsidRPr="00415E56" w:rsidRDefault="003370AC" w:rsidP="003370AC">
            <w:pPr>
              <w:ind w:left="180" w:hanging="180"/>
              <w:jc w:val="left"/>
              <w:rPr>
                <w:color w:val="auto"/>
                <w:sz w:val="14"/>
                <w:szCs w:val="14"/>
              </w:rPr>
            </w:pPr>
            <w:r w:rsidRPr="00415E56">
              <w:rPr>
                <w:color w:val="auto"/>
                <w:sz w:val="14"/>
                <w:szCs w:val="14"/>
              </w:rPr>
              <w:t xml:space="preserve">1. The table shows monetary statistics of the Central Bank (State Bank of Pakistan) according to the guidelines of IMF Monetary and Financial Statistics Manual (MFSM 2000). Compilation methodology is available at: </w:t>
            </w:r>
            <w:hyperlink r:id="rId8" w:history="1">
              <w:r w:rsidRPr="00415E56">
                <w:rPr>
                  <w:color w:val="auto"/>
                  <w:sz w:val="14"/>
                  <w:szCs w:val="14"/>
                </w:rPr>
                <w:t>http://www.sbp.org.pk/departments/Guidelines.htm</w:t>
              </w:r>
            </w:hyperlink>
          </w:p>
        </w:tc>
      </w:tr>
      <w:tr w:rsidR="003370AC" w:rsidRPr="00FA2FBA" w:rsidTr="00415E56">
        <w:trPr>
          <w:trHeight w:val="268"/>
        </w:trPr>
        <w:tc>
          <w:tcPr>
            <w:tcW w:w="10698" w:type="dxa"/>
            <w:gridSpan w:val="10"/>
            <w:shd w:val="clear" w:color="auto" w:fill="auto"/>
            <w:noWrap/>
            <w:vAlign w:val="center"/>
            <w:hideMark/>
          </w:tcPr>
          <w:p w:rsidR="003370AC" w:rsidRPr="00415E56" w:rsidRDefault="003370AC" w:rsidP="003370AC">
            <w:pPr>
              <w:jc w:val="left"/>
              <w:rPr>
                <w:color w:val="auto"/>
                <w:sz w:val="14"/>
                <w:szCs w:val="14"/>
              </w:rPr>
            </w:pPr>
            <w:r w:rsidRPr="00415E56">
              <w:rPr>
                <w:color w:val="auto"/>
                <w:sz w:val="14"/>
                <w:szCs w:val="14"/>
              </w:rPr>
              <w:t>2. General Government includes Central and Provincial Governments.</w:t>
            </w:r>
          </w:p>
        </w:tc>
      </w:tr>
      <w:tr w:rsidR="003370AC" w:rsidRPr="00FA2FBA" w:rsidTr="00415E56">
        <w:trPr>
          <w:trHeight w:val="268"/>
        </w:trPr>
        <w:tc>
          <w:tcPr>
            <w:tcW w:w="10698" w:type="dxa"/>
            <w:gridSpan w:val="10"/>
            <w:shd w:val="clear" w:color="auto" w:fill="auto"/>
            <w:noWrap/>
            <w:vAlign w:val="center"/>
            <w:hideMark/>
          </w:tcPr>
          <w:p w:rsidR="003370AC" w:rsidRPr="00415E56" w:rsidRDefault="003370AC" w:rsidP="003370AC">
            <w:pPr>
              <w:jc w:val="left"/>
              <w:rPr>
                <w:color w:val="auto"/>
                <w:sz w:val="14"/>
                <w:szCs w:val="14"/>
              </w:rPr>
            </w:pPr>
            <w:r w:rsidRPr="00415E56">
              <w:rPr>
                <w:color w:val="auto"/>
                <w:sz w:val="14"/>
                <w:szCs w:val="14"/>
              </w:rPr>
              <w:t>3. Provincial Governments includes Local &amp; Provincial Governments.</w:t>
            </w:r>
          </w:p>
        </w:tc>
      </w:tr>
      <w:tr w:rsidR="003370AC" w:rsidRPr="00FA2FBA" w:rsidTr="00415E56">
        <w:trPr>
          <w:trHeight w:val="268"/>
        </w:trPr>
        <w:tc>
          <w:tcPr>
            <w:tcW w:w="10698" w:type="dxa"/>
            <w:gridSpan w:val="10"/>
            <w:shd w:val="clear" w:color="auto" w:fill="auto"/>
            <w:noWrap/>
            <w:vAlign w:val="center"/>
            <w:hideMark/>
          </w:tcPr>
          <w:p w:rsidR="003370AC" w:rsidRPr="00415E56" w:rsidRDefault="003370AC" w:rsidP="003370AC">
            <w:pPr>
              <w:jc w:val="left"/>
              <w:rPr>
                <w:color w:val="auto"/>
                <w:sz w:val="14"/>
                <w:szCs w:val="14"/>
              </w:rPr>
            </w:pPr>
            <w:r w:rsidRPr="00415E56">
              <w:rPr>
                <w:color w:val="auto"/>
                <w:sz w:val="14"/>
                <w:szCs w:val="14"/>
              </w:rPr>
              <w:t xml:space="preserve">4. The data may not tally with the table 2 at http://www.sbp.org.pk/ecodata/Ana_Acc_Sbp.pdf and table 2.2 of Statistical Bulletin due to difference in classification and </w:t>
            </w:r>
            <w:proofErr w:type="spellStart"/>
            <w:r w:rsidRPr="00415E56">
              <w:rPr>
                <w:color w:val="auto"/>
                <w:sz w:val="14"/>
                <w:szCs w:val="14"/>
              </w:rPr>
              <w:t>Sectorization</w:t>
            </w:r>
            <w:proofErr w:type="spellEnd"/>
            <w:r w:rsidRPr="00415E56">
              <w:rPr>
                <w:color w:val="auto"/>
                <w:sz w:val="14"/>
                <w:szCs w:val="14"/>
              </w:rPr>
              <w:t>.</w:t>
            </w:r>
          </w:p>
        </w:tc>
      </w:tr>
      <w:tr w:rsidR="003370AC" w:rsidRPr="00FA2FBA" w:rsidTr="00415E56">
        <w:trPr>
          <w:trHeight w:val="268"/>
        </w:trPr>
        <w:tc>
          <w:tcPr>
            <w:tcW w:w="10698" w:type="dxa"/>
            <w:gridSpan w:val="10"/>
            <w:shd w:val="clear" w:color="auto" w:fill="auto"/>
            <w:noWrap/>
            <w:vAlign w:val="center"/>
            <w:hideMark/>
          </w:tcPr>
          <w:p w:rsidR="003370AC" w:rsidRPr="00415E56" w:rsidRDefault="003370AC" w:rsidP="003370AC">
            <w:pPr>
              <w:jc w:val="left"/>
              <w:rPr>
                <w:color w:val="auto"/>
                <w:sz w:val="14"/>
                <w:szCs w:val="14"/>
              </w:rPr>
            </w:pPr>
            <w:r w:rsidRPr="00415E56">
              <w:rPr>
                <w:color w:val="auto"/>
                <w:sz w:val="14"/>
                <w:szCs w:val="14"/>
              </w:rPr>
              <w:t>5. Note Explaining major changes is available at: http://www.sbp.org.pk/departments/stats/ntb.htm</w:t>
            </w:r>
          </w:p>
        </w:tc>
      </w:tr>
      <w:tr w:rsidR="003370AC" w:rsidRPr="00FA2FBA" w:rsidTr="00DF368E">
        <w:trPr>
          <w:trHeight w:val="268"/>
        </w:trPr>
        <w:tc>
          <w:tcPr>
            <w:tcW w:w="10698" w:type="dxa"/>
            <w:gridSpan w:val="10"/>
            <w:shd w:val="clear" w:color="auto" w:fill="auto"/>
            <w:noWrap/>
            <w:vAlign w:val="center"/>
            <w:hideMark/>
          </w:tcPr>
          <w:p w:rsidR="003370AC" w:rsidRPr="00CE511E" w:rsidRDefault="003370AC" w:rsidP="003370AC">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468" w:type="dxa"/>
        <w:tblLook w:val="04A0"/>
      </w:tblPr>
      <w:tblGrid>
        <w:gridCol w:w="2930"/>
        <w:gridCol w:w="760"/>
        <w:gridCol w:w="741"/>
        <w:gridCol w:w="742"/>
        <w:gridCol w:w="727"/>
        <w:gridCol w:w="720"/>
        <w:gridCol w:w="716"/>
        <w:gridCol w:w="701"/>
        <w:gridCol w:w="646"/>
        <w:gridCol w:w="785"/>
      </w:tblGrid>
      <w:tr w:rsidR="006146BD" w:rsidRPr="008245E8" w:rsidTr="00D47506">
        <w:trPr>
          <w:trHeight w:val="216"/>
        </w:trPr>
        <w:tc>
          <w:tcPr>
            <w:tcW w:w="946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D47506">
        <w:trPr>
          <w:trHeight w:val="216"/>
        </w:trPr>
        <w:tc>
          <w:tcPr>
            <w:tcW w:w="946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D37119" w:rsidRPr="008245E8" w:rsidTr="003370AC">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D37119" w:rsidRPr="008245E8" w:rsidRDefault="00D37119" w:rsidP="00FB5CDC">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D37119" w:rsidRPr="008245E8" w:rsidRDefault="00D37119" w:rsidP="009311D7">
            <w:pPr>
              <w:jc w:val="right"/>
              <w:rPr>
                <w:b/>
                <w:bCs/>
                <w:color w:val="auto"/>
                <w:szCs w:val="16"/>
              </w:rPr>
            </w:pPr>
            <w:r>
              <w:rPr>
                <w:b/>
                <w:bCs/>
                <w:color w:val="auto"/>
                <w:szCs w:val="16"/>
              </w:rPr>
              <w:t>FY15</w:t>
            </w:r>
          </w:p>
        </w:tc>
        <w:tc>
          <w:tcPr>
            <w:tcW w:w="741" w:type="dxa"/>
            <w:vMerge w:val="restart"/>
            <w:tcBorders>
              <w:top w:val="nil"/>
              <w:left w:val="single" w:sz="4" w:space="0" w:color="auto"/>
              <w:right w:val="single" w:sz="4" w:space="0" w:color="auto"/>
            </w:tcBorders>
            <w:shd w:val="clear" w:color="auto" w:fill="auto"/>
            <w:vAlign w:val="center"/>
            <w:hideMark/>
          </w:tcPr>
          <w:p w:rsidR="00D37119" w:rsidRPr="008245E8" w:rsidRDefault="00D37119" w:rsidP="009311D7">
            <w:pPr>
              <w:jc w:val="right"/>
              <w:rPr>
                <w:b/>
                <w:bCs/>
                <w:color w:val="auto"/>
                <w:szCs w:val="16"/>
              </w:rPr>
            </w:pPr>
            <w:r w:rsidRPr="009311D7">
              <w:rPr>
                <w:b/>
                <w:bCs/>
                <w:color w:val="auto"/>
                <w:szCs w:val="16"/>
              </w:rPr>
              <w:t>FY16</w:t>
            </w:r>
          </w:p>
        </w:tc>
        <w:tc>
          <w:tcPr>
            <w:tcW w:w="742" w:type="dxa"/>
            <w:vMerge w:val="restart"/>
            <w:tcBorders>
              <w:top w:val="nil"/>
              <w:left w:val="single" w:sz="4" w:space="0" w:color="auto"/>
              <w:right w:val="single" w:sz="4" w:space="0" w:color="auto"/>
            </w:tcBorders>
            <w:shd w:val="clear" w:color="auto" w:fill="auto"/>
            <w:vAlign w:val="center"/>
          </w:tcPr>
          <w:p w:rsidR="00D37119" w:rsidRPr="008245E8" w:rsidRDefault="00D37119" w:rsidP="009311D7">
            <w:pPr>
              <w:jc w:val="right"/>
              <w:rPr>
                <w:b/>
                <w:bCs/>
                <w:color w:val="auto"/>
                <w:szCs w:val="16"/>
              </w:rPr>
            </w:pPr>
            <w:r w:rsidRPr="009311D7">
              <w:rPr>
                <w:b/>
                <w:bCs/>
                <w:color w:val="auto"/>
                <w:szCs w:val="16"/>
              </w:rPr>
              <w:t>FY17</w:t>
            </w:r>
          </w:p>
        </w:tc>
        <w:tc>
          <w:tcPr>
            <w:tcW w:w="2163" w:type="dxa"/>
            <w:gridSpan w:val="3"/>
            <w:tcBorders>
              <w:top w:val="nil"/>
              <w:left w:val="single" w:sz="4" w:space="0" w:color="auto"/>
              <w:bottom w:val="single" w:sz="4" w:space="0" w:color="auto"/>
              <w:right w:val="single" w:sz="4" w:space="0" w:color="auto"/>
            </w:tcBorders>
            <w:shd w:val="clear" w:color="auto" w:fill="auto"/>
            <w:vAlign w:val="center"/>
          </w:tcPr>
          <w:p w:rsidR="00D37119" w:rsidRPr="008245E8" w:rsidRDefault="00D37119" w:rsidP="00FB5CDC">
            <w:pPr>
              <w:rPr>
                <w:b/>
                <w:bCs/>
                <w:color w:val="auto"/>
                <w:szCs w:val="16"/>
              </w:rPr>
            </w:pPr>
            <w:r>
              <w:rPr>
                <w:b/>
                <w:bCs/>
                <w:color w:val="auto"/>
                <w:szCs w:val="16"/>
              </w:rPr>
              <w:t>2017</w:t>
            </w:r>
          </w:p>
        </w:tc>
        <w:tc>
          <w:tcPr>
            <w:tcW w:w="2132" w:type="dxa"/>
            <w:gridSpan w:val="3"/>
            <w:tcBorders>
              <w:top w:val="single" w:sz="12" w:space="0" w:color="auto"/>
              <w:left w:val="single" w:sz="4" w:space="0" w:color="auto"/>
              <w:bottom w:val="single" w:sz="4" w:space="0" w:color="auto"/>
              <w:right w:val="nil"/>
            </w:tcBorders>
            <w:shd w:val="clear" w:color="auto" w:fill="auto"/>
            <w:vAlign w:val="center"/>
          </w:tcPr>
          <w:p w:rsidR="00D37119" w:rsidRPr="008245E8" w:rsidRDefault="00D37119" w:rsidP="00FB5CDC">
            <w:pPr>
              <w:rPr>
                <w:b/>
                <w:bCs/>
                <w:color w:val="auto"/>
                <w:szCs w:val="16"/>
              </w:rPr>
            </w:pPr>
            <w:r>
              <w:rPr>
                <w:b/>
                <w:bCs/>
                <w:color w:val="auto"/>
                <w:szCs w:val="16"/>
              </w:rPr>
              <w:t>2018</w:t>
            </w:r>
          </w:p>
        </w:tc>
      </w:tr>
      <w:tr w:rsidR="003370AC" w:rsidRPr="008245E8" w:rsidTr="003370AC">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3370AC" w:rsidRPr="008245E8" w:rsidRDefault="003370AC" w:rsidP="003370AC">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p>
        </w:tc>
        <w:tc>
          <w:tcPr>
            <w:tcW w:w="74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r>
              <w:rPr>
                <w:b/>
                <w:color w:val="auto"/>
                <w:sz w:val="14"/>
                <w:szCs w:val="14"/>
              </w:rPr>
              <w:t>Feb</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r>
              <w:rPr>
                <w:b/>
                <w:color w:val="auto"/>
                <w:sz w:val="14"/>
                <w:szCs w:val="14"/>
              </w:rPr>
              <w:t>Mar</w:t>
            </w:r>
          </w:p>
        </w:tc>
        <w:tc>
          <w:tcPr>
            <w:tcW w:w="7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r>
              <w:rPr>
                <w:b/>
                <w:color w:val="auto"/>
                <w:sz w:val="14"/>
                <w:szCs w:val="14"/>
              </w:rPr>
              <w:t>Dec</w:t>
            </w:r>
          </w:p>
        </w:tc>
        <w:tc>
          <w:tcPr>
            <w:tcW w:w="70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r>
              <w:rPr>
                <w:b/>
                <w:color w:val="auto"/>
                <w:sz w:val="14"/>
                <w:szCs w:val="14"/>
              </w:rPr>
              <w:t>Jan</w:t>
            </w:r>
          </w:p>
        </w:tc>
        <w:tc>
          <w:tcPr>
            <w:tcW w:w="646" w:type="dxa"/>
            <w:tcBorders>
              <w:top w:val="single" w:sz="4" w:space="0" w:color="auto"/>
              <w:bottom w:val="single" w:sz="12"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r>
              <w:rPr>
                <w:b/>
                <w:color w:val="auto"/>
                <w:sz w:val="14"/>
                <w:szCs w:val="14"/>
              </w:rPr>
              <w:t>Feb</w:t>
            </w:r>
          </w:p>
        </w:tc>
        <w:tc>
          <w:tcPr>
            <w:tcW w:w="785" w:type="dxa"/>
            <w:tcBorders>
              <w:top w:val="single" w:sz="4" w:space="0" w:color="auto"/>
              <w:bottom w:val="single" w:sz="12" w:space="0" w:color="auto"/>
              <w:right w:val="nil"/>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r>
              <w:rPr>
                <w:b/>
                <w:color w:val="auto"/>
                <w:sz w:val="14"/>
                <w:szCs w:val="14"/>
              </w:rPr>
              <w:t xml:space="preserve">Mar </w:t>
            </w:r>
            <w:r w:rsidRPr="00D37119">
              <w:rPr>
                <w:b/>
                <w:color w:val="auto"/>
                <w:sz w:val="14"/>
                <w:szCs w:val="14"/>
                <w:vertAlign w:val="superscript"/>
              </w:rPr>
              <w:t>P</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203,642</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138,605</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(5,711)</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(19,104)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(20,343)</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(83,901)</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(52,682)</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(76,453)</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(101,537)</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463,030</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463,559</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505,554</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414,056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402,365</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474,950</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467,389</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458,334</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475,917</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25,233</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27,637</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29,434</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29,665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30,259</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36,774</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33,356</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32,243</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36,016</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133,824</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119,909</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159,099</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88,620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78,823</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105,640</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104,720</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104,327</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104,360</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126,223</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135,019</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126,665</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120,463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117,842</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150,179</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140,643</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139,546</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147,024</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16,489</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10,437</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17,727</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4,087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2,337</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1,709</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1,737</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1,726</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2,970</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595</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536</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805</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383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493</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1,849</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2,681</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705</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1,992</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159,297</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168,398</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169,719</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168,801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170,788</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175,455</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181,531</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177,099</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180,836</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1,367</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1,623</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2,104</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2,036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1,822</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3,344</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2,720</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2,688</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2,720</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259,388</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324,953</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511,265</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433,159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422,709</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558,851</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520,071</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534,787</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577,454</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98,796</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116,747</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131,865</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121,604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125,947</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140,569</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136,585</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138,171</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145,839</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154,618</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197,478</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369,598</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298,847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283,599</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406,520</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371,854</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383,366</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416,971</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385</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1,213</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292</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538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615</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1,458</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1,322</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966</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1,897</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5,587</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9,514</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9,510</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12,169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12,547</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10,304</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10,310</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12,284</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12,747</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754,888</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650,069</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947,849</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789,614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782,421</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951,464</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949,034</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968,875</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1,025,373</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160,264</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231,744</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268,288</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193,995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198,759</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205,652</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210,530</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217,368</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201,460</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408,060</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379,519</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656,394</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571,504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582,228</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726,223</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720,567</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736,555</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730,254</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186,564</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38,806</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23,167</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24,115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1,435</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19,589</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17,936</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14,953</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93,659</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5,391,173</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6,733,768</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6,895,270</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6,232,508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6,395,033</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7,135,336</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6,163,491</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6,710,294</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5,319,191</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5,461,438</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6,861,665</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7,132,523</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6,543,820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6,728,868</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7,437,696</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6,475,042</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7,013,203</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5,646,067</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6,026,222</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7,585,682</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8,026,138</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7,326,289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7,520,412</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8,375,768</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7,504,780</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8,040,847</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6,674,141</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5,794,277</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7,326,110</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7,801,618</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7,112,809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7,315,233</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8,145,210</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7,284,098</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7,826,793</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6,463,412</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231,946</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259,572</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224,520</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213,480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205,180</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230,558</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220,681</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214,054</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210,729</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564,785</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724,017</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893,614</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782,469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791,544</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938,072</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1,029,738</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1,027,644</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1,028,074</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564,785</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724,017</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893,614</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782,469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791,544</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938,072</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1,029,738</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1,027,644</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1,028,074</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(70,265)</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(127,897)</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(237,253)</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(311,312)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(333,835)</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(302,360)</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(311,551)</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(302,909)</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(326,876)</w:t>
            </w:r>
          </w:p>
        </w:tc>
      </w:tr>
      <w:tr w:rsidR="00884D1B" w:rsidRPr="008245E8" w:rsidTr="00884D1B">
        <w:trPr>
          <w:trHeight w:val="363"/>
        </w:trPr>
        <w:tc>
          <w:tcPr>
            <w:tcW w:w="2930" w:type="dxa"/>
            <w:tcBorders>
              <w:top w:val="nil"/>
              <w:left w:val="nil"/>
              <w:bottom w:val="nil"/>
              <w:right w:val="nil"/>
            </w:tcBorders>
            <w:shd w:val="clear" w:color="auto" w:fill="auto"/>
            <w:noWrap/>
            <w:vAlign w:val="center"/>
            <w:hideMark/>
          </w:tcPr>
          <w:p w:rsidR="00884D1B" w:rsidRPr="008245E8" w:rsidRDefault="00884D1B" w:rsidP="003370AC">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363,502</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400,711</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483,331</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315,010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314,324</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459,135</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448,175</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443,698</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433,104</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pPr>
            <w:r w:rsidRPr="00A264DB">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pPr>
            <w:r w:rsidRPr="00A264DB">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363,502</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400,711</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483,331</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315,010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314,324</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459,135</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448,175</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443,698</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433,104</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433,767</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528,608</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720,584</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626,322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648,159</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761,495</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759,727</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746,607</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759,980</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431,767</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526,608</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715,991</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621,769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643,580</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756,992</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755,197</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742,054</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755,400</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2,000</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2,000</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4,593</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4,554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4,579</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4,503</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4,529</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4,553</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4,580</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4,733,314</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5,250,999</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6,251,044</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5,730,677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5,932,887</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6,589,829</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6,683,630</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6,793,420</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6,948,680</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105,001</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108,110</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98,726</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119,456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126,598</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91,724</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97,135</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103,993</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102,962</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633,399</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765,410</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1,025,871</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850,142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953,087</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1,072,219</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1,110,474</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1,134,323</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1,195,211</w:t>
            </w:r>
          </w:p>
        </w:tc>
      </w:tr>
      <w:tr w:rsidR="00884D1B" w:rsidRPr="008245E8" w:rsidTr="00884D1B">
        <w:trPr>
          <w:trHeight w:val="245"/>
        </w:trPr>
        <w:tc>
          <w:tcPr>
            <w:tcW w:w="2930" w:type="dxa"/>
            <w:tcBorders>
              <w:top w:val="nil"/>
              <w:left w:val="nil"/>
              <w:bottom w:val="nil"/>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3,197,258</w:t>
            </w:r>
          </w:p>
        </w:tc>
        <w:tc>
          <w:tcPr>
            <w:tcW w:w="74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3,472,281</w:t>
            </w:r>
          </w:p>
        </w:tc>
        <w:tc>
          <w:tcPr>
            <w:tcW w:w="74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4,059,627</w:t>
            </w:r>
          </w:p>
        </w:tc>
        <w:tc>
          <w:tcPr>
            <w:tcW w:w="727"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3,764,094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3,839,231</w:t>
            </w:r>
          </w:p>
        </w:tc>
        <w:tc>
          <w:tcPr>
            <w:tcW w:w="71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4,265,538</w:t>
            </w:r>
          </w:p>
        </w:tc>
        <w:tc>
          <w:tcPr>
            <w:tcW w:w="701"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4,301,361</w:t>
            </w:r>
          </w:p>
        </w:tc>
        <w:tc>
          <w:tcPr>
            <w:tcW w:w="646"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4,373,065</w:t>
            </w:r>
          </w:p>
        </w:tc>
        <w:tc>
          <w:tcPr>
            <w:tcW w:w="785"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4,450,537</w:t>
            </w:r>
          </w:p>
        </w:tc>
      </w:tr>
      <w:tr w:rsidR="00884D1B" w:rsidRPr="008245E8" w:rsidTr="00884D1B">
        <w:trPr>
          <w:trHeight w:val="245"/>
        </w:trPr>
        <w:tc>
          <w:tcPr>
            <w:tcW w:w="2930" w:type="dxa"/>
            <w:tcBorders>
              <w:top w:val="nil"/>
              <w:left w:val="nil"/>
              <w:bottom w:val="single" w:sz="12" w:space="0" w:color="auto"/>
              <w:right w:val="nil"/>
            </w:tcBorders>
            <w:shd w:val="clear" w:color="auto" w:fill="auto"/>
            <w:noWrap/>
            <w:vAlign w:val="center"/>
            <w:hideMark/>
          </w:tcPr>
          <w:p w:rsidR="00884D1B" w:rsidRPr="008245E8" w:rsidRDefault="00884D1B" w:rsidP="003370AC">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797,657</w:t>
            </w:r>
          </w:p>
        </w:tc>
        <w:tc>
          <w:tcPr>
            <w:tcW w:w="741" w:type="dxa"/>
            <w:tcBorders>
              <w:top w:val="nil"/>
              <w:left w:val="nil"/>
              <w:bottom w:val="single" w:sz="12" w:space="0" w:color="auto"/>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905,198</w:t>
            </w:r>
          </w:p>
        </w:tc>
        <w:tc>
          <w:tcPr>
            <w:tcW w:w="742" w:type="dxa"/>
            <w:tcBorders>
              <w:top w:val="nil"/>
              <w:left w:val="nil"/>
              <w:bottom w:val="single" w:sz="12" w:space="0" w:color="auto"/>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1,066,820</w:t>
            </w:r>
          </w:p>
        </w:tc>
        <w:tc>
          <w:tcPr>
            <w:tcW w:w="727" w:type="dxa"/>
            <w:tcBorders>
              <w:top w:val="nil"/>
              <w:left w:val="nil"/>
              <w:bottom w:val="single" w:sz="12" w:space="0" w:color="auto"/>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996,985</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1,013,971</w:t>
            </w:r>
          </w:p>
        </w:tc>
        <w:tc>
          <w:tcPr>
            <w:tcW w:w="716" w:type="dxa"/>
            <w:tcBorders>
              <w:top w:val="nil"/>
              <w:left w:val="nil"/>
              <w:bottom w:val="single" w:sz="12" w:space="0" w:color="auto"/>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1,160,348</w:t>
            </w:r>
          </w:p>
        </w:tc>
        <w:tc>
          <w:tcPr>
            <w:tcW w:w="701" w:type="dxa"/>
            <w:tcBorders>
              <w:top w:val="nil"/>
              <w:left w:val="nil"/>
              <w:bottom w:val="single" w:sz="12" w:space="0" w:color="auto"/>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1,174,660</w:t>
            </w:r>
          </w:p>
        </w:tc>
        <w:tc>
          <w:tcPr>
            <w:tcW w:w="646" w:type="dxa"/>
            <w:tcBorders>
              <w:top w:val="nil"/>
              <w:left w:val="nil"/>
              <w:bottom w:val="single" w:sz="12" w:space="0" w:color="auto"/>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1,182,040</w:t>
            </w:r>
          </w:p>
        </w:tc>
        <w:tc>
          <w:tcPr>
            <w:tcW w:w="785" w:type="dxa"/>
            <w:tcBorders>
              <w:top w:val="nil"/>
              <w:left w:val="nil"/>
              <w:bottom w:val="single" w:sz="12" w:space="0" w:color="auto"/>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1,199,970</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D37119" w:rsidRPr="00E5171C" w:rsidTr="003370AC">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D37119" w:rsidRPr="00E5171C" w:rsidRDefault="00D37119" w:rsidP="006146BD">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D37119" w:rsidRPr="00E5171C" w:rsidRDefault="00D37119" w:rsidP="009311D7">
            <w:pPr>
              <w:jc w:val="right"/>
              <w:rPr>
                <w:b/>
                <w:bCs/>
                <w:color w:val="auto"/>
                <w:szCs w:val="16"/>
              </w:rPr>
            </w:pPr>
            <w:r>
              <w:rPr>
                <w:b/>
                <w:bCs/>
                <w:color w:val="auto"/>
                <w:szCs w:val="16"/>
              </w:rPr>
              <w:t>FY15</w:t>
            </w:r>
          </w:p>
        </w:tc>
        <w:tc>
          <w:tcPr>
            <w:tcW w:w="810" w:type="dxa"/>
            <w:vMerge w:val="restart"/>
            <w:tcBorders>
              <w:top w:val="nil"/>
              <w:left w:val="single" w:sz="4" w:space="0" w:color="auto"/>
              <w:right w:val="single" w:sz="4" w:space="0" w:color="auto"/>
            </w:tcBorders>
            <w:shd w:val="clear" w:color="auto" w:fill="auto"/>
            <w:vAlign w:val="center"/>
            <w:hideMark/>
          </w:tcPr>
          <w:p w:rsidR="00D37119" w:rsidRPr="00E5171C" w:rsidRDefault="00D37119" w:rsidP="009311D7">
            <w:pPr>
              <w:jc w:val="right"/>
              <w:rPr>
                <w:b/>
                <w:bCs/>
                <w:color w:val="auto"/>
                <w:szCs w:val="16"/>
              </w:rPr>
            </w:pPr>
            <w:r>
              <w:rPr>
                <w:b/>
                <w:bCs/>
                <w:color w:val="auto"/>
                <w:szCs w:val="16"/>
              </w:rPr>
              <w:t>FY16</w:t>
            </w:r>
          </w:p>
        </w:tc>
        <w:tc>
          <w:tcPr>
            <w:tcW w:w="810" w:type="dxa"/>
            <w:vMerge w:val="restart"/>
            <w:tcBorders>
              <w:top w:val="nil"/>
              <w:left w:val="single" w:sz="4" w:space="0" w:color="auto"/>
              <w:right w:val="single" w:sz="4" w:space="0" w:color="auto"/>
            </w:tcBorders>
            <w:shd w:val="clear" w:color="auto" w:fill="auto"/>
            <w:vAlign w:val="center"/>
          </w:tcPr>
          <w:p w:rsidR="00D37119" w:rsidRPr="00E5171C" w:rsidRDefault="00D37119" w:rsidP="009311D7">
            <w:pPr>
              <w:jc w:val="right"/>
              <w:rPr>
                <w:b/>
                <w:bCs/>
                <w:color w:val="auto"/>
                <w:szCs w:val="16"/>
              </w:rPr>
            </w:pPr>
            <w:r w:rsidRPr="009311D7">
              <w:rPr>
                <w:b/>
                <w:bCs/>
                <w:color w:val="auto"/>
                <w:szCs w:val="16"/>
              </w:rPr>
              <w:t>FY17</w:t>
            </w:r>
          </w:p>
        </w:tc>
        <w:tc>
          <w:tcPr>
            <w:tcW w:w="2250" w:type="dxa"/>
            <w:gridSpan w:val="3"/>
            <w:tcBorders>
              <w:top w:val="nil"/>
              <w:left w:val="single" w:sz="4" w:space="0" w:color="auto"/>
              <w:bottom w:val="single" w:sz="4" w:space="0" w:color="auto"/>
              <w:right w:val="single" w:sz="4" w:space="0" w:color="auto"/>
            </w:tcBorders>
            <w:shd w:val="clear" w:color="auto" w:fill="auto"/>
            <w:vAlign w:val="center"/>
          </w:tcPr>
          <w:p w:rsidR="00D37119" w:rsidRPr="00E5171C" w:rsidRDefault="00D37119" w:rsidP="006146BD">
            <w:pPr>
              <w:rPr>
                <w:b/>
                <w:bCs/>
                <w:color w:val="auto"/>
                <w:szCs w:val="16"/>
              </w:rPr>
            </w:pPr>
            <w:r>
              <w:rPr>
                <w:b/>
                <w:bCs/>
                <w:color w:val="auto"/>
                <w:szCs w:val="16"/>
              </w:rPr>
              <w:t>2017</w:t>
            </w:r>
          </w:p>
        </w:tc>
        <w:tc>
          <w:tcPr>
            <w:tcW w:w="2232" w:type="dxa"/>
            <w:gridSpan w:val="3"/>
            <w:tcBorders>
              <w:top w:val="single" w:sz="12" w:space="0" w:color="auto"/>
              <w:left w:val="single" w:sz="4" w:space="0" w:color="auto"/>
              <w:bottom w:val="single" w:sz="4" w:space="0" w:color="auto"/>
              <w:right w:val="nil"/>
            </w:tcBorders>
            <w:shd w:val="clear" w:color="auto" w:fill="auto"/>
            <w:vAlign w:val="center"/>
          </w:tcPr>
          <w:p w:rsidR="00D37119" w:rsidRPr="00E5171C" w:rsidRDefault="00D37119" w:rsidP="006146BD">
            <w:pPr>
              <w:rPr>
                <w:b/>
                <w:bCs/>
                <w:color w:val="auto"/>
                <w:szCs w:val="16"/>
              </w:rPr>
            </w:pPr>
            <w:r>
              <w:rPr>
                <w:b/>
                <w:bCs/>
                <w:color w:val="auto"/>
                <w:szCs w:val="16"/>
              </w:rPr>
              <w:t>2018</w:t>
            </w:r>
          </w:p>
        </w:tc>
      </w:tr>
      <w:tr w:rsidR="003370AC" w:rsidRPr="00E5171C" w:rsidTr="003370AC">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3370AC" w:rsidRPr="00E5171C" w:rsidRDefault="003370AC" w:rsidP="003370AC">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r>
              <w:rPr>
                <w:b/>
                <w:color w:val="auto"/>
                <w:sz w:val="14"/>
                <w:szCs w:val="14"/>
              </w:rPr>
              <w:t>Feb</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r>
              <w:rPr>
                <w:b/>
                <w:color w:val="auto"/>
                <w:sz w:val="14"/>
                <w:szCs w:val="14"/>
              </w:rPr>
              <w:t>Mar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r>
              <w:rPr>
                <w:b/>
                <w:color w:val="auto"/>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r>
              <w:rPr>
                <w:b/>
                <w:color w:val="auto"/>
                <w:sz w:val="14"/>
                <w:szCs w:val="14"/>
              </w:rPr>
              <w:t>Feb</w:t>
            </w:r>
          </w:p>
        </w:tc>
        <w:tc>
          <w:tcPr>
            <w:tcW w:w="792" w:type="dxa"/>
            <w:tcBorders>
              <w:top w:val="single" w:sz="4" w:space="0" w:color="auto"/>
              <w:bottom w:val="single" w:sz="12" w:space="0" w:color="auto"/>
              <w:right w:val="nil"/>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r>
              <w:rPr>
                <w:b/>
                <w:color w:val="auto"/>
                <w:sz w:val="14"/>
                <w:szCs w:val="14"/>
              </w:rPr>
              <w:t xml:space="preserve">Mar </w:t>
            </w:r>
            <w:r w:rsidRPr="00D37119">
              <w:rPr>
                <w:b/>
                <w:color w:val="auto"/>
                <w:sz w:val="14"/>
                <w:szCs w:val="14"/>
                <w:vertAlign w:val="superscript"/>
              </w:rPr>
              <w:t>P</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936,032</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1,844,563</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1,881,628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1,321,945</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1,524,573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2,131,259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1,383,940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1,957,190</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515,296</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8,482,213</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9,302,445</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10,483,658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9,657,492</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9,854,027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10,812,163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10,629,591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10,764,601</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11,002,196</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6,336,567</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6,985,524</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7,991,825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7,381,097</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7,501,906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8,156,395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8,087,101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8,194,221</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8,365,064</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104,614</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163,554</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249,897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182,383</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192,370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242,845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213,669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205,178</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250,363</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231,463</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235,194</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312,106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326,509</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316,580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277,999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303,139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287,552</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302,186</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2,323,254</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2,111,205</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2,358,188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2,164,287</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2,180,395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2,382,076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2,332,985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2,393,032</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2,406,126</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3,677,235</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4,475,571</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5,071,634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4,707,918</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4,812,560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5,253,474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5,237,308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5,308,459</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5,406,390</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2,145,647</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2,316,921</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2,491,833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2,276,395</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2,352,122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2,655,768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2,542,490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2,570,380</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2,637,132</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46,733</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66,144</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74,546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71,114</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77,413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89,235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83,384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83,155</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88,302</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260,565</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349,933</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411,242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354,844</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343,700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446,815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426,840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424,959</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434,258</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707,689</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747,141</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828,116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743,925</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751,526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887,948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784,510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790,630</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832,663</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1,130,660</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1,153,702</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1,177,930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1,106,512</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1,179,483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1,231,769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1,247,756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1,271,636</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1,281,908</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16</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12</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12</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3</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16,741</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11,528</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15,535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13,609</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13,934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17,979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18,070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18,202</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17,910</w:t>
            </w:r>
          </w:p>
        </w:tc>
      </w:tr>
      <w:tr w:rsidR="00884D1B" w:rsidRPr="00E5171C" w:rsidTr="00884D1B">
        <w:trPr>
          <w:trHeight w:val="245"/>
        </w:trPr>
        <w:tc>
          <w:tcPr>
            <w:tcW w:w="3076" w:type="dxa"/>
            <w:tcBorders>
              <w:top w:val="nil"/>
              <w:left w:val="nil"/>
              <w:bottom w:val="nil"/>
              <w:right w:val="nil"/>
            </w:tcBorders>
            <w:shd w:val="clear" w:color="auto" w:fill="auto"/>
            <w:vAlign w:val="center"/>
            <w:hideMark/>
          </w:tcPr>
          <w:p w:rsidR="00884D1B" w:rsidRPr="00E5171C" w:rsidRDefault="00884D1B" w:rsidP="003370AC">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6,909</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11,582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9,052</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i/>
                <w:iCs/>
                <w:sz w:val="14"/>
                <w:szCs w:val="14"/>
              </w:rPr>
            </w:pPr>
            <w:r>
              <w:rPr>
                <w:i/>
                <w:iCs/>
                <w:sz w:val="14"/>
                <w:szCs w:val="14"/>
              </w:rPr>
              <w:t>9,529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12,287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12,327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12,342</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i/>
                <w:iCs/>
                <w:sz w:val="14"/>
                <w:szCs w:val="14"/>
              </w:rPr>
            </w:pPr>
            <w:r>
              <w:rPr>
                <w:i/>
                <w:iCs/>
                <w:sz w:val="14"/>
                <w:szCs w:val="14"/>
              </w:rPr>
              <w:t>12,271</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13,482</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17,397</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11,395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15,538</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15,243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12,127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12,883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14,770</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16,369</w:t>
            </w:r>
          </w:p>
        </w:tc>
      </w:tr>
      <w:tr w:rsidR="00884D1B" w:rsidRPr="00E5171C" w:rsidTr="00884D1B">
        <w:trPr>
          <w:trHeight w:val="245"/>
        </w:trPr>
        <w:tc>
          <w:tcPr>
            <w:tcW w:w="3076" w:type="dxa"/>
            <w:tcBorders>
              <w:top w:val="nil"/>
              <w:left w:val="nil"/>
              <w:bottom w:val="nil"/>
              <w:right w:val="nil"/>
            </w:tcBorders>
            <w:shd w:val="clear" w:color="auto" w:fill="auto"/>
            <w:vAlign w:val="center"/>
            <w:hideMark/>
          </w:tcPr>
          <w:p w:rsidR="00884D1B" w:rsidRPr="00E5171C" w:rsidRDefault="00884D1B" w:rsidP="003370AC">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1,852</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7,382</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1,743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5,705</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i/>
                <w:iCs/>
                <w:sz w:val="14"/>
                <w:szCs w:val="14"/>
              </w:rPr>
            </w:pPr>
            <w:r>
              <w:rPr>
                <w:i/>
                <w:iCs/>
                <w:sz w:val="14"/>
                <w:szCs w:val="14"/>
              </w:rPr>
              <w:t>5,410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2,652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3,368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5,255</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i/>
                <w:iCs/>
                <w:sz w:val="14"/>
                <w:szCs w:val="14"/>
              </w:rPr>
            </w:pPr>
            <w:r>
              <w:rPr>
                <w:i/>
                <w:iCs/>
                <w:sz w:val="14"/>
                <w:szCs w:val="14"/>
              </w:rPr>
              <w:t>6,854</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924</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1,515</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962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1,507</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1,177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1,486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1,345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1,161</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1,834</w:t>
            </w:r>
          </w:p>
        </w:tc>
      </w:tr>
      <w:tr w:rsidR="00884D1B" w:rsidRPr="00E5171C" w:rsidTr="00884D1B">
        <w:trPr>
          <w:trHeight w:val="245"/>
        </w:trPr>
        <w:tc>
          <w:tcPr>
            <w:tcW w:w="3076" w:type="dxa"/>
            <w:tcBorders>
              <w:top w:val="nil"/>
              <w:left w:val="nil"/>
              <w:bottom w:val="nil"/>
              <w:right w:val="nil"/>
            </w:tcBorders>
            <w:shd w:val="clear" w:color="auto" w:fill="auto"/>
            <w:vAlign w:val="center"/>
            <w:hideMark/>
          </w:tcPr>
          <w:p w:rsidR="00884D1B" w:rsidRPr="00E5171C" w:rsidRDefault="00884D1B" w:rsidP="003370AC">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i/>
                <w:iCs/>
                <w:sz w:val="14"/>
                <w:szCs w:val="14"/>
              </w:rPr>
            </w:pPr>
            <w:r>
              <w:rPr>
                <w:i/>
                <w:iCs/>
                <w:sz w:val="14"/>
                <w:szCs w:val="14"/>
              </w:rPr>
              <w:t>-</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38</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127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111</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114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342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343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130</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154</w:t>
            </w:r>
          </w:p>
        </w:tc>
      </w:tr>
      <w:tr w:rsidR="00884D1B" w:rsidRPr="00E5171C" w:rsidTr="00884D1B">
        <w:trPr>
          <w:trHeight w:val="245"/>
        </w:trPr>
        <w:tc>
          <w:tcPr>
            <w:tcW w:w="3076" w:type="dxa"/>
            <w:tcBorders>
              <w:top w:val="nil"/>
              <w:left w:val="nil"/>
              <w:bottom w:val="nil"/>
              <w:right w:val="nil"/>
            </w:tcBorders>
            <w:shd w:val="clear" w:color="auto" w:fill="auto"/>
            <w:vAlign w:val="center"/>
            <w:hideMark/>
          </w:tcPr>
          <w:p w:rsidR="00884D1B" w:rsidRPr="00E5171C" w:rsidRDefault="00884D1B" w:rsidP="003370AC">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1,503,860</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1,576,544</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1,682,897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1,664,302</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1,612,408</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1,654,541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1,699,854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1,692,706</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1,663,652</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577,675</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628,439</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737,674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632,275</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646,005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601,486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603,319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599,995</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606,194</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272,179</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321,786</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385,969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402,019</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360,002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462,359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465,785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468,932</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419,202</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376,929</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334,891</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288,062</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346,379</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335,385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337,224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359,904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362,378</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378,630</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277,078</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291,428</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271,191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283,630</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sz w:val="14"/>
                <w:szCs w:val="14"/>
              </w:rPr>
            </w:pPr>
            <w:r>
              <w:rPr>
                <w:sz w:val="14"/>
                <w:szCs w:val="14"/>
              </w:rPr>
              <w:t>271,015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253,471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270,846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sz w:val="14"/>
                <w:szCs w:val="14"/>
              </w:rPr>
            </w:pPr>
            <w:r>
              <w:rPr>
                <w:sz w:val="14"/>
                <w:szCs w:val="14"/>
              </w:rPr>
              <w:t>261,402</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sz w:val="14"/>
                <w:szCs w:val="14"/>
              </w:rPr>
            </w:pPr>
            <w:r>
              <w:rPr>
                <w:sz w:val="14"/>
                <w:szCs w:val="14"/>
              </w:rPr>
              <w:t>259,626</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129,792</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19,503</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12,494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59,403</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68,740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(36,496)</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(1,884)</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(52,379)</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(25,411)</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1,260,280</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1,242,915</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1,325,403</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1,251,093</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1,276,530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1,335,189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1,373,777</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1,367,566</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1,427,392</w:t>
            </w:r>
          </w:p>
        </w:tc>
      </w:tr>
      <w:tr w:rsidR="00884D1B" w:rsidRPr="00E5171C" w:rsidTr="00884D1B">
        <w:trPr>
          <w:trHeight w:val="245"/>
        </w:trPr>
        <w:tc>
          <w:tcPr>
            <w:tcW w:w="3076" w:type="dxa"/>
            <w:tcBorders>
              <w:top w:val="nil"/>
              <w:left w:val="nil"/>
              <w:bottom w:val="nil"/>
              <w:right w:val="nil"/>
            </w:tcBorders>
            <w:shd w:val="clear" w:color="auto" w:fill="auto"/>
            <w:noWrap/>
            <w:vAlign w:val="center"/>
            <w:hideMark/>
          </w:tcPr>
          <w:p w:rsidR="00884D1B" w:rsidRPr="00E5171C" w:rsidRDefault="00884D1B" w:rsidP="003370AC">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1,069,083</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1,196,670</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1,269,919</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1,225,555</w:t>
            </w:r>
          </w:p>
        </w:tc>
        <w:tc>
          <w:tcPr>
            <w:tcW w:w="810" w:type="dxa"/>
            <w:tcBorders>
              <w:top w:val="nil"/>
              <w:left w:val="nil"/>
              <w:bottom w:val="nil"/>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1,235,341</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1,339,110</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1,329,915</w:t>
            </w:r>
          </w:p>
        </w:tc>
        <w:tc>
          <w:tcPr>
            <w:tcW w:w="720" w:type="dxa"/>
            <w:tcBorders>
              <w:top w:val="nil"/>
              <w:left w:val="nil"/>
              <w:bottom w:val="nil"/>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1,361,030</w:t>
            </w:r>
          </w:p>
        </w:tc>
        <w:tc>
          <w:tcPr>
            <w:tcW w:w="792" w:type="dxa"/>
            <w:tcBorders>
              <w:top w:val="nil"/>
              <w:left w:val="nil"/>
              <w:bottom w:val="nil"/>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1,383,817</w:t>
            </w:r>
          </w:p>
        </w:tc>
      </w:tr>
      <w:tr w:rsidR="00884D1B" w:rsidRPr="00E5171C" w:rsidTr="00884D1B">
        <w:trPr>
          <w:trHeight w:val="245"/>
        </w:trPr>
        <w:tc>
          <w:tcPr>
            <w:tcW w:w="3076" w:type="dxa"/>
            <w:tcBorders>
              <w:top w:val="nil"/>
              <w:left w:val="nil"/>
              <w:bottom w:val="single" w:sz="12" w:space="0" w:color="auto"/>
              <w:right w:val="nil"/>
            </w:tcBorders>
            <w:shd w:val="clear" w:color="auto" w:fill="auto"/>
            <w:noWrap/>
            <w:vAlign w:val="center"/>
            <w:hideMark/>
          </w:tcPr>
          <w:p w:rsidR="00884D1B" w:rsidRPr="00E5171C" w:rsidRDefault="00884D1B" w:rsidP="003370AC">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(61,406)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(26,741)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(42,990)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33,865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84D1B" w:rsidRDefault="00884D1B" w:rsidP="00884D1B">
            <w:pPr>
              <w:jc w:val="right"/>
              <w:rPr>
                <w:b/>
                <w:bCs/>
                <w:sz w:val="14"/>
                <w:szCs w:val="14"/>
              </w:rPr>
            </w:pPr>
            <w:r>
              <w:rPr>
                <w:b/>
                <w:bCs/>
                <w:sz w:val="14"/>
                <w:szCs w:val="14"/>
              </w:rPr>
              <w:t>27,551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(32,575)</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(45,746)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84D1B" w:rsidRDefault="00884D1B" w:rsidP="003370AC">
            <w:pPr>
              <w:jc w:val="right"/>
              <w:rPr>
                <w:b/>
                <w:bCs/>
                <w:sz w:val="14"/>
                <w:szCs w:val="14"/>
              </w:rPr>
            </w:pPr>
            <w:r>
              <w:rPr>
                <w:b/>
                <w:bCs/>
                <w:sz w:val="14"/>
                <w:szCs w:val="14"/>
              </w:rPr>
              <w:t>(58,914)</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884D1B" w:rsidRDefault="00884D1B" w:rsidP="00884D1B">
            <w:pPr>
              <w:jc w:val="right"/>
              <w:rPr>
                <w:b/>
                <w:bCs/>
                <w:sz w:val="14"/>
                <w:szCs w:val="14"/>
              </w:rPr>
            </w:pPr>
            <w:r>
              <w:rPr>
                <w:b/>
                <w:bCs/>
                <w:sz w:val="14"/>
                <w:szCs w:val="14"/>
              </w:rPr>
              <w:t>(68,987)</w:t>
            </w:r>
          </w:p>
        </w:tc>
      </w:tr>
      <w:tr w:rsidR="003370AC"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3370AC" w:rsidRPr="00E5171C" w:rsidRDefault="003370AC" w:rsidP="003370AC">
            <w:pPr>
              <w:jc w:val="left"/>
              <w:rPr>
                <w:rFonts w:ascii="Calibri" w:hAnsi="Calibri"/>
                <w:sz w:val="22"/>
                <w:szCs w:val="22"/>
              </w:rPr>
            </w:pPr>
            <w:r w:rsidRPr="00E5171C">
              <w:rPr>
                <w:b/>
                <w:bCs/>
                <w:color w:val="auto"/>
                <w:szCs w:val="16"/>
              </w:rPr>
              <w:t xml:space="preserve">Note:  </w:t>
            </w:r>
          </w:p>
        </w:tc>
      </w:tr>
      <w:tr w:rsidR="003370AC" w:rsidRPr="00E5171C" w:rsidTr="008D7277">
        <w:trPr>
          <w:trHeight w:val="1032"/>
        </w:trPr>
        <w:tc>
          <w:tcPr>
            <w:tcW w:w="9990" w:type="dxa"/>
            <w:gridSpan w:val="10"/>
            <w:tcBorders>
              <w:top w:val="nil"/>
              <w:left w:val="nil"/>
              <w:bottom w:val="nil"/>
              <w:right w:val="nil"/>
            </w:tcBorders>
            <w:shd w:val="clear" w:color="auto" w:fill="auto"/>
            <w:noWrap/>
            <w:vAlign w:val="center"/>
            <w:hideMark/>
          </w:tcPr>
          <w:p w:rsidR="003370AC" w:rsidRPr="008D7277" w:rsidRDefault="003370AC" w:rsidP="003370AC">
            <w:pPr>
              <w:numPr>
                <w:ilvl w:val="0"/>
                <w:numId w:val="12"/>
              </w:numPr>
              <w:tabs>
                <w:tab w:val="left" w:pos="450"/>
              </w:tabs>
              <w:ind w:left="270" w:firstLine="0"/>
              <w:jc w:val="left"/>
              <w:rPr>
                <w:color w:val="auto"/>
                <w:szCs w:val="16"/>
              </w:rPr>
            </w:pPr>
            <w:r w:rsidRPr="008D7277">
              <w:rPr>
                <w:color w:val="auto"/>
                <w:szCs w:val="16"/>
              </w:rPr>
              <w:t>Other Depository Corporations (ODCs) include the data of Banks, DFIs, MFBs, Deposit Accepting Non Bank Financial Companies and Money Market Mutual Funds (MMMFs</w:t>
            </w:r>
            <w:proofErr w:type="gramStart"/>
            <w:r w:rsidRPr="008D7277">
              <w:rPr>
                <w:color w:val="auto"/>
                <w:szCs w:val="16"/>
              </w:rPr>
              <w:t>) .</w:t>
            </w:r>
            <w:proofErr w:type="gramEnd"/>
            <w:r w:rsidRPr="008D7277">
              <w:rPr>
                <w:color w:val="auto"/>
                <w:szCs w:val="16"/>
              </w:rPr>
              <w:t xml:space="preserve">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tc>
      </w:tr>
      <w:tr w:rsidR="003370AC"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3370AC" w:rsidRPr="00E5171C" w:rsidRDefault="003370AC" w:rsidP="003370AC">
            <w:pPr>
              <w:ind w:left="270"/>
              <w:jc w:val="left"/>
              <w:rPr>
                <w:rFonts w:ascii="Calibri" w:hAnsi="Calibri"/>
                <w:sz w:val="22"/>
                <w:szCs w:val="22"/>
              </w:rPr>
            </w:pPr>
            <w:r>
              <w:rPr>
                <w:color w:val="auto"/>
                <w:szCs w:val="16"/>
              </w:rPr>
              <w:t>2</w:t>
            </w:r>
            <w:r w:rsidRPr="00E5171C">
              <w:rPr>
                <w:color w:val="auto"/>
                <w:szCs w:val="16"/>
              </w:rPr>
              <w:t>. General Government includes Central and Provincial Government</w:t>
            </w:r>
          </w:p>
        </w:tc>
      </w:tr>
      <w:tr w:rsidR="003370AC"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3370AC" w:rsidRPr="00E5171C" w:rsidRDefault="003370AC" w:rsidP="003370AC">
            <w:pPr>
              <w:ind w:left="270"/>
              <w:jc w:val="left"/>
              <w:rPr>
                <w:rFonts w:ascii="Calibri" w:hAnsi="Calibri"/>
                <w:sz w:val="22"/>
                <w:szCs w:val="22"/>
              </w:rPr>
            </w:pPr>
            <w:r>
              <w:rPr>
                <w:color w:val="auto"/>
                <w:szCs w:val="16"/>
              </w:rPr>
              <w:t>3</w:t>
            </w:r>
            <w:r w:rsidRPr="00E5171C">
              <w:rPr>
                <w:color w:val="auto"/>
                <w:szCs w:val="16"/>
              </w:rPr>
              <w:t>. Provincial Governments includes Provincial and Local Governments</w:t>
            </w:r>
          </w:p>
        </w:tc>
      </w:tr>
      <w:tr w:rsidR="003370AC"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3370AC" w:rsidRPr="00E5171C" w:rsidRDefault="003370AC" w:rsidP="003370AC">
            <w:pPr>
              <w:ind w:left="270"/>
              <w:jc w:val="left"/>
              <w:rPr>
                <w:rFonts w:ascii="Calibri" w:hAnsi="Calibri"/>
                <w:sz w:val="22"/>
                <w:szCs w:val="22"/>
              </w:rPr>
            </w:pPr>
            <w:r>
              <w:rPr>
                <w:color w:val="auto"/>
                <w:szCs w:val="16"/>
              </w:rPr>
              <w:t>4</w:t>
            </w:r>
            <w:r w:rsidRPr="00E5171C">
              <w:rPr>
                <w:color w:val="auto"/>
                <w:szCs w:val="16"/>
              </w:rPr>
              <w:t xml:space="preserve">. The data may not tally with the table 3 at http://www.sbp.org.pk/ecodata/Ana_Acc_bkg.pdf and table 2.3 of Statistical Bulletin due to difference in classification and </w:t>
            </w:r>
            <w:proofErr w:type="spellStart"/>
            <w:r w:rsidRPr="00E5171C">
              <w:rPr>
                <w:color w:val="auto"/>
                <w:szCs w:val="16"/>
              </w:rPr>
              <w:t>Sectorization</w:t>
            </w:r>
            <w:proofErr w:type="spellEnd"/>
          </w:p>
        </w:tc>
      </w:tr>
      <w:tr w:rsidR="003370AC"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3370AC" w:rsidRPr="00E5171C" w:rsidRDefault="003370AC" w:rsidP="003370AC">
            <w:pPr>
              <w:ind w:left="270"/>
              <w:jc w:val="left"/>
              <w:rPr>
                <w:rFonts w:ascii="Calibri" w:hAnsi="Calibri"/>
                <w:sz w:val="22"/>
                <w:szCs w:val="22"/>
              </w:rPr>
            </w:pPr>
            <w:r>
              <w:rPr>
                <w:color w:val="auto"/>
                <w:szCs w:val="16"/>
              </w:rPr>
              <w:t>5. Note e</w:t>
            </w:r>
            <w:r w:rsidRPr="00E5171C">
              <w:rPr>
                <w:color w:val="auto"/>
                <w:szCs w:val="16"/>
              </w:rPr>
              <w:t>xplaining major changes is available at: http://www.sbp.org.pk/departments/stats/ntb.htm</w:t>
            </w:r>
          </w:p>
        </w:tc>
      </w:tr>
      <w:tr w:rsidR="003370AC" w:rsidRPr="00E5171C" w:rsidTr="00CE511E">
        <w:trPr>
          <w:trHeight w:val="245"/>
        </w:trPr>
        <w:tc>
          <w:tcPr>
            <w:tcW w:w="9990" w:type="dxa"/>
            <w:gridSpan w:val="10"/>
            <w:tcBorders>
              <w:top w:val="nil"/>
              <w:left w:val="nil"/>
              <w:bottom w:val="nil"/>
              <w:right w:val="nil"/>
            </w:tcBorders>
            <w:shd w:val="clear" w:color="auto" w:fill="auto"/>
            <w:vAlign w:val="center"/>
            <w:hideMark/>
          </w:tcPr>
          <w:p w:rsidR="003370AC" w:rsidRPr="00E5171C" w:rsidRDefault="00272445" w:rsidP="003370AC">
            <w:pPr>
              <w:ind w:left="270"/>
              <w:jc w:val="left"/>
              <w:rPr>
                <w:rFonts w:ascii="Calibri" w:hAnsi="Calibri"/>
                <w:sz w:val="22"/>
                <w:szCs w:val="22"/>
              </w:rPr>
            </w:pPr>
            <w:hyperlink w:history="1">
              <w:r w:rsidR="003370AC" w:rsidRPr="00260D5B">
                <w:rPr>
                  <w:rStyle w:val="Hyperlink"/>
                </w:rPr>
                <w:t xml:space="preserve">6. Islamic Financings, Advances (against Murabaha etc) and Other related items previously reported under Other Assets has been reclassified as domestic claims / credit  from June 2014. Details of reclassifications/revisions are available in revision study on SBP website at: www.sbp.org.pk/ecodata/Revision_Monetary_Stats.pdf </w:t>
              </w:r>
            </w:hyperlink>
          </w:p>
        </w:tc>
      </w:tr>
      <w:tr w:rsidR="003370AC" w:rsidRPr="00E5171C" w:rsidTr="00CE511E">
        <w:trPr>
          <w:trHeight w:val="245"/>
        </w:trPr>
        <w:tc>
          <w:tcPr>
            <w:tcW w:w="9990" w:type="dxa"/>
            <w:gridSpan w:val="10"/>
            <w:tcBorders>
              <w:top w:val="nil"/>
              <w:left w:val="nil"/>
              <w:bottom w:val="nil"/>
              <w:right w:val="nil"/>
            </w:tcBorders>
            <w:shd w:val="clear" w:color="auto" w:fill="auto"/>
            <w:vAlign w:val="center"/>
            <w:hideMark/>
          </w:tcPr>
          <w:p w:rsidR="003370AC" w:rsidRDefault="003370AC" w:rsidP="003370AC">
            <w:pPr>
              <w:ind w:left="270"/>
              <w:jc w:val="left"/>
            </w:pPr>
            <w:r>
              <w:t xml:space="preserve">Archive Link:  </w:t>
            </w:r>
            <w:hyperlink r:id="rId10" w:history="1">
              <w:r w:rsidRPr="006434B7">
                <w:rPr>
                  <w:rStyle w:val="Hyperlink"/>
                </w:rPr>
                <w:t>http://www.sbp.org.pk/ecodata/AnaAccDepArch.xls</w:t>
              </w:r>
            </w:hyperlink>
            <w: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F46CD6" w:rsidRDefault="00F46CD6" w:rsidP="00F46CD6">
      <w:pPr>
        <w:jc w:val="left"/>
        <w:rPr>
          <w:color w:val="auto"/>
        </w:rPr>
      </w:pPr>
    </w:p>
    <w:p w:rsidR="00F46CD6" w:rsidRDefault="00F46CD6" w:rsidP="00F46CD6">
      <w:pPr>
        <w:jc w:val="left"/>
        <w:rPr>
          <w:color w:val="auto"/>
        </w:rPr>
      </w:pPr>
    </w:p>
    <w:tbl>
      <w:tblPr>
        <w:tblW w:w="10584" w:type="dxa"/>
        <w:jc w:val="center"/>
        <w:tblLayout w:type="fixed"/>
        <w:tblLook w:val="04A0"/>
      </w:tblPr>
      <w:tblGrid>
        <w:gridCol w:w="3142"/>
        <w:gridCol w:w="788"/>
        <w:gridCol w:w="813"/>
        <w:gridCol w:w="813"/>
        <w:gridCol w:w="900"/>
        <w:gridCol w:w="810"/>
        <w:gridCol w:w="903"/>
        <w:gridCol w:w="810"/>
        <w:gridCol w:w="813"/>
        <w:gridCol w:w="792"/>
      </w:tblGrid>
      <w:tr w:rsidR="00F46CD6" w:rsidRPr="002D5FD9" w:rsidTr="008F4CFF">
        <w:trPr>
          <w:trHeight w:val="216"/>
          <w:jc w:val="center"/>
        </w:trPr>
        <w:tc>
          <w:tcPr>
            <w:tcW w:w="10584" w:type="dxa"/>
            <w:gridSpan w:val="10"/>
            <w:tcBorders>
              <w:top w:val="nil"/>
              <w:left w:val="nil"/>
              <w:bottom w:val="nil"/>
              <w:right w:val="nil"/>
            </w:tcBorders>
            <w:shd w:val="clear" w:color="auto" w:fill="auto"/>
            <w:noWrap/>
            <w:vAlign w:val="bottom"/>
            <w:hideMark/>
          </w:tcPr>
          <w:p w:rsidR="00F46CD6" w:rsidRPr="002D5FD9" w:rsidRDefault="00F46CD6" w:rsidP="00C7271D">
            <w:pPr>
              <w:rPr>
                <w:b/>
                <w:bCs/>
                <w:sz w:val="28"/>
                <w:szCs w:val="28"/>
              </w:rPr>
            </w:pPr>
            <w:r>
              <w:rPr>
                <w:b/>
                <w:bCs/>
                <w:sz w:val="28"/>
                <w:szCs w:val="28"/>
              </w:rPr>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8F4CFF">
        <w:trPr>
          <w:trHeight w:val="216"/>
          <w:jc w:val="center"/>
        </w:trPr>
        <w:tc>
          <w:tcPr>
            <w:tcW w:w="10584" w:type="dxa"/>
            <w:gridSpan w:val="10"/>
            <w:tcBorders>
              <w:top w:val="nil"/>
              <w:left w:val="nil"/>
              <w:bottom w:val="single" w:sz="12" w:space="0" w:color="auto"/>
              <w:right w:val="nil"/>
            </w:tcBorders>
            <w:shd w:val="clear" w:color="auto" w:fill="auto"/>
            <w:noWrap/>
            <w:vAlign w:val="bottom"/>
            <w:hideMark/>
          </w:tcPr>
          <w:p w:rsidR="00F46CD6" w:rsidRPr="002D5FD9" w:rsidRDefault="00F46CD6" w:rsidP="00C7271D">
            <w:pPr>
              <w:jc w:val="right"/>
              <w:rPr>
                <w:sz w:val="14"/>
                <w:szCs w:val="14"/>
              </w:rPr>
            </w:pPr>
            <w:r w:rsidRPr="002D5FD9">
              <w:rPr>
                <w:sz w:val="14"/>
                <w:szCs w:val="16"/>
              </w:rPr>
              <w:t>(Million Rupees)</w:t>
            </w:r>
          </w:p>
        </w:tc>
      </w:tr>
      <w:tr w:rsidR="00D37119" w:rsidRPr="002D5FD9" w:rsidTr="003370AC">
        <w:trPr>
          <w:trHeight w:val="216"/>
          <w:jc w:val="center"/>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D37119" w:rsidRPr="002D5FD9" w:rsidRDefault="00D37119" w:rsidP="00C7271D">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D37119" w:rsidRPr="002D5FD9" w:rsidRDefault="00D37119" w:rsidP="00DE3DF2">
            <w:pPr>
              <w:jc w:val="right"/>
              <w:rPr>
                <w:b/>
                <w:bCs/>
                <w:szCs w:val="16"/>
              </w:rPr>
            </w:pPr>
            <w:r>
              <w:rPr>
                <w:b/>
                <w:bCs/>
                <w:szCs w:val="16"/>
              </w:rPr>
              <w:t>FY15</w:t>
            </w:r>
          </w:p>
        </w:tc>
        <w:tc>
          <w:tcPr>
            <w:tcW w:w="813" w:type="dxa"/>
            <w:vMerge w:val="restart"/>
            <w:tcBorders>
              <w:top w:val="nil"/>
              <w:left w:val="single" w:sz="4" w:space="0" w:color="auto"/>
              <w:right w:val="single" w:sz="4" w:space="0" w:color="auto"/>
            </w:tcBorders>
            <w:shd w:val="clear" w:color="auto" w:fill="auto"/>
            <w:vAlign w:val="center"/>
            <w:hideMark/>
          </w:tcPr>
          <w:p w:rsidR="00D37119" w:rsidRPr="002D5FD9" w:rsidRDefault="00D37119" w:rsidP="00DE3DF2">
            <w:pPr>
              <w:jc w:val="right"/>
              <w:rPr>
                <w:b/>
                <w:bCs/>
                <w:szCs w:val="16"/>
              </w:rPr>
            </w:pPr>
            <w:r w:rsidRPr="00D304D4">
              <w:rPr>
                <w:b/>
                <w:bCs/>
                <w:szCs w:val="16"/>
              </w:rPr>
              <w:t>FY16</w:t>
            </w:r>
          </w:p>
        </w:tc>
        <w:tc>
          <w:tcPr>
            <w:tcW w:w="813" w:type="dxa"/>
            <w:vMerge w:val="restart"/>
            <w:tcBorders>
              <w:top w:val="nil"/>
              <w:left w:val="single" w:sz="4" w:space="0" w:color="auto"/>
              <w:right w:val="single" w:sz="4" w:space="0" w:color="auto"/>
            </w:tcBorders>
            <w:shd w:val="clear" w:color="auto" w:fill="auto"/>
            <w:vAlign w:val="center"/>
          </w:tcPr>
          <w:p w:rsidR="00D37119" w:rsidRPr="002D5FD9" w:rsidRDefault="00D37119" w:rsidP="004E2C7C">
            <w:pPr>
              <w:jc w:val="right"/>
              <w:rPr>
                <w:b/>
                <w:bCs/>
                <w:szCs w:val="16"/>
              </w:rPr>
            </w:pPr>
            <w:r w:rsidRPr="00D304D4">
              <w:rPr>
                <w:b/>
                <w:bCs/>
                <w:szCs w:val="16"/>
              </w:rPr>
              <w:t>FY17</w:t>
            </w:r>
          </w:p>
        </w:tc>
        <w:tc>
          <w:tcPr>
            <w:tcW w:w="2613" w:type="dxa"/>
            <w:gridSpan w:val="3"/>
            <w:tcBorders>
              <w:top w:val="nil"/>
              <w:left w:val="single" w:sz="4" w:space="0" w:color="auto"/>
              <w:bottom w:val="single" w:sz="4" w:space="0" w:color="auto"/>
              <w:right w:val="single" w:sz="4" w:space="0" w:color="auto"/>
            </w:tcBorders>
            <w:shd w:val="clear" w:color="auto" w:fill="auto"/>
            <w:vAlign w:val="center"/>
          </w:tcPr>
          <w:p w:rsidR="00D37119" w:rsidRPr="002D5FD9" w:rsidRDefault="00D37119" w:rsidP="00C7271D">
            <w:pPr>
              <w:rPr>
                <w:b/>
                <w:bCs/>
                <w:szCs w:val="16"/>
              </w:rPr>
            </w:pPr>
            <w:r>
              <w:rPr>
                <w:b/>
                <w:bCs/>
                <w:szCs w:val="16"/>
              </w:rPr>
              <w:t>2017</w:t>
            </w:r>
          </w:p>
        </w:tc>
        <w:tc>
          <w:tcPr>
            <w:tcW w:w="2415" w:type="dxa"/>
            <w:gridSpan w:val="3"/>
            <w:tcBorders>
              <w:top w:val="single" w:sz="12" w:space="0" w:color="auto"/>
              <w:left w:val="single" w:sz="4" w:space="0" w:color="auto"/>
              <w:bottom w:val="single" w:sz="4" w:space="0" w:color="auto"/>
              <w:right w:val="nil"/>
            </w:tcBorders>
            <w:shd w:val="clear" w:color="auto" w:fill="auto"/>
            <w:vAlign w:val="center"/>
          </w:tcPr>
          <w:p w:rsidR="00D37119" w:rsidRPr="002D5FD9" w:rsidRDefault="00D37119" w:rsidP="00C7271D">
            <w:pPr>
              <w:rPr>
                <w:b/>
                <w:bCs/>
                <w:szCs w:val="16"/>
              </w:rPr>
            </w:pPr>
            <w:r>
              <w:rPr>
                <w:b/>
                <w:bCs/>
                <w:szCs w:val="16"/>
              </w:rPr>
              <w:t>2018</w:t>
            </w:r>
          </w:p>
        </w:tc>
      </w:tr>
      <w:tr w:rsidR="003370AC" w:rsidRPr="00414936" w:rsidTr="003370AC">
        <w:trPr>
          <w:trHeight w:val="216"/>
          <w:jc w:val="center"/>
        </w:trPr>
        <w:tc>
          <w:tcPr>
            <w:tcW w:w="3142" w:type="dxa"/>
            <w:vMerge/>
            <w:tcBorders>
              <w:top w:val="nil"/>
              <w:left w:val="nil"/>
              <w:bottom w:val="single" w:sz="12" w:space="0" w:color="000000"/>
              <w:right w:val="single" w:sz="4" w:space="0" w:color="auto"/>
            </w:tcBorders>
            <w:shd w:val="clear" w:color="auto" w:fill="auto"/>
            <w:vAlign w:val="center"/>
            <w:hideMark/>
          </w:tcPr>
          <w:p w:rsidR="003370AC" w:rsidRPr="002D5FD9" w:rsidRDefault="003370AC" w:rsidP="003370AC">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3370AC" w:rsidRPr="006619BF" w:rsidRDefault="003370AC" w:rsidP="003370AC">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3370AC" w:rsidRPr="006619BF" w:rsidRDefault="003370AC" w:rsidP="003370AC">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3370AC" w:rsidRPr="006619BF" w:rsidRDefault="003370AC" w:rsidP="003370AC">
            <w:pPr>
              <w:jc w:val="right"/>
              <w:rPr>
                <w:b/>
                <w:color w:val="auto"/>
                <w:sz w:val="14"/>
                <w:szCs w:val="14"/>
              </w:rPr>
            </w:pPr>
          </w:p>
        </w:tc>
        <w:tc>
          <w:tcPr>
            <w:tcW w:w="900" w:type="dxa"/>
            <w:tcBorders>
              <w:top w:val="single" w:sz="4" w:space="0" w:color="auto"/>
              <w:left w:val="single" w:sz="4" w:space="0" w:color="auto"/>
              <w:bottom w:val="single" w:sz="12" w:space="0" w:color="auto"/>
            </w:tcBorders>
            <w:shd w:val="clear" w:color="auto" w:fill="auto"/>
            <w:vAlign w:val="center"/>
            <w:hideMark/>
          </w:tcPr>
          <w:p w:rsidR="003370AC" w:rsidRPr="006619BF" w:rsidRDefault="003370AC" w:rsidP="003370AC">
            <w:pPr>
              <w:jc w:val="right"/>
              <w:rPr>
                <w:b/>
                <w:color w:val="auto"/>
                <w:sz w:val="14"/>
                <w:szCs w:val="14"/>
              </w:rPr>
            </w:pPr>
            <w:r>
              <w:rPr>
                <w:b/>
                <w:color w:val="auto"/>
                <w:sz w:val="14"/>
                <w:szCs w:val="14"/>
              </w:rPr>
              <w:t>Feb</w:t>
            </w:r>
          </w:p>
        </w:tc>
        <w:tc>
          <w:tcPr>
            <w:tcW w:w="810" w:type="dxa"/>
            <w:tcBorders>
              <w:top w:val="single" w:sz="4" w:space="0" w:color="auto"/>
              <w:bottom w:val="single" w:sz="12" w:space="0" w:color="auto"/>
              <w:right w:val="single" w:sz="4" w:space="0" w:color="auto"/>
            </w:tcBorders>
            <w:shd w:val="clear" w:color="auto" w:fill="auto"/>
            <w:vAlign w:val="center"/>
            <w:hideMark/>
          </w:tcPr>
          <w:p w:rsidR="003370AC" w:rsidRPr="006619BF" w:rsidRDefault="003370AC" w:rsidP="003370AC">
            <w:pPr>
              <w:jc w:val="right"/>
              <w:rPr>
                <w:b/>
                <w:color w:val="auto"/>
                <w:sz w:val="14"/>
                <w:szCs w:val="14"/>
              </w:rPr>
            </w:pPr>
            <w:r>
              <w:rPr>
                <w:b/>
                <w:color w:val="auto"/>
                <w:sz w:val="14"/>
                <w:szCs w:val="14"/>
              </w:rPr>
              <w:t>Mar</w:t>
            </w:r>
          </w:p>
        </w:tc>
        <w:tc>
          <w:tcPr>
            <w:tcW w:w="90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370AC" w:rsidRPr="006619BF" w:rsidRDefault="003370AC" w:rsidP="003370AC">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vAlign w:val="center"/>
            <w:hideMark/>
          </w:tcPr>
          <w:p w:rsidR="003370AC" w:rsidRPr="006619BF" w:rsidRDefault="003370AC" w:rsidP="003370AC">
            <w:pPr>
              <w:jc w:val="right"/>
              <w:rPr>
                <w:b/>
                <w:color w:val="auto"/>
                <w:sz w:val="14"/>
                <w:szCs w:val="14"/>
              </w:rPr>
            </w:pPr>
            <w:r>
              <w:rPr>
                <w:b/>
                <w:color w:val="auto"/>
                <w:sz w:val="14"/>
                <w:szCs w:val="14"/>
              </w:rPr>
              <w:t>Jan</w:t>
            </w:r>
          </w:p>
        </w:tc>
        <w:tc>
          <w:tcPr>
            <w:tcW w:w="813" w:type="dxa"/>
            <w:tcBorders>
              <w:top w:val="single" w:sz="4" w:space="0" w:color="auto"/>
              <w:bottom w:val="single" w:sz="12" w:space="0" w:color="auto"/>
            </w:tcBorders>
            <w:shd w:val="clear" w:color="auto" w:fill="auto"/>
            <w:vAlign w:val="center"/>
            <w:hideMark/>
          </w:tcPr>
          <w:p w:rsidR="003370AC" w:rsidRPr="006619BF" w:rsidRDefault="003370AC" w:rsidP="003370AC">
            <w:pPr>
              <w:jc w:val="right"/>
              <w:rPr>
                <w:b/>
                <w:color w:val="auto"/>
                <w:sz w:val="14"/>
                <w:szCs w:val="14"/>
              </w:rPr>
            </w:pPr>
            <w:r>
              <w:rPr>
                <w:b/>
                <w:color w:val="auto"/>
                <w:sz w:val="14"/>
                <w:szCs w:val="14"/>
              </w:rPr>
              <w:t>Feb</w:t>
            </w:r>
          </w:p>
        </w:tc>
        <w:tc>
          <w:tcPr>
            <w:tcW w:w="792" w:type="dxa"/>
            <w:tcBorders>
              <w:top w:val="single" w:sz="4" w:space="0" w:color="auto"/>
              <w:bottom w:val="single" w:sz="12" w:space="0" w:color="auto"/>
              <w:right w:val="nil"/>
            </w:tcBorders>
            <w:shd w:val="clear" w:color="auto" w:fill="auto"/>
            <w:vAlign w:val="center"/>
            <w:hideMark/>
          </w:tcPr>
          <w:p w:rsidR="003370AC" w:rsidRPr="006619BF" w:rsidRDefault="003370AC" w:rsidP="003370AC">
            <w:pPr>
              <w:jc w:val="right"/>
              <w:rPr>
                <w:b/>
                <w:color w:val="auto"/>
                <w:sz w:val="14"/>
                <w:szCs w:val="14"/>
              </w:rPr>
            </w:pPr>
            <w:r>
              <w:rPr>
                <w:b/>
                <w:color w:val="auto"/>
                <w:sz w:val="14"/>
                <w:szCs w:val="14"/>
              </w:rPr>
              <w:t xml:space="preserve">Mar </w:t>
            </w:r>
            <w:r w:rsidRPr="00D37119">
              <w:rPr>
                <w:b/>
                <w:color w:val="auto"/>
                <w:sz w:val="14"/>
                <w:szCs w:val="14"/>
                <w:vertAlign w:val="superscript"/>
              </w:rPr>
              <w:t>P</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1,174,901</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1,461,131</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1,095,438</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1,202,327</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b/>
                <w:bCs/>
                <w:sz w:val="14"/>
                <w:szCs w:val="14"/>
              </w:rPr>
            </w:pPr>
            <w:r>
              <w:rPr>
                <w:b/>
                <w:bCs/>
                <w:sz w:val="14"/>
                <w:szCs w:val="14"/>
              </w:rPr>
              <w:t>1,130,281</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857,881</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732,906</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650,575</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b/>
                <w:bCs/>
                <w:sz w:val="14"/>
                <w:szCs w:val="14"/>
              </w:rPr>
            </w:pPr>
            <w:r>
              <w:rPr>
                <w:b/>
                <w:bCs/>
                <w:sz w:val="14"/>
                <w:szCs w:val="14"/>
              </w:rPr>
              <w:t>583,020</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2,374,003</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3,095,912</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2,920,693</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2,918,002</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2,839,862</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2,839,266</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2,709,028</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2,632,837</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2,678,957</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1,199,103</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1,634,781</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1,825,255</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1,715,676</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1,709,581</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1,981,384</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1,976,122</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1,982,262</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2,095,937</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12,067,098</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13,440,764</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15,500,156</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14,374,457</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b/>
                <w:bCs/>
                <w:sz w:val="14"/>
                <w:szCs w:val="14"/>
              </w:rPr>
            </w:pPr>
            <w:r>
              <w:rPr>
                <w:b/>
                <w:bCs/>
                <w:sz w:val="14"/>
                <w:szCs w:val="14"/>
              </w:rPr>
              <w:t>14,586,410</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16,095,797</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16,152,896</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16,374,113</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b/>
                <w:bCs/>
                <w:sz w:val="14"/>
                <w:szCs w:val="14"/>
              </w:rPr>
            </w:pPr>
            <w:r>
              <w:rPr>
                <w:b/>
                <w:bCs/>
                <w:sz w:val="14"/>
                <w:szCs w:val="14"/>
              </w:rPr>
              <w:t>16,784,867</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7,302,908</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8,156,950</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9,224,704</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8,611,587</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b/>
                <w:bCs/>
                <w:sz w:val="14"/>
                <w:szCs w:val="14"/>
              </w:rPr>
            </w:pPr>
            <w:r>
              <w:rPr>
                <w:b/>
                <w:bCs/>
                <w:sz w:val="14"/>
                <w:szCs w:val="14"/>
              </w:rPr>
              <w:t>8,621,437</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9,482,430</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9,445,880</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9,557,279</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b/>
                <w:bCs/>
                <w:sz w:val="14"/>
                <w:szCs w:val="14"/>
              </w:rPr>
            </w:pPr>
            <w:r>
              <w:rPr>
                <w:b/>
                <w:bCs/>
                <w:sz w:val="14"/>
                <w:szCs w:val="14"/>
              </w:rPr>
              <w:t>9,812,724</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7,547,129</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8,576,861</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9,557,201</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9,307,856</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b/>
                <w:bCs/>
                <w:sz w:val="14"/>
                <w:szCs w:val="14"/>
              </w:rPr>
            </w:pPr>
            <w:r>
              <w:rPr>
                <w:b/>
                <w:bCs/>
                <w:sz w:val="14"/>
                <w:szCs w:val="14"/>
              </w:rPr>
              <w:t>9,361,336</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10,049,078</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10,113,024</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10,159,094</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b/>
                <w:bCs/>
                <w:sz w:val="14"/>
                <w:szCs w:val="14"/>
              </w:rPr>
            </w:pPr>
            <w:r>
              <w:rPr>
                <w:b/>
                <w:bCs/>
                <w:sz w:val="14"/>
                <w:szCs w:val="14"/>
              </w:rPr>
              <w:t>10,383,857</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8,353,346</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9,637,983</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10,550,305</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10,324,647</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10,316,236</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11,039,822</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11,200,735</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11,244,337</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11,468,094</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806,217</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1,061,122</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993,103</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1,016,792</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954,900</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990,744</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1,087,712</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1,085,243</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1,084,237</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1"/>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(244,221)</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(419,911)</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(332,497)</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(696,268)</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b/>
                <w:bCs/>
                <w:sz w:val="14"/>
                <w:szCs w:val="14"/>
              </w:rPr>
            </w:pPr>
            <w:r>
              <w:rPr>
                <w:b/>
                <w:bCs/>
                <w:sz w:val="14"/>
                <w:szCs w:val="14"/>
              </w:rPr>
              <w:t>(739,899)</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(566,648)</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(667,143)</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(601,815)</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b/>
                <w:bCs/>
                <w:sz w:val="14"/>
                <w:szCs w:val="14"/>
              </w:rPr>
            </w:pPr>
            <w:r>
              <w:rPr>
                <w:b/>
                <w:bCs/>
                <w:sz w:val="14"/>
                <w:szCs w:val="14"/>
              </w:rPr>
              <w:t>(571,133)</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363,502</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400,711</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483,331</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315,010</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314,324</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464,018</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448,175</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443,849</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437,589</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607,723</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820,621</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815,829</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1,011,279</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1,054,223</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1,030,666</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1,115,318</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1,045,664</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1,008,722</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4,764,190</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5,283,814</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6,275,452</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5,762,870</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b/>
                <w:bCs/>
                <w:sz w:val="14"/>
                <w:szCs w:val="14"/>
              </w:rPr>
            </w:pPr>
            <w:r>
              <w:rPr>
                <w:b/>
                <w:bCs/>
                <w:sz w:val="14"/>
                <w:szCs w:val="14"/>
              </w:rPr>
              <w:t>5,964,973</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6,613,367</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6,707,016</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6,816,834</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b/>
                <w:bCs/>
                <w:sz w:val="14"/>
                <w:szCs w:val="14"/>
              </w:rPr>
            </w:pPr>
            <w:r>
              <w:rPr>
                <w:b/>
                <w:bCs/>
                <w:sz w:val="14"/>
                <w:szCs w:val="14"/>
              </w:rPr>
              <w:t>6,972,143</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116,831</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120,216</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103,714</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131,675</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138,831</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96,369</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101,785</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108,645</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107,627</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633,411</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765,421</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1,025,883</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850,154</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953,098</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1,072,245</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1,110,504</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1,134,356</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1,195,256</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3,197,258</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3,472,281</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4,059,627</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3,764,094</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3,839,231</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4,265,538</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4,301,361</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4,373,065</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4,450,537</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816,690</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925,896</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1,086,228</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1,016,947</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1,033,813</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1,179,214</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1,193,365</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1,200,768</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1,218,723</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11,032,131</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12,630,891</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14,385,960</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13,128,157</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b/>
                <w:bCs/>
                <w:sz w:val="14"/>
                <w:szCs w:val="14"/>
              </w:rPr>
            </w:pPr>
            <w:r>
              <w:rPr>
                <w:b/>
                <w:bCs/>
                <w:sz w:val="14"/>
                <w:szCs w:val="14"/>
              </w:rPr>
              <w:t>13,330,800</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14,728,959</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14,597,438</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14,783,738</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b/>
                <w:bCs/>
                <w:sz w:val="14"/>
                <w:szCs w:val="14"/>
              </w:rPr>
            </w:pPr>
            <w:r>
              <w:rPr>
                <w:b/>
                <w:bCs/>
                <w:sz w:val="14"/>
                <w:szCs w:val="14"/>
              </w:rPr>
              <w:t>15,091,220</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2,546,994</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3,323,178</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3,898,848</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3,467,652</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b/>
                <w:bCs/>
                <w:sz w:val="14"/>
                <w:szCs w:val="14"/>
              </w:rPr>
            </w:pPr>
            <w:r>
              <w:rPr>
                <w:b/>
                <w:bCs/>
                <w:sz w:val="14"/>
                <w:szCs w:val="14"/>
              </w:rPr>
              <w:t>3,473,780</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3,913,900</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3,964,856</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4,016,072</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b/>
                <w:bCs/>
                <w:sz w:val="14"/>
                <w:szCs w:val="14"/>
              </w:rPr>
            </w:pPr>
            <w:r>
              <w:rPr>
                <w:b/>
                <w:bCs/>
                <w:sz w:val="14"/>
                <w:szCs w:val="14"/>
              </w:rPr>
              <w:t>4,085,690</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6,336,978</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6,987,125</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7,993,324</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7,382,614</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b/>
                <w:bCs/>
                <w:sz w:val="14"/>
                <w:szCs w:val="14"/>
              </w:rPr>
            </w:pPr>
            <w:r>
              <w:rPr>
                <w:b/>
                <w:bCs/>
                <w:sz w:val="14"/>
                <w:szCs w:val="14"/>
              </w:rPr>
              <w:t>7,503,422</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8,157,929</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8,088,621</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8,195,741</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b/>
                <w:bCs/>
                <w:sz w:val="14"/>
                <w:szCs w:val="14"/>
              </w:rPr>
            </w:pPr>
            <w:r>
              <w:rPr>
                <w:b/>
                <w:bCs/>
                <w:sz w:val="14"/>
                <w:szCs w:val="14"/>
              </w:rPr>
              <w:t>8,366,402</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104,731</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163,565</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249,897</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182,383</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192,370</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242,845</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213,669</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205,178</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250,363</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231,463</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235,194</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312,106</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326,509</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316,580</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277,999</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303,139</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287,552</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302,186</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2,323,366</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2,111,317</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2,358,300</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2,164,399</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2,180,507</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2,382,208</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2,333,117</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2,393,163</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2,406,258</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3,677,418</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4,477,049</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5,073,021</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4,709,323</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4,813,965</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5,254,877</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5,238,696</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5,309,847</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5,407,595</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2,148,149</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2,320,579</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2,493,779</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2,277,881</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b/>
                <w:bCs/>
                <w:sz w:val="14"/>
                <w:szCs w:val="14"/>
              </w:rPr>
            </w:pPr>
            <w:r>
              <w:rPr>
                <w:b/>
                <w:bCs/>
                <w:sz w:val="14"/>
                <w:szCs w:val="14"/>
              </w:rPr>
              <w:t>2,353,589</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2,657,120</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2,543,945</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2,571,909</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b/>
                <w:bCs/>
                <w:sz w:val="14"/>
                <w:szCs w:val="14"/>
              </w:rPr>
            </w:pPr>
            <w:r>
              <w:rPr>
                <w:b/>
                <w:bCs/>
                <w:sz w:val="14"/>
                <w:szCs w:val="14"/>
              </w:rPr>
              <w:t>2,639,112</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48,524</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69,347</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76,099</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72,091</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78,358</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90,078</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84,328</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84,057</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89,646</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260,565</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349,933</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411,242</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354,844</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343,700</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446,815</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426,840</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424,959</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434,258</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707,689</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747,141</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828,116</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743,925</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751,526</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887,948</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784,510</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790,630</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832,663</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1,131,372</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1,154,157</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1,178,322</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1,107,020</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1,180,005</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1,232,278</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1,248,267</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1,272,262</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1,282,544</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10</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b/>
                <w:bCs/>
                <w:sz w:val="14"/>
                <w:szCs w:val="14"/>
              </w:rPr>
            </w:pPr>
            <w:r>
              <w:rPr>
                <w:b/>
                <w:bCs/>
                <w:sz w:val="14"/>
                <w:szCs w:val="14"/>
              </w:rPr>
              <w:t>10</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b/>
                <w:bCs/>
                <w:sz w:val="14"/>
                <w:szCs w:val="14"/>
              </w:rPr>
            </w:pPr>
            <w:r>
              <w:rPr>
                <w:b/>
                <w:bCs/>
                <w:sz w:val="14"/>
                <w:szCs w:val="14"/>
              </w:rPr>
              <w:t>16</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7</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7</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12</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12</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12</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3</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3</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3</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41,348</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46,276</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51,168</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46,107</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b/>
                <w:bCs/>
                <w:sz w:val="14"/>
                <w:szCs w:val="14"/>
              </w:rPr>
            </w:pPr>
            <w:r>
              <w:rPr>
                <w:b/>
                <w:bCs/>
                <w:sz w:val="14"/>
                <w:szCs w:val="14"/>
              </w:rPr>
              <w:t>46,043</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51,077</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51,107</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50,994</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b/>
                <w:bCs/>
                <w:sz w:val="14"/>
                <w:szCs w:val="14"/>
              </w:rPr>
            </w:pPr>
            <w:r>
              <w:rPr>
                <w:b/>
                <w:bCs/>
                <w:sz w:val="14"/>
                <w:szCs w:val="14"/>
              </w:rPr>
              <w:t>51,326</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16,741</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11,528</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15,535</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13,609</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b/>
                <w:bCs/>
                <w:sz w:val="14"/>
                <w:szCs w:val="14"/>
              </w:rPr>
            </w:pPr>
            <w:r>
              <w:rPr>
                <w:b/>
                <w:bCs/>
                <w:sz w:val="14"/>
                <w:szCs w:val="14"/>
              </w:rPr>
              <w:t>13,934</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17,979</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18,070</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18,202</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b/>
                <w:bCs/>
                <w:sz w:val="14"/>
                <w:szCs w:val="14"/>
              </w:rPr>
            </w:pPr>
            <w:r>
              <w:rPr>
                <w:b/>
                <w:bCs/>
                <w:sz w:val="14"/>
                <w:szCs w:val="14"/>
              </w:rPr>
              <w:t>17,910</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5,488</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6,909</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11,582</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9,052</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i/>
                <w:iCs/>
                <w:sz w:val="14"/>
                <w:szCs w:val="14"/>
              </w:rPr>
            </w:pPr>
            <w:r>
              <w:rPr>
                <w:i/>
                <w:iCs/>
                <w:sz w:val="14"/>
                <w:szCs w:val="14"/>
              </w:rPr>
              <w:t>9,529</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12,287</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12,327</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12,342</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i/>
                <w:iCs/>
                <w:sz w:val="14"/>
                <w:szCs w:val="14"/>
              </w:rPr>
            </w:pPr>
            <w:r>
              <w:rPr>
                <w:i/>
                <w:iCs/>
                <w:sz w:val="14"/>
                <w:szCs w:val="14"/>
              </w:rPr>
              <w:t>12,271</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13,482</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17,397</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11,395</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15,538</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b/>
                <w:bCs/>
                <w:sz w:val="14"/>
                <w:szCs w:val="14"/>
              </w:rPr>
            </w:pPr>
            <w:r>
              <w:rPr>
                <w:b/>
                <w:bCs/>
                <w:sz w:val="14"/>
                <w:szCs w:val="14"/>
              </w:rPr>
              <w:t>15,243</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12,127</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12,883</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14,770</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b/>
                <w:bCs/>
                <w:sz w:val="14"/>
                <w:szCs w:val="14"/>
              </w:rPr>
            </w:pPr>
            <w:r>
              <w:rPr>
                <w:b/>
                <w:bCs/>
                <w:sz w:val="14"/>
                <w:szCs w:val="14"/>
              </w:rPr>
              <w:t>16,369</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1,852</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7,382</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1,743</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5,705</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i/>
                <w:iCs/>
                <w:sz w:val="14"/>
                <w:szCs w:val="14"/>
              </w:rPr>
            </w:pPr>
            <w:r>
              <w:rPr>
                <w:i/>
                <w:iCs/>
                <w:sz w:val="14"/>
                <w:szCs w:val="14"/>
              </w:rPr>
              <w:t>5,410</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2,652</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3,368</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5,255</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i/>
                <w:iCs/>
                <w:sz w:val="14"/>
                <w:szCs w:val="14"/>
              </w:rPr>
            </w:pPr>
            <w:r>
              <w:rPr>
                <w:i/>
                <w:iCs/>
                <w:sz w:val="14"/>
                <w:szCs w:val="14"/>
              </w:rPr>
              <w:t>6,854</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924</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1,515</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962</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1,507</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b/>
                <w:bCs/>
                <w:sz w:val="14"/>
                <w:szCs w:val="14"/>
              </w:rPr>
            </w:pPr>
            <w:r>
              <w:rPr>
                <w:b/>
                <w:bCs/>
                <w:sz w:val="14"/>
                <w:szCs w:val="14"/>
              </w:rPr>
              <w:t>1,177</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1,486</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1,345</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1,161</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b/>
                <w:bCs/>
                <w:sz w:val="14"/>
                <w:szCs w:val="14"/>
              </w:rPr>
            </w:pPr>
            <w:r>
              <w:rPr>
                <w:b/>
                <w:bCs/>
                <w:sz w:val="14"/>
                <w:szCs w:val="14"/>
              </w:rPr>
              <w:t>1,834</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i/>
                <w:iCs/>
                <w:sz w:val="14"/>
                <w:szCs w:val="14"/>
              </w:rPr>
            </w:pPr>
            <w:r>
              <w:rPr>
                <w:i/>
                <w:iCs/>
                <w:sz w:val="14"/>
                <w:szCs w:val="14"/>
              </w:rPr>
              <w:t>-</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i/>
                <w:iCs/>
                <w:sz w:val="14"/>
                <w:szCs w:val="14"/>
              </w:rPr>
            </w:pPr>
            <w:r>
              <w:rPr>
                <w:i/>
                <w:iCs/>
                <w:sz w:val="14"/>
                <w:szCs w:val="14"/>
              </w:rPr>
              <w:t>-</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38</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63</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127</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111</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b/>
                <w:bCs/>
                <w:sz w:val="14"/>
                <w:szCs w:val="14"/>
              </w:rPr>
            </w:pPr>
            <w:r>
              <w:rPr>
                <w:b/>
                <w:bCs/>
                <w:sz w:val="14"/>
                <w:szCs w:val="14"/>
              </w:rPr>
              <w:t>114</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342</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343</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130</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b/>
                <w:bCs/>
                <w:sz w:val="14"/>
                <w:szCs w:val="14"/>
              </w:rPr>
            </w:pPr>
            <w:r>
              <w:rPr>
                <w:b/>
                <w:bCs/>
                <w:sz w:val="14"/>
                <w:szCs w:val="14"/>
              </w:rPr>
              <w:t>154</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i/>
                <w:iCs/>
                <w:sz w:val="14"/>
                <w:szCs w:val="14"/>
              </w:rPr>
            </w:pPr>
            <w:r>
              <w:rPr>
                <w:i/>
                <w:iCs/>
                <w:sz w:val="14"/>
                <w:szCs w:val="14"/>
              </w:rPr>
              <w:t>-</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i/>
                <w:iCs/>
                <w:sz w:val="14"/>
                <w:szCs w:val="14"/>
              </w:rPr>
            </w:pPr>
            <w:r>
              <w:rPr>
                <w:i/>
                <w:iCs/>
                <w:sz w:val="14"/>
                <w:szCs w:val="14"/>
              </w:rPr>
              <w:t>-</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2,033,245</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2,196,519</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2,294,214</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2,467,416</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b/>
                <w:bCs/>
                <w:sz w:val="14"/>
                <w:szCs w:val="14"/>
              </w:rPr>
            </w:pPr>
            <w:r>
              <w:rPr>
                <w:b/>
                <w:bCs/>
                <w:sz w:val="14"/>
                <w:szCs w:val="14"/>
              </w:rPr>
              <w:t>2,417,876</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2,362,525</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2,412,757</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2,423,000</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b/>
                <w:bCs/>
                <w:sz w:val="14"/>
                <w:szCs w:val="14"/>
              </w:rPr>
            </w:pPr>
            <w:r>
              <w:rPr>
                <w:b/>
                <w:bCs/>
                <w:sz w:val="14"/>
                <w:szCs w:val="14"/>
              </w:rPr>
              <w:t>2,403,427</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104,165</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(2,167)</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(163,513)</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(95,440)</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b/>
                <w:bCs/>
                <w:sz w:val="14"/>
                <w:szCs w:val="14"/>
              </w:rPr>
            </w:pPr>
            <w:r>
              <w:rPr>
                <w:b/>
                <w:bCs/>
                <w:sz w:val="14"/>
                <w:szCs w:val="14"/>
              </w:rPr>
              <w:t>(108,268)</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(220,132)</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(207,454)</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b/>
                <w:bCs/>
                <w:sz w:val="14"/>
                <w:szCs w:val="14"/>
              </w:rPr>
            </w:pPr>
            <w:r>
              <w:rPr>
                <w:b/>
                <w:bCs/>
                <w:sz w:val="14"/>
                <w:szCs w:val="14"/>
              </w:rPr>
              <w:t>(267,046)</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b/>
                <w:bCs/>
                <w:sz w:val="14"/>
                <w:szCs w:val="14"/>
              </w:rPr>
            </w:pPr>
            <w:r>
              <w:rPr>
                <w:b/>
                <w:bCs/>
                <w:sz w:val="14"/>
                <w:szCs w:val="14"/>
              </w:rPr>
              <w:t>(214,045)</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1,602,651</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1,439,831</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1,505,755</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1,400,099</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1,432,212</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1,505,977</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1,520,469</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1,515,223</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1,578,529</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1,114,726</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1,276,541</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1,449,431</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1,394,435</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1,466,631</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1,590,108</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1,582,055</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1,624,937</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1,641,449</w:t>
            </w:r>
          </w:p>
        </w:tc>
      </w:tr>
      <w:tr w:rsidR="003B6A4E" w:rsidRPr="002D5FD9" w:rsidTr="003B6A4E">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6A4E" w:rsidRPr="002D5FD9" w:rsidRDefault="003B6A4E" w:rsidP="003370AC">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(383,760)</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(165,457)</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(219,837)</w:t>
            </w:r>
          </w:p>
        </w:tc>
        <w:tc>
          <w:tcPr>
            <w:tcW w:w="90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(101,103)</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565A38">
            <w:pPr>
              <w:jc w:val="right"/>
              <w:rPr>
                <w:sz w:val="14"/>
                <w:szCs w:val="14"/>
              </w:rPr>
            </w:pPr>
            <w:r>
              <w:rPr>
                <w:sz w:val="14"/>
                <w:szCs w:val="14"/>
              </w:rPr>
              <w:t>(73,849)</w:t>
            </w:r>
          </w:p>
        </w:tc>
        <w:tc>
          <w:tcPr>
            <w:tcW w:w="90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(136,001)</w:t>
            </w:r>
          </w:p>
        </w:tc>
        <w:tc>
          <w:tcPr>
            <w:tcW w:w="810"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(145,867)</w:t>
            </w:r>
          </w:p>
        </w:tc>
        <w:tc>
          <w:tcPr>
            <w:tcW w:w="813" w:type="dxa"/>
            <w:tcBorders>
              <w:top w:val="nil"/>
              <w:left w:val="nil"/>
              <w:bottom w:val="nil"/>
              <w:right w:val="nil"/>
            </w:tcBorders>
            <w:shd w:val="clear" w:color="auto" w:fill="auto"/>
            <w:tcMar>
              <w:left w:w="43" w:type="dxa"/>
              <w:right w:w="43" w:type="dxa"/>
            </w:tcMar>
            <w:vAlign w:val="center"/>
            <w:hideMark/>
          </w:tcPr>
          <w:p w:rsidR="003B6A4E" w:rsidRDefault="003B6A4E" w:rsidP="003370AC">
            <w:pPr>
              <w:jc w:val="right"/>
              <w:rPr>
                <w:sz w:val="14"/>
                <w:szCs w:val="14"/>
              </w:rPr>
            </w:pPr>
            <w:r>
              <w:rPr>
                <w:sz w:val="14"/>
                <w:szCs w:val="14"/>
              </w:rPr>
              <w:t>(157,332)</w:t>
            </w:r>
          </w:p>
        </w:tc>
        <w:tc>
          <w:tcPr>
            <w:tcW w:w="792" w:type="dxa"/>
            <w:tcBorders>
              <w:top w:val="nil"/>
              <w:left w:val="nil"/>
              <w:bottom w:val="nil"/>
              <w:right w:val="nil"/>
            </w:tcBorders>
            <w:shd w:val="clear" w:color="auto" w:fill="auto"/>
            <w:noWrap/>
            <w:tcMar>
              <w:left w:w="43" w:type="dxa"/>
              <w:right w:w="43" w:type="dxa"/>
            </w:tcMar>
            <w:vAlign w:val="center"/>
            <w:hideMark/>
          </w:tcPr>
          <w:p w:rsidR="003B6A4E" w:rsidRDefault="003B6A4E" w:rsidP="003B6A4E">
            <w:pPr>
              <w:jc w:val="right"/>
              <w:rPr>
                <w:sz w:val="14"/>
                <w:szCs w:val="14"/>
              </w:rPr>
            </w:pPr>
            <w:r>
              <w:rPr>
                <w:sz w:val="14"/>
                <w:szCs w:val="14"/>
              </w:rPr>
              <w:t>(151,125)</w:t>
            </w:r>
          </w:p>
        </w:tc>
      </w:tr>
      <w:tr w:rsidR="003370AC" w:rsidRPr="002D5FD9" w:rsidTr="00506260">
        <w:trPr>
          <w:trHeight w:val="879"/>
          <w:jc w:val="center"/>
        </w:trPr>
        <w:tc>
          <w:tcPr>
            <w:tcW w:w="10584" w:type="dxa"/>
            <w:gridSpan w:val="10"/>
            <w:tcBorders>
              <w:top w:val="single" w:sz="12" w:space="0" w:color="auto"/>
              <w:left w:val="nil"/>
              <w:bottom w:val="nil"/>
              <w:right w:val="nil"/>
            </w:tcBorders>
            <w:shd w:val="clear" w:color="auto" w:fill="auto"/>
            <w:vAlign w:val="center"/>
            <w:hideMark/>
          </w:tcPr>
          <w:p w:rsidR="003370AC" w:rsidRPr="002D5FD9" w:rsidRDefault="003370AC" w:rsidP="003370AC">
            <w:pPr>
              <w:ind w:left="360" w:hanging="360"/>
              <w:jc w:val="left"/>
              <w:rPr>
                <w:sz w:val="14"/>
                <w:szCs w:val="14"/>
              </w:rPr>
            </w:pPr>
            <w:r w:rsidRPr="002D5FD9">
              <w:rPr>
                <w:sz w:val="14"/>
                <w:szCs w:val="16"/>
              </w:rPr>
              <w:t>Note: 1</w:t>
            </w:r>
            <w:r>
              <w:rPr>
                <w:sz w:val="14"/>
                <w:szCs w:val="16"/>
              </w:rPr>
              <w:t>.</w:t>
            </w:r>
            <w:r w:rsidRPr="00506260">
              <w:rPr>
                <w:sz w:val="14"/>
                <w:szCs w:val="16"/>
              </w:rPr>
              <w:t xml:space="preserve"> Depository Corporations (DCs) include the data of SBP, Banks, DFIs, MFBs, Deposit Accepting Non Bank Financial Companies and Mo</w:t>
            </w:r>
            <w:r>
              <w:rPr>
                <w:sz w:val="14"/>
                <w:szCs w:val="16"/>
              </w:rPr>
              <w:t>ney Market Mutual Funds (MMMFs)</w:t>
            </w:r>
            <w:r w:rsidRPr="00506260">
              <w:rPr>
                <w:sz w:val="14"/>
                <w:szCs w:val="16"/>
              </w:rPr>
              <w:t>.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w:t>
            </w:r>
            <w:r>
              <w:t xml:space="preserve"> </w:t>
            </w:r>
            <w:r w:rsidRPr="00506260">
              <w:rPr>
                <w:sz w:val="14"/>
                <w:szCs w:val="16"/>
              </w:rPr>
              <w:t>http://www.sbp.org.pk/departments/stats/ntb.htm</w:t>
            </w:r>
          </w:p>
        </w:tc>
      </w:tr>
      <w:tr w:rsidR="003370AC" w:rsidRPr="002D5FD9" w:rsidTr="00506260">
        <w:trPr>
          <w:trHeight w:val="450"/>
          <w:jc w:val="center"/>
        </w:trPr>
        <w:tc>
          <w:tcPr>
            <w:tcW w:w="10584" w:type="dxa"/>
            <w:gridSpan w:val="10"/>
            <w:tcBorders>
              <w:top w:val="nil"/>
              <w:left w:val="nil"/>
              <w:bottom w:val="nil"/>
              <w:right w:val="nil"/>
            </w:tcBorders>
            <w:shd w:val="clear" w:color="auto" w:fill="auto"/>
            <w:vAlign w:val="center"/>
            <w:hideMark/>
          </w:tcPr>
          <w:p w:rsidR="003370AC" w:rsidRPr="005805B6" w:rsidRDefault="00272445" w:rsidP="003370AC">
            <w:pPr>
              <w:ind w:left="360"/>
              <w:jc w:val="left"/>
              <w:rPr>
                <w:sz w:val="14"/>
                <w:szCs w:val="14"/>
              </w:rPr>
            </w:pPr>
            <w:hyperlink r:id="rId11" w:history="1">
              <w:r w:rsidR="003370AC" w:rsidRPr="005805B6">
                <w:rPr>
                  <w:sz w:val="14"/>
                  <w:szCs w:val="14"/>
                </w:rPr>
                <w:t xml:space="preserve">2. </w:t>
              </w:r>
              <w:r w:rsidR="003370AC" w:rsidRPr="00506260">
                <w:rPr>
                  <w:sz w:val="14"/>
                  <w:szCs w:val="14"/>
                </w:rPr>
                <w:t xml:space="preserve"> 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3370AC">
              <w:t xml:space="preserve"> </w:t>
            </w:r>
            <w:r w:rsidR="003370AC" w:rsidRPr="00506260">
              <w:t>www.sbp.org.pk/ecodata/Revision_Monetary_Stats.pdf</w:t>
            </w:r>
          </w:p>
        </w:tc>
      </w:tr>
      <w:tr w:rsidR="003370AC" w:rsidRPr="002D5FD9" w:rsidTr="008F4CFF">
        <w:trPr>
          <w:trHeight w:val="216"/>
          <w:jc w:val="center"/>
        </w:trPr>
        <w:tc>
          <w:tcPr>
            <w:tcW w:w="10584" w:type="dxa"/>
            <w:gridSpan w:val="10"/>
            <w:tcBorders>
              <w:top w:val="nil"/>
              <w:left w:val="nil"/>
              <w:bottom w:val="nil"/>
              <w:right w:val="nil"/>
            </w:tcBorders>
            <w:shd w:val="clear" w:color="auto" w:fill="auto"/>
            <w:vAlign w:val="center"/>
            <w:hideMark/>
          </w:tcPr>
          <w:p w:rsidR="003370AC" w:rsidRDefault="003370AC" w:rsidP="003370AC">
            <w:pPr>
              <w:ind w:left="324"/>
              <w:jc w:val="left"/>
            </w:pPr>
            <w:r>
              <w:t xml:space="preserve">Archive Link:  </w:t>
            </w:r>
            <w:hyperlink r:id="rId12" w:history="1">
              <w:r w:rsidRPr="006434B7">
                <w:rPr>
                  <w:rStyle w:val="Hyperlink"/>
                </w:rPr>
                <w:t>http://www.sbp.org.pk/ecodata/DepositoryArch.xls</w:t>
              </w:r>
            </w:hyperlink>
            <w:r>
              <w:t xml:space="preserve"> </w:t>
            </w:r>
          </w:p>
        </w:tc>
      </w:tr>
    </w:tbl>
    <w:p w:rsidR="00F46CD6" w:rsidRDefault="00F46CD6" w:rsidP="00F46CD6">
      <w:pPr>
        <w:jc w:val="left"/>
        <w:rPr>
          <w:color w:val="auto"/>
        </w:rPr>
      </w:pPr>
    </w:p>
    <w:p w:rsidR="00F46CD6" w:rsidRDefault="00F46CD6" w:rsidP="00F46CD6">
      <w:pPr>
        <w:jc w:val="left"/>
        <w:rPr>
          <w:color w:val="auto"/>
        </w:rPr>
      </w:pPr>
    </w:p>
    <w:p w:rsidR="00506260" w:rsidRPr="00D5469A" w:rsidRDefault="00506260" w:rsidP="0069571C">
      <w:pPr>
        <w:pStyle w:val="Footer"/>
        <w:tabs>
          <w:tab w:val="clear" w:pos="4320"/>
          <w:tab w:val="clear" w:pos="8640"/>
        </w:tabs>
        <w:jc w:val="both"/>
        <w:rPr>
          <w:color w:val="auto"/>
          <w:sz w:val="24"/>
        </w:rPr>
      </w:pPr>
    </w:p>
    <w:tbl>
      <w:tblPr>
        <w:tblW w:w="10400" w:type="dxa"/>
        <w:jc w:val="center"/>
        <w:tblLayout w:type="fixed"/>
        <w:tblLook w:val="04A0"/>
      </w:tblPr>
      <w:tblGrid>
        <w:gridCol w:w="236"/>
        <w:gridCol w:w="3105"/>
        <w:gridCol w:w="847"/>
        <w:gridCol w:w="811"/>
        <w:gridCol w:w="726"/>
        <w:gridCol w:w="721"/>
        <w:gridCol w:w="721"/>
        <w:gridCol w:w="819"/>
        <w:gridCol w:w="813"/>
        <w:gridCol w:w="811"/>
        <w:gridCol w:w="790"/>
      </w:tblGrid>
      <w:tr w:rsidR="009B6E8A" w:rsidRPr="009B6E8A" w:rsidTr="00D82888">
        <w:trPr>
          <w:trHeight w:val="360"/>
          <w:jc w:val="center"/>
        </w:trPr>
        <w:tc>
          <w:tcPr>
            <w:tcW w:w="10400"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D82888">
        <w:trPr>
          <w:trHeight w:hRule="exact" w:val="162"/>
          <w:jc w:val="center"/>
        </w:trPr>
        <w:tc>
          <w:tcPr>
            <w:tcW w:w="10400"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B34EB5" w:rsidRPr="009B6E8A" w:rsidTr="009D025C">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B34EB5" w:rsidRPr="003A4AAC" w:rsidRDefault="00B34EB5" w:rsidP="004E4510">
            <w:pPr>
              <w:rPr>
                <w:b/>
                <w:bCs/>
                <w:color w:val="auto"/>
                <w:szCs w:val="16"/>
              </w:rPr>
            </w:pPr>
            <w:r w:rsidRPr="003A4AAC">
              <w:rPr>
                <w:b/>
                <w:bCs/>
                <w:color w:val="auto"/>
                <w:szCs w:val="16"/>
              </w:rPr>
              <w:t>Components</w:t>
            </w:r>
          </w:p>
        </w:tc>
        <w:tc>
          <w:tcPr>
            <w:tcW w:w="1658"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34EB5" w:rsidRPr="003A4AAC" w:rsidRDefault="00B34EB5"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2987" w:type="dxa"/>
            <w:gridSpan w:val="4"/>
            <w:tcBorders>
              <w:top w:val="single" w:sz="12" w:space="0" w:color="auto"/>
              <w:left w:val="nil"/>
              <w:bottom w:val="single" w:sz="4" w:space="0" w:color="auto"/>
              <w:right w:val="single" w:sz="4" w:space="0" w:color="auto"/>
            </w:tcBorders>
            <w:shd w:val="clear" w:color="auto" w:fill="auto"/>
            <w:vAlign w:val="center"/>
          </w:tcPr>
          <w:p w:rsidR="00B34EB5" w:rsidRPr="009B6E8A" w:rsidRDefault="00B34EB5" w:rsidP="004E4510">
            <w:pPr>
              <w:rPr>
                <w:b/>
                <w:bCs/>
                <w:color w:val="auto"/>
                <w:szCs w:val="16"/>
              </w:rPr>
            </w:pPr>
            <w:r>
              <w:rPr>
                <w:b/>
                <w:bCs/>
                <w:color w:val="auto"/>
                <w:szCs w:val="16"/>
              </w:rPr>
              <w:t>2017</w:t>
            </w:r>
          </w:p>
        </w:tc>
        <w:tc>
          <w:tcPr>
            <w:tcW w:w="2414" w:type="dxa"/>
            <w:gridSpan w:val="3"/>
            <w:tcBorders>
              <w:top w:val="single" w:sz="12" w:space="0" w:color="auto"/>
              <w:left w:val="single" w:sz="4" w:space="0" w:color="auto"/>
              <w:bottom w:val="single" w:sz="4" w:space="0" w:color="auto"/>
              <w:right w:val="nil"/>
            </w:tcBorders>
            <w:shd w:val="clear" w:color="auto" w:fill="auto"/>
            <w:vAlign w:val="center"/>
          </w:tcPr>
          <w:p w:rsidR="00B34EB5" w:rsidRPr="009B6E8A" w:rsidRDefault="00B34EB5" w:rsidP="004E4510">
            <w:pPr>
              <w:rPr>
                <w:b/>
                <w:bCs/>
                <w:color w:val="auto"/>
                <w:szCs w:val="16"/>
              </w:rPr>
            </w:pPr>
            <w:r>
              <w:rPr>
                <w:b/>
                <w:bCs/>
                <w:color w:val="auto"/>
                <w:szCs w:val="16"/>
              </w:rPr>
              <w:t>2018</w:t>
            </w:r>
          </w:p>
        </w:tc>
      </w:tr>
      <w:tr w:rsidR="003370AC" w:rsidRPr="009B6E8A" w:rsidTr="009D025C">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3370AC" w:rsidRPr="009B6E8A" w:rsidRDefault="003370AC" w:rsidP="009C5044">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370AC" w:rsidRPr="006619BF" w:rsidRDefault="003370AC" w:rsidP="00DA49F8">
            <w:pPr>
              <w:jc w:val="right"/>
              <w:rPr>
                <w:b/>
                <w:bCs/>
                <w:color w:val="auto"/>
                <w:sz w:val="14"/>
                <w:szCs w:val="14"/>
              </w:rPr>
            </w:pPr>
            <w:r w:rsidRPr="006619BF">
              <w:rPr>
                <w:b/>
                <w:bCs/>
                <w:color w:val="auto"/>
                <w:sz w:val="14"/>
                <w:szCs w:val="14"/>
              </w:rPr>
              <w:t>FY16</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370AC" w:rsidRPr="006619BF" w:rsidRDefault="003370AC" w:rsidP="009C5044">
            <w:pPr>
              <w:jc w:val="right"/>
              <w:rPr>
                <w:b/>
                <w:bCs/>
                <w:color w:val="auto"/>
                <w:sz w:val="14"/>
                <w:szCs w:val="14"/>
              </w:rPr>
            </w:pPr>
            <w:r w:rsidRPr="006619BF">
              <w:rPr>
                <w:b/>
                <w:bCs/>
                <w:color w:val="auto"/>
                <w:sz w:val="14"/>
                <w:szCs w:val="14"/>
              </w:rPr>
              <w:t>FY17</w:t>
            </w:r>
          </w:p>
        </w:tc>
        <w:tc>
          <w:tcPr>
            <w:tcW w:w="72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370AC" w:rsidRPr="006619BF" w:rsidRDefault="003370AC" w:rsidP="003370AC">
            <w:pPr>
              <w:jc w:val="right"/>
              <w:rPr>
                <w:b/>
                <w:bCs/>
                <w:color w:val="auto"/>
                <w:sz w:val="14"/>
                <w:szCs w:val="14"/>
              </w:rPr>
            </w:pPr>
            <w:r>
              <w:rPr>
                <w:b/>
                <w:bCs/>
                <w:color w:val="auto"/>
                <w:sz w:val="14"/>
                <w:szCs w:val="14"/>
              </w:rPr>
              <w:t>Feb</w:t>
            </w:r>
          </w:p>
        </w:tc>
        <w:tc>
          <w:tcPr>
            <w:tcW w:w="721"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3370AC" w:rsidRPr="006619BF" w:rsidRDefault="003370AC" w:rsidP="009C5044">
            <w:pPr>
              <w:jc w:val="right"/>
              <w:rPr>
                <w:b/>
                <w:bCs/>
                <w:color w:val="auto"/>
                <w:sz w:val="14"/>
                <w:szCs w:val="14"/>
              </w:rPr>
            </w:pPr>
            <w:r>
              <w:rPr>
                <w:b/>
                <w:bCs/>
                <w:color w:val="auto"/>
                <w:sz w:val="14"/>
                <w:szCs w:val="14"/>
              </w:rPr>
              <w:t>Mar</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370AC" w:rsidRPr="006619BF" w:rsidRDefault="003370AC" w:rsidP="003370AC">
            <w:pPr>
              <w:jc w:val="right"/>
              <w:rPr>
                <w:b/>
                <w:bCs/>
                <w:color w:val="auto"/>
                <w:sz w:val="14"/>
                <w:szCs w:val="14"/>
              </w:rPr>
            </w:pPr>
            <w:r w:rsidRPr="006619BF">
              <w:rPr>
                <w:b/>
                <w:bCs/>
                <w:color w:val="auto"/>
                <w:sz w:val="14"/>
                <w:szCs w:val="14"/>
              </w:rPr>
              <w:t>Nov</w:t>
            </w:r>
          </w:p>
        </w:tc>
        <w:tc>
          <w:tcPr>
            <w:tcW w:w="819"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3370AC" w:rsidRPr="006619BF" w:rsidRDefault="003370AC" w:rsidP="003370AC">
            <w:pPr>
              <w:jc w:val="right"/>
              <w:rPr>
                <w:b/>
                <w:bCs/>
                <w:color w:val="auto"/>
                <w:sz w:val="14"/>
                <w:szCs w:val="14"/>
              </w:rPr>
            </w:pPr>
            <w:r>
              <w:rPr>
                <w:b/>
                <w:bCs/>
                <w:color w:val="auto"/>
                <w:sz w:val="14"/>
                <w:szCs w:val="14"/>
              </w:rPr>
              <w:t>Dec</w:t>
            </w:r>
          </w:p>
        </w:tc>
        <w:tc>
          <w:tcPr>
            <w:tcW w:w="813"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370AC" w:rsidRPr="006619BF" w:rsidRDefault="003370AC" w:rsidP="003370AC">
            <w:pPr>
              <w:jc w:val="right"/>
              <w:rPr>
                <w:b/>
                <w:bCs/>
                <w:color w:val="auto"/>
                <w:sz w:val="14"/>
                <w:szCs w:val="14"/>
              </w:rPr>
            </w:pPr>
            <w:r>
              <w:rPr>
                <w:b/>
                <w:bCs/>
                <w:color w:val="auto"/>
                <w:sz w:val="14"/>
                <w:szCs w:val="14"/>
              </w:rPr>
              <w:t>Jan</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3370AC" w:rsidRPr="006619BF" w:rsidRDefault="003370AC" w:rsidP="003370AC">
            <w:pPr>
              <w:jc w:val="right"/>
              <w:rPr>
                <w:b/>
                <w:bCs/>
                <w:color w:val="auto"/>
                <w:sz w:val="14"/>
                <w:szCs w:val="14"/>
              </w:rPr>
            </w:pPr>
            <w:r>
              <w:rPr>
                <w:b/>
                <w:bCs/>
                <w:color w:val="auto"/>
                <w:sz w:val="14"/>
                <w:szCs w:val="14"/>
              </w:rPr>
              <w:t>Feb</w:t>
            </w:r>
          </w:p>
        </w:tc>
        <w:tc>
          <w:tcPr>
            <w:tcW w:w="790" w:type="dxa"/>
            <w:tcBorders>
              <w:top w:val="single" w:sz="4" w:space="0" w:color="auto"/>
              <w:bottom w:val="single" w:sz="12" w:space="0" w:color="auto"/>
              <w:right w:val="nil"/>
            </w:tcBorders>
            <w:shd w:val="clear" w:color="auto" w:fill="auto"/>
            <w:noWrap/>
            <w:tcMar>
              <w:left w:w="43" w:type="dxa"/>
              <w:right w:w="43" w:type="dxa"/>
            </w:tcMar>
            <w:vAlign w:val="center"/>
            <w:hideMark/>
          </w:tcPr>
          <w:p w:rsidR="003370AC" w:rsidRPr="006619BF" w:rsidRDefault="003370AC" w:rsidP="009C5044">
            <w:pPr>
              <w:jc w:val="right"/>
              <w:rPr>
                <w:b/>
                <w:bCs/>
                <w:color w:val="auto"/>
                <w:sz w:val="14"/>
                <w:szCs w:val="14"/>
              </w:rPr>
            </w:pPr>
            <w:r>
              <w:rPr>
                <w:b/>
                <w:bCs/>
                <w:color w:val="auto"/>
                <w:sz w:val="14"/>
                <w:szCs w:val="14"/>
              </w:rPr>
              <w:t xml:space="preserve">Mar </w:t>
            </w:r>
            <w:r w:rsidRPr="003370AC">
              <w:rPr>
                <w:b/>
                <w:bCs/>
                <w:color w:val="auto"/>
                <w:sz w:val="14"/>
                <w:szCs w:val="14"/>
                <w:vertAlign w:val="superscript"/>
              </w:rPr>
              <w:t>P</w:t>
            </w:r>
          </w:p>
        </w:tc>
      </w:tr>
      <w:tr w:rsidR="003370AC" w:rsidRPr="009B6E8A" w:rsidTr="009D025C">
        <w:trPr>
          <w:trHeight w:hRule="exact" w:val="178"/>
          <w:jc w:val="center"/>
        </w:trPr>
        <w:tc>
          <w:tcPr>
            <w:tcW w:w="3341" w:type="dxa"/>
            <w:gridSpan w:val="2"/>
            <w:tcBorders>
              <w:top w:val="nil"/>
              <w:left w:val="nil"/>
              <w:bottom w:val="nil"/>
              <w:right w:val="nil"/>
            </w:tcBorders>
            <w:shd w:val="clear" w:color="auto" w:fill="auto"/>
            <w:noWrap/>
            <w:vAlign w:val="center"/>
            <w:hideMark/>
          </w:tcPr>
          <w:p w:rsidR="003370AC" w:rsidRPr="009B6E8A" w:rsidRDefault="003370AC" w:rsidP="009C5044">
            <w:pPr>
              <w:ind w:firstLineChars="200" w:firstLine="281"/>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3370AC" w:rsidRPr="009B6E8A" w:rsidRDefault="003370AC" w:rsidP="00DA49F8">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3370AC" w:rsidRPr="009B6E8A" w:rsidRDefault="003370AC" w:rsidP="009C5044">
            <w:pPr>
              <w:jc w:val="right"/>
              <w:rPr>
                <w:b/>
                <w:bCs/>
                <w:color w:val="auto"/>
                <w:sz w:val="13"/>
                <w:szCs w:val="13"/>
              </w:rPr>
            </w:pPr>
          </w:p>
        </w:tc>
        <w:tc>
          <w:tcPr>
            <w:tcW w:w="726" w:type="dxa"/>
            <w:tcBorders>
              <w:top w:val="nil"/>
              <w:left w:val="nil"/>
              <w:bottom w:val="nil"/>
              <w:right w:val="nil"/>
            </w:tcBorders>
            <w:shd w:val="clear" w:color="auto" w:fill="auto"/>
            <w:noWrap/>
            <w:tcMar>
              <w:left w:w="43" w:type="dxa"/>
              <w:right w:w="43" w:type="dxa"/>
            </w:tcMar>
            <w:vAlign w:val="center"/>
            <w:hideMark/>
          </w:tcPr>
          <w:p w:rsidR="003370AC" w:rsidRDefault="003370AC" w:rsidP="003370AC">
            <w:pPr>
              <w:jc w:val="right"/>
              <w:rPr>
                <w:b/>
                <w:bCs/>
                <w:sz w:val="13"/>
                <w:szCs w:val="13"/>
              </w:rPr>
            </w:pPr>
          </w:p>
        </w:tc>
        <w:tc>
          <w:tcPr>
            <w:tcW w:w="721" w:type="dxa"/>
            <w:tcBorders>
              <w:top w:val="nil"/>
              <w:left w:val="nil"/>
              <w:bottom w:val="nil"/>
              <w:right w:val="nil"/>
            </w:tcBorders>
            <w:shd w:val="clear" w:color="auto" w:fill="auto"/>
            <w:noWrap/>
            <w:tcMar>
              <w:left w:w="43" w:type="dxa"/>
              <w:right w:w="43" w:type="dxa"/>
            </w:tcMar>
            <w:vAlign w:val="center"/>
            <w:hideMark/>
          </w:tcPr>
          <w:p w:rsidR="003370AC" w:rsidRDefault="003370AC" w:rsidP="009C5044">
            <w:pPr>
              <w:jc w:val="right"/>
              <w:rPr>
                <w:b/>
                <w:bCs/>
                <w:sz w:val="13"/>
                <w:szCs w:val="13"/>
              </w:rPr>
            </w:pPr>
          </w:p>
        </w:tc>
        <w:tc>
          <w:tcPr>
            <w:tcW w:w="721" w:type="dxa"/>
            <w:tcBorders>
              <w:top w:val="nil"/>
              <w:left w:val="nil"/>
              <w:bottom w:val="nil"/>
              <w:right w:val="nil"/>
            </w:tcBorders>
            <w:shd w:val="clear" w:color="auto" w:fill="auto"/>
            <w:tcMar>
              <w:left w:w="43" w:type="dxa"/>
              <w:right w:w="43" w:type="dxa"/>
            </w:tcMar>
            <w:vAlign w:val="center"/>
            <w:hideMark/>
          </w:tcPr>
          <w:p w:rsidR="003370AC" w:rsidRDefault="003370AC" w:rsidP="003370AC">
            <w:pPr>
              <w:jc w:val="right"/>
              <w:rPr>
                <w:b/>
                <w:bCs/>
                <w:sz w:val="13"/>
                <w:szCs w:val="13"/>
              </w:rPr>
            </w:pPr>
          </w:p>
        </w:tc>
        <w:tc>
          <w:tcPr>
            <w:tcW w:w="819" w:type="dxa"/>
            <w:tcBorders>
              <w:top w:val="nil"/>
              <w:left w:val="nil"/>
              <w:bottom w:val="nil"/>
              <w:right w:val="nil"/>
            </w:tcBorders>
            <w:shd w:val="clear" w:color="auto" w:fill="auto"/>
            <w:noWrap/>
            <w:tcMar>
              <w:left w:w="43" w:type="dxa"/>
              <w:right w:w="43" w:type="dxa"/>
            </w:tcMar>
            <w:vAlign w:val="center"/>
            <w:hideMark/>
          </w:tcPr>
          <w:p w:rsidR="003370AC" w:rsidRDefault="003370AC" w:rsidP="003370AC">
            <w:pPr>
              <w:jc w:val="right"/>
              <w:rPr>
                <w:b/>
                <w:bCs/>
                <w:sz w:val="13"/>
                <w:szCs w:val="13"/>
              </w:rPr>
            </w:pPr>
          </w:p>
        </w:tc>
        <w:tc>
          <w:tcPr>
            <w:tcW w:w="813" w:type="dxa"/>
            <w:tcBorders>
              <w:top w:val="nil"/>
              <w:left w:val="nil"/>
              <w:bottom w:val="nil"/>
              <w:right w:val="nil"/>
            </w:tcBorders>
            <w:shd w:val="clear" w:color="auto" w:fill="auto"/>
            <w:noWrap/>
            <w:tcMar>
              <w:left w:w="43" w:type="dxa"/>
              <w:right w:w="43" w:type="dxa"/>
            </w:tcMar>
            <w:vAlign w:val="center"/>
            <w:hideMark/>
          </w:tcPr>
          <w:p w:rsidR="003370AC" w:rsidRDefault="003370AC" w:rsidP="003370AC">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3370AC" w:rsidRDefault="003370AC" w:rsidP="003370AC">
            <w:pPr>
              <w:jc w:val="right"/>
              <w:rPr>
                <w:b/>
                <w:bCs/>
                <w:sz w:val="13"/>
                <w:szCs w:val="13"/>
              </w:rPr>
            </w:pPr>
          </w:p>
        </w:tc>
        <w:tc>
          <w:tcPr>
            <w:tcW w:w="790" w:type="dxa"/>
            <w:tcBorders>
              <w:top w:val="nil"/>
              <w:left w:val="nil"/>
              <w:bottom w:val="nil"/>
              <w:right w:val="nil"/>
            </w:tcBorders>
            <w:shd w:val="clear" w:color="auto" w:fill="auto"/>
            <w:noWrap/>
            <w:tcMar>
              <w:left w:w="43" w:type="dxa"/>
              <w:right w:w="43" w:type="dxa"/>
            </w:tcMar>
            <w:vAlign w:val="center"/>
            <w:hideMark/>
          </w:tcPr>
          <w:p w:rsidR="003370AC" w:rsidRDefault="003370AC" w:rsidP="009C5044">
            <w:pPr>
              <w:jc w:val="right"/>
              <w:rPr>
                <w:b/>
                <w:bCs/>
                <w:sz w:val="13"/>
                <w:szCs w:val="13"/>
              </w:rPr>
            </w:pPr>
          </w:p>
        </w:tc>
      </w:tr>
      <w:tr w:rsidR="009D025C" w:rsidRPr="009B6E8A" w:rsidTr="009D025C">
        <w:trPr>
          <w:trHeight w:hRule="exact" w:val="236"/>
          <w:jc w:val="center"/>
        </w:trPr>
        <w:tc>
          <w:tcPr>
            <w:tcW w:w="3341" w:type="dxa"/>
            <w:gridSpan w:val="2"/>
            <w:tcBorders>
              <w:top w:val="nil"/>
              <w:left w:val="nil"/>
              <w:bottom w:val="nil"/>
              <w:right w:val="nil"/>
            </w:tcBorders>
            <w:shd w:val="clear" w:color="auto" w:fill="auto"/>
            <w:noWrap/>
            <w:vAlign w:val="center"/>
            <w:hideMark/>
          </w:tcPr>
          <w:p w:rsidR="009D025C" w:rsidRDefault="009D025C" w:rsidP="009C5044">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9D025C" w:rsidRPr="008C32C5" w:rsidRDefault="009D025C" w:rsidP="00DA49F8">
            <w:pPr>
              <w:jc w:val="right"/>
              <w:rPr>
                <w:b/>
                <w:bCs/>
                <w:sz w:val="14"/>
                <w:szCs w:val="14"/>
              </w:rPr>
            </w:pPr>
            <w:r w:rsidRPr="008C32C5">
              <w:rPr>
                <w:b/>
                <w:bCs/>
                <w:sz w:val="14"/>
                <w:szCs w:val="14"/>
              </w:rPr>
              <w:t>3,333,784</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DA49F8">
            <w:pPr>
              <w:jc w:val="right"/>
              <w:rPr>
                <w:b/>
                <w:bCs/>
                <w:sz w:val="14"/>
                <w:szCs w:val="14"/>
              </w:rPr>
            </w:pPr>
            <w:r>
              <w:rPr>
                <w:b/>
                <w:bCs/>
                <w:sz w:val="14"/>
                <w:szCs w:val="14"/>
              </w:rPr>
              <w:t>3,911,315</w:t>
            </w:r>
          </w:p>
        </w:tc>
        <w:tc>
          <w:tcPr>
            <w:tcW w:w="726"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3,501,067</w:t>
            </w:r>
          </w:p>
        </w:tc>
        <w:tc>
          <w:tcPr>
            <w:tcW w:w="721"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b/>
                <w:bCs/>
                <w:sz w:val="14"/>
                <w:szCs w:val="14"/>
              </w:rPr>
            </w:pPr>
            <w:r>
              <w:rPr>
                <w:b/>
                <w:bCs/>
                <w:sz w:val="14"/>
                <w:szCs w:val="14"/>
              </w:rPr>
              <w:t>3,484,918</w:t>
            </w:r>
          </w:p>
        </w:tc>
        <w:tc>
          <w:tcPr>
            <w:tcW w:w="721" w:type="dxa"/>
            <w:tcBorders>
              <w:top w:val="nil"/>
              <w:left w:val="nil"/>
              <w:bottom w:val="nil"/>
              <w:right w:val="nil"/>
            </w:tcBorders>
            <w:shd w:val="clear" w:color="auto" w:fill="auto"/>
            <w:tcMar>
              <w:left w:w="43" w:type="dxa"/>
              <w:right w:w="43" w:type="dxa"/>
            </w:tcMar>
            <w:vAlign w:val="center"/>
            <w:hideMark/>
          </w:tcPr>
          <w:p w:rsidR="009D025C" w:rsidRDefault="009D025C" w:rsidP="003370AC">
            <w:pPr>
              <w:jc w:val="right"/>
              <w:rPr>
                <w:b/>
                <w:bCs/>
                <w:sz w:val="14"/>
                <w:szCs w:val="14"/>
              </w:rPr>
            </w:pPr>
            <w:r>
              <w:rPr>
                <w:b/>
                <w:bCs/>
                <w:sz w:val="14"/>
                <w:szCs w:val="14"/>
              </w:rPr>
              <w:t>3,926,868</w:t>
            </w:r>
          </w:p>
        </w:tc>
        <w:tc>
          <w:tcPr>
            <w:tcW w:w="819"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3,926,957</w:t>
            </w:r>
          </w:p>
        </w:tc>
        <w:tc>
          <w:tcPr>
            <w:tcW w:w="813"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3,993,781</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4,053,248</w:t>
            </w:r>
          </w:p>
        </w:tc>
        <w:tc>
          <w:tcPr>
            <w:tcW w:w="790"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b/>
                <w:bCs/>
                <w:sz w:val="14"/>
                <w:szCs w:val="14"/>
              </w:rPr>
            </w:pPr>
            <w:r>
              <w:rPr>
                <w:b/>
                <w:bCs/>
                <w:sz w:val="14"/>
                <w:szCs w:val="14"/>
              </w:rPr>
              <w:t>4,098,603</w:t>
            </w:r>
          </w:p>
        </w:tc>
      </w:tr>
      <w:tr w:rsidR="009D025C" w:rsidRPr="009B6E8A" w:rsidTr="009D025C">
        <w:trPr>
          <w:trHeight w:hRule="exact" w:val="236"/>
          <w:jc w:val="center"/>
        </w:trPr>
        <w:tc>
          <w:tcPr>
            <w:tcW w:w="3341" w:type="dxa"/>
            <w:gridSpan w:val="2"/>
            <w:tcBorders>
              <w:top w:val="nil"/>
              <w:left w:val="nil"/>
              <w:bottom w:val="nil"/>
              <w:right w:val="nil"/>
            </w:tcBorders>
            <w:shd w:val="clear" w:color="auto" w:fill="auto"/>
            <w:noWrap/>
            <w:vAlign w:val="center"/>
            <w:hideMark/>
          </w:tcPr>
          <w:p w:rsidR="009D025C" w:rsidRDefault="009D025C" w:rsidP="009C5044">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9D025C" w:rsidRPr="008C32C5" w:rsidRDefault="009D025C" w:rsidP="00DA49F8">
            <w:pPr>
              <w:jc w:val="right"/>
              <w:rPr>
                <w:b/>
                <w:bCs/>
                <w:sz w:val="14"/>
                <w:szCs w:val="14"/>
              </w:rPr>
            </w:pPr>
            <w:r w:rsidRPr="008C32C5">
              <w:rPr>
                <w:b/>
                <w:bCs/>
                <w:sz w:val="14"/>
                <w:szCs w:val="14"/>
              </w:rPr>
              <w:t>229,331</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DA49F8">
            <w:pPr>
              <w:jc w:val="right"/>
              <w:rPr>
                <w:b/>
                <w:bCs/>
                <w:sz w:val="14"/>
                <w:szCs w:val="14"/>
              </w:rPr>
            </w:pPr>
            <w:r>
              <w:rPr>
                <w:b/>
                <w:bCs/>
                <w:sz w:val="14"/>
                <w:szCs w:val="14"/>
              </w:rPr>
              <w:t>264,627</w:t>
            </w:r>
          </w:p>
        </w:tc>
        <w:tc>
          <w:tcPr>
            <w:tcW w:w="726"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177,172</w:t>
            </w:r>
          </w:p>
        </w:tc>
        <w:tc>
          <w:tcPr>
            <w:tcW w:w="721"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b/>
                <w:bCs/>
                <w:sz w:val="14"/>
                <w:szCs w:val="14"/>
              </w:rPr>
            </w:pPr>
            <w:r>
              <w:rPr>
                <w:b/>
                <w:bCs/>
                <w:sz w:val="14"/>
                <w:szCs w:val="14"/>
              </w:rPr>
              <w:t>196,256</w:t>
            </w:r>
          </w:p>
        </w:tc>
        <w:tc>
          <w:tcPr>
            <w:tcW w:w="721" w:type="dxa"/>
            <w:tcBorders>
              <w:top w:val="nil"/>
              <w:left w:val="nil"/>
              <w:bottom w:val="nil"/>
              <w:right w:val="nil"/>
            </w:tcBorders>
            <w:shd w:val="clear" w:color="auto" w:fill="auto"/>
            <w:tcMar>
              <w:left w:w="43" w:type="dxa"/>
              <w:right w:w="43" w:type="dxa"/>
            </w:tcMar>
            <w:vAlign w:val="center"/>
            <w:hideMark/>
          </w:tcPr>
          <w:p w:rsidR="009D025C" w:rsidRDefault="009D025C" w:rsidP="003370AC">
            <w:pPr>
              <w:jc w:val="right"/>
              <w:rPr>
                <w:b/>
                <w:bCs/>
                <w:sz w:val="14"/>
                <w:szCs w:val="14"/>
              </w:rPr>
            </w:pPr>
            <w:r>
              <w:rPr>
                <w:b/>
                <w:bCs/>
                <w:sz w:val="14"/>
                <w:szCs w:val="14"/>
              </w:rPr>
              <w:t>203,646</w:t>
            </w:r>
          </w:p>
        </w:tc>
        <w:tc>
          <w:tcPr>
            <w:tcW w:w="819"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201,307</w:t>
            </w:r>
          </w:p>
        </w:tc>
        <w:tc>
          <w:tcPr>
            <w:tcW w:w="813"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204,511</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202,153</w:t>
            </w:r>
          </w:p>
        </w:tc>
        <w:tc>
          <w:tcPr>
            <w:tcW w:w="790"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b/>
                <w:bCs/>
                <w:sz w:val="14"/>
                <w:szCs w:val="14"/>
              </w:rPr>
            </w:pPr>
            <w:r>
              <w:rPr>
                <w:b/>
                <w:bCs/>
                <w:sz w:val="14"/>
                <w:szCs w:val="14"/>
              </w:rPr>
              <w:t>197,485</w:t>
            </w:r>
          </w:p>
        </w:tc>
      </w:tr>
      <w:tr w:rsidR="009D025C" w:rsidRPr="009B6E8A" w:rsidTr="009D025C">
        <w:trPr>
          <w:trHeight w:hRule="exact" w:val="236"/>
          <w:jc w:val="center"/>
        </w:trPr>
        <w:tc>
          <w:tcPr>
            <w:tcW w:w="3341" w:type="dxa"/>
            <w:gridSpan w:val="2"/>
            <w:tcBorders>
              <w:top w:val="nil"/>
              <w:left w:val="nil"/>
              <w:bottom w:val="nil"/>
              <w:right w:val="nil"/>
            </w:tcBorders>
            <w:shd w:val="clear" w:color="auto" w:fill="auto"/>
            <w:noWrap/>
            <w:vAlign w:val="center"/>
            <w:hideMark/>
          </w:tcPr>
          <w:p w:rsidR="009D025C" w:rsidRDefault="009D025C" w:rsidP="009C5044">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9D025C" w:rsidRPr="008C32C5" w:rsidRDefault="009D025C" w:rsidP="00DA49F8">
            <w:pPr>
              <w:jc w:val="right"/>
              <w:rPr>
                <w:b/>
                <w:bCs/>
                <w:sz w:val="14"/>
                <w:szCs w:val="14"/>
              </w:rPr>
            </w:pPr>
            <w:r w:rsidRPr="008C32C5">
              <w:rPr>
                <w:b/>
                <w:bCs/>
                <w:sz w:val="14"/>
                <w:szCs w:val="14"/>
              </w:rPr>
              <w:t>18,756</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DA49F8">
            <w:pPr>
              <w:jc w:val="right"/>
              <w:rPr>
                <w:b/>
                <w:bCs/>
                <w:sz w:val="14"/>
                <w:szCs w:val="14"/>
              </w:rPr>
            </w:pPr>
            <w:r>
              <w:rPr>
                <w:b/>
                <w:bCs/>
                <w:sz w:val="14"/>
                <w:szCs w:val="14"/>
              </w:rPr>
              <w:t>22,692</w:t>
            </w:r>
          </w:p>
        </w:tc>
        <w:tc>
          <w:tcPr>
            <w:tcW w:w="726"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18,769</w:t>
            </w:r>
          </w:p>
        </w:tc>
        <w:tc>
          <w:tcPr>
            <w:tcW w:w="721"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b/>
                <w:bCs/>
                <w:sz w:val="14"/>
                <w:szCs w:val="14"/>
              </w:rPr>
            </w:pPr>
            <w:r>
              <w:rPr>
                <w:b/>
                <w:bCs/>
                <w:sz w:val="14"/>
                <w:szCs w:val="14"/>
              </w:rPr>
              <w:t>18,818</w:t>
            </w:r>
          </w:p>
        </w:tc>
        <w:tc>
          <w:tcPr>
            <w:tcW w:w="721" w:type="dxa"/>
            <w:tcBorders>
              <w:top w:val="nil"/>
              <w:left w:val="nil"/>
              <w:bottom w:val="nil"/>
              <w:right w:val="nil"/>
            </w:tcBorders>
            <w:shd w:val="clear" w:color="auto" w:fill="auto"/>
            <w:tcMar>
              <w:left w:w="43" w:type="dxa"/>
              <w:right w:w="43" w:type="dxa"/>
            </w:tcMar>
            <w:vAlign w:val="center"/>
            <w:hideMark/>
          </w:tcPr>
          <w:p w:rsidR="009D025C" w:rsidRDefault="009D025C" w:rsidP="003370AC">
            <w:pPr>
              <w:jc w:val="right"/>
              <w:rPr>
                <w:b/>
                <w:bCs/>
                <w:sz w:val="14"/>
                <w:szCs w:val="14"/>
              </w:rPr>
            </w:pPr>
            <w:r>
              <w:rPr>
                <w:b/>
                <w:bCs/>
                <w:sz w:val="14"/>
                <w:szCs w:val="14"/>
              </w:rPr>
              <w:t>22,581</w:t>
            </w:r>
          </w:p>
        </w:tc>
        <w:tc>
          <w:tcPr>
            <w:tcW w:w="819"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22,624</w:t>
            </w:r>
          </w:p>
        </w:tc>
        <w:tc>
          <w:tcPr>
            <w:tcW w:w="813"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22,914</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22,737</w:t>
            </w:r>
          </w:p>
        </w:tc>
        <w:tc>
          <w:tcPr>
            <w:tcW w:w="790"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b/>
                <w:bCs/>
                <w:sz w:val="14"/>
                <w:szCs w:val="14"/>
              </w:rPr>
            </w:pPr>
            <w:r>
              <w:rPr>
                <w:b/>
                <w:bCs/>
                <w:sz w:val="14"/>
                <w:szCs w:val="14"/>
              </w:rPr>
              <w:t>22,983</w:t>
            </w:r>
          </w:p>
        </w:tc>
      </w:tr>
      <w:tr w:rsidR="009D025C" w:rsidRPr="009B6E8A" w:rsidTr="009D025C">
        <w:trPr>
          <w:trHeight w:hRule="exact" w:val="236"/>
          <w:jc w:val="center"/>
        </w:trPr>
        <w:tc>
          <w:tcPr>
            <w:tcW w:w="3341" w:type="dxa"/>
            <w:gridSpan w:val="2"/>
            <w:tcBorders>
              <w:top w:val="nil"/>
              <w:left w:val="nil"/>
              <w:bottom w:val="nil"/>
              <w:right w:val="nil"/>
            </w:tcBorders>
            <w:shd w:val="clear" w:color="auto" w:fill="auto"/>
            <w:noWrap/>
            <w:vAlign w:val="center"/>
            <w:hideMark/>
          </w:tcPr>
          <w:p w:rsidR="009D025C" w:rsidRDefault="009D025C" w:rsidP="009C5044">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9D025C" w:rsidRPr="008C32C5" w:rsidRDefault="009D025C" w:rsidP="00DA49F8">
            <w:pPr>
              <w:jc w:val="right"/>
              <w:rPr>
                <w:b/>
                <w:bCs/>
                <w:sz w:val="14"/>
                <w:szCs w:val="14"/>
              </w:rPr>
            </w:pPr>
            <w:r w:rsidRPr="008C32C5">
              <w:rPr>
                <w:b/>
                <w:bCs/>
                <w:sz w:val="14"/>
                <w:szCs w:val="14"/>
              </w:rPr>
              <w:t>391,760</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DA49F8">
            <w:pPr>
              <w:jc w:val="right"/>
              <w:rPr>
                <w:b/>
                <w:bCs/>
                <w:sz w:val="14"/>
                <w:szCs w:val="14"/>
              </w:rPr>
            </w:pPr>
            <w:r>
              <w:rPr>
                <w:b/>
                <w:bCs/>
                <w:sz w:val="14"/>
                <w:szCs w:val="14"/>
              </w:rPr>
              <w:t>669,338</w:t>
            </w:r>
          </w:p>
        </w:tc>
        <w:tc>
          <w:tcPr>
            <w:tcW w:w="726"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558,440</w:t>
            </w:r>
          </w:p>
        </w:tc>
        <w:tc>
          <w:tcPr>
            <w:tcW w:w="721"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b/>
                <w:bCs/>
                <w:sz w:val="14"/>
                <w:szCs w:val="14"/>
              </w:rPr>
            </w:pPr>
            <w:r>
              <w:rPr>
                <w:b/>
                <w:bCs/>
                <w:sz w:val="14"/>
                <w:szCs w:val="14"/>
              </w:rPr>
              <w:t>587,977</w:t>
            </w:r>
          </w:p>
        </w:tc>
        <w:tc>
          <w:tcPr>
            <w:tcW w:w="721" w:type="dxa"/>
            <w:tcBorders>
              <w:top w:val="nil"/>
              <w:left w:val="nil"/>
              <w:bottom w:val="nil"/>
              <w:right w:val="nil"/>
            </w:tcBorders>
            <w:shd w:val="clear" w:color="auto" w:fill="auto"/>
            <w:tcMar>
              <w:left w:w="43" w:type="dxa"/>
              <w:right w:w="43" w:type="dxa"/>
            </w:tcMar>
            <w:vAlign w:val="center"/>
            <w:hideMark/>
          </w:tcPr>
          <w:p w:rsidR="009D025C" w:rsidRDefault="009D025C" w:rsidP="003370AC">
            <w:pPr>
              <w:jc w:val="right"/>
              <w:rPr>
                <w:b/>
                <w:bCs/>
                <w:sz w:val="14"/>
                <w:szCs w:val="14"/>
              </w:rPr>
            </w:pPr>
            <w:r>
              <w:rPr>
                <w:b/>
                <w:bCs/>
                <w:sz w:val="14"/>
                <w:szCs w:val="14"/>
              </w:rPr>
              <w:t>666,054</w:t>
            </w:r>
          </w:p>
        </w:tc>
        <w:tc>
          <w:tcPr>
            <w:tcW w:w="819"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733,921</w:t>
            </w:r>
          </w:p>
        </w:tc>
        <w:tc>
          <w:tcPr>
            <w:tcW w:w="813"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714,907</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674,214</w:t>
            </w:r>
          </w:p>
        </w:tc>
        <w:tc>
          <w:tcPr>
            <w:tcW w:w="790"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b/>
                <w:bCs/>
                <w:sz w:val="14"/>
                <w:szCs w:val="14"/>
              </w:rPr>
            </w:pPr>
            <w:r>
              <w:rPr>
                <w:b/>
                <w:bCs/>
                <w:sz w:val="14"/>
                <w:szCs w:val="14"/>
              </w:rPr>
              <w:t>747,299</w:t>
            </w:r>
          </w:p>
        </w:tc>
      </w:tr>
      <w:tr w:rsidR="009D025C" w:rsidRPr="009B6E8A" w:rsidTr="009D025C">
        <w:trPr>
          <w:trHeight w:hRule="exact" w:val="236"/>
          <w:jc w:val="center"/>
        </w:trPr>
        <w:tc>
          <w:tcPr>
            <w:tcW w:w="3341" w:type="dxa"/>
            <w:gridSpan w:val="2"/>
            <w:tcBorders>
              <w:top w:val="nil"/>
              <w:left w:val="nil"/>
              <w:bottom w:val="nil"/>
              <w:right w:val="nil"/>
            </w:tcBorders>
            <w:shd w:val="clear" w:color="auto" w:fill="auto"/>
            <w:noWrap/>
            <w:vAlign w:val="center"/>
            <w:hideMark/>
          </w:tcPr>
          <w:p w:rsidR="009D025C" w:rsidRDefault="009D025C" w:rsidP="009C5044">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9D025C" w:rsidRPr="008C32C5" w:rsidRDefault="009D025C" w:rsidP="00DA49F8">
            <w:pPr>
              <w:jc w:val="right"/>
              <w:rPr>
                <w:b/>
                <w:bCs/>
                <w:sz w:val="14"/>
                <w:szCs w:val="14"/>
              </w:rPr>
            </w:pPr>
            <w:r w:rsidRPr="008C32C5">
              <w:rPr>
                <w:b/>
                <w:bCs/>
                <w:sz w:val="14"/>
                <w:szCs w:val="14"/>
              </w:rPr>
              <w:t>3,973,631</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DA49F8">
            <w:pPr>
              <w:jc w:val="right"/>
              <w:rPr>
                <w:b/>
                <w:bCs/>
                <w:sz w:val="14"/>
                <w:szCs w:val="14"/>
              </w:rPr>
            </w:pPr>
            <w:r>
              <w:rPr>
                <w:b/>
                <w:bCs/>
                <w:sz w:val="14"/>
                <w:szCs w:val="14"/>
              </w:rPr>
              <w:t>4,867,971</w:t>
            </w:r>
          </w:p>
        </w:tc>
        <w:tc>
          <w:tcPr>
            <w:tcW w:w="726"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4,255,447</w:t>
            </w:r>
          </w:p>
        </w:tc>
        <w:tc>
          <w:tcPr>
            <w:tcW w:w="721"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b/>
                <w:bCs/>
                <w:sz w:val="14"/>
                <w:szCs w:val="14"/>
              </w:rPr>
            </w:pPr>
            <w:r>
              <w:rPr>
                <w:b/>
                <w:bCs/>
                <w:sz w:val="14"/>
                <w:szCs w:val="14"/>
              </w:rPr>
              <w:t>4,287,969</w:t>
            </w:r>
          </w:p>
        </w:tc>
        <w:tc>
          <w:tcPr>
            <w:tcW w:w="721" w:type="dxa"/>
            <w:tcBorders>
              <w:top w:val="nil"/>
              <w:left w:val="nil"/>
              <w:bottom w:val="nil"/>
              <w:right w:val="nil"/>
            </w:tcBorders>
            <w:shd w:val="clear" w:color="auto" w:fill="auto"/>
            <w:tcMar>
              <w:left w:w="43" w:type="dxa"/>
              <w:right w:w="43" w:type="dxa"/>
            </w:tcMar>
            <w:vAlign w:val="center"/>
            <w:hideMark/>
          </w:tcPr>
          <w:p w:rsidR="009D025C" w:rsidRDefault="009D025C" w:rsidP="003370AC">
            <w:pPr>
              <w:jc w:val="right"/>
              <w:rPr>
                <w:b/>
                <w:bCs/>
                <w:sz w:val="14"/>
                <w:szCs w:val="14"/>
              </w:rPr>
            </w:pPr>
            <w:r>
              <w:rPr>
                <w:b/>
                <w:bCs/>
                <w:sz w:val="14"/>
                <w:szCs w:val="14"/>
              </w:rPr>
              <w:t>4,819,150</w:t>
            </w:r>
          </w:p>
        </w:tc>
        <w:tc>
          <w:tcPr>
            <w:tcW w:w="819"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4,884,808</w:t>
            </w:r>
          </w:p>
        </w:tc>
        <w:tc>
          <w:tcPr>
            <w:tcW w:w="813"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4,936,114</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4,952,351</w:t>
            </w:r>
          </w:p>
        </w:tc>
        <w:tc>
          <w:tcPr>
            <w:tcW w:w="790"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b/>
                <w:bCs/>
                <w:sz w:val="14"/>
                <w:szCs w:val="14"/>
              </w:rPr>
            </w:pPr>
            <w:r>
              <w:rPr>
                <w:b/>
                <w:bCs/>
                <w:sz w:val="14"/>
                <w:szCs w:val="14"/>
              </w:rPr>
              <w:t>5,066,370</w:t>
            </w:r>
          </w:p>
        </w:tc>
      </w:tr>
      <w:tr w:rsidR="009D025C" w:rsidRPr="009B6E8A" w:rsidTr="009D025C">
        <w:trPr>
          <w:trHeight w:hRule="exact" w:val="236"/>
          <w:jc w:val="center"/>
        </w:trPr>
        <w:tc>
          <w:tcPr>
            <w:tcW w:w="3341" w:type="dxa"/>
            <w:gridSpan w:val="2"/>
            <w:tcBorders>
              <w:top w:val="nil"/>
              <w:left w:val="nil"/>
              <w:bottom w:val="nil"/>
              <w:right w:val="nil"/>
            </w:tcBorders>
            <w:shd w:val="clear" w:color="auto" w:fill="auto"/>
            <w:noWrap/>
            <w:vAlign w:val="center"/>
            <w:hideMark/>
          </w:tcPr>
          <w:p w:rsidR="009D025C" w:rsidRDefault="009D025C" w:rsidP="009C5044">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9D025C" w:rsidRPr="008C32C5" w:rsidRDefault="009D025C" w:rsidP="00DA49F8">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DA49F8">
            <w:pPr>
              <w:jc w:val="right"/>
              <w:rPr>
                <w:sz w:val="20"/>
              </w:rPr>
            </w:pPr>
          </w:p>
        </w:tc>
        <w:tc>
          <w:tcPr>
            <w:tcW w:w="726"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20"/>
              </w:rPr>
            </w:pPr>
          </w:p>
        </w:tc>
        <w:tc>
          <w:tcPr>
            <w:tcW w:w="721"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20"/>
              </w:rPr>
            </w:pPr>
          </w:p>
        </w:tc>
        <w:tc>
          <w:tcPr>
            <w:tcW w:w="721" w:type="dxa"/>
            <w:tcBorders>
              <w:top w:val="nil"/>
              <w:left w:val="nil"/>
              <w:bottom w:val="nil"/>
              <w:right w:val="nil"/>
            </w:tcBorders>
            <w:shd w:val="clear" w:color="auto" w:fill="auto"/>
            <w:tcMar>
              <w:left w:w="43" w:type="dxa"/>
              <w:right w:w="43" w:type="dxa"/>
            </w:tcMar>
            <w:vAlign w:val="center"/>
            <w:hideMark/>
          </w:tcPr>
          <w:p w:rsidR="009D025C" w:rsidRDefault="009D025C" w:rsidP="003370AC">
            <w:pPr>
              <w:jc w:val="right"/>
              <w:rPr>
                <w:b/>
                <w:bCs/>
                <w:sz w:val="14"/>
                <w:szCs w:val="14"/>
              </w:rPr>
            </w:pPr>
          </w:p>
        </w:tc>
        <w:tc>
          <w:tcPr>
            <w:tcW w:w="819"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20"/>
              </w:rPr>
            </w:pPr>
          </w:p>
        </w:tc>
        <w:tc>
          <w:tcPr>
            <w:tcW w:w="813"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20"/>
              </w:rPr>
            </w:pP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20"/>
              </w:rPr>
            </w:pPr>
          </w:p>
        </w:tc>
        <w:tc>
          <w:tcPr>
            <w:tcW w:w="790"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20"/>
              </w:rPr>
            </w:pPr>
          </w:p>
        </w:tc>
      </w:tr>
      <w:tr w:rsidR="009D025C" w:rsidRPr="009B6E8A" w:rsidTr="009D025C">
        <w:trPr>
          <w:trHeight w:hRule="exact" w:val="236"/>
          <w:jc w:val="center"/>
        </w:trPr>
        <w:tc>
          <w:tcPr>
            <w:tcW w:w="3341" w:type="dxa"/>
            <w:gridSpan w:val="2"/>
            <w:tcBorders>
              <w:top w:val="nil"/>
              <w:left w:val="nil"/>
              <w:bottom w:val="nil"/>
              <w:right w:val="nil"/>
            </w:tcBorders>
            <w:shd w:val="clear" w:color="auto" w:fill="auto"/>
            <w:noWrap/>
            <w:vAlign w:val="center"/>
            <w:hideMark/>
          </w:tcPr>
          <w:p w:rsidR="009D025C" w:rsidRDefault="009D025C" w:rsidP="009C5044">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9D025C" w:rsidRPr="008C32C5" w:rsidRDefault="009D025C" w:rsidP="00DA49F8">
            <w:pPr>
              <w:jc w:val="right"/>
              <w:rPr>
                <w:b/>
                <w:bCs/>
                <w:sz w:val="14"/>
                <w:szCs w:val="14"/>
              </w:rPr>
            </w:pPr>
            <w:r w:rsidRPr="008C32C5">
              <w:rPr>
                <w:b/>
                <w:bCs/>
                <w:sz w:val="14"/>
                <w:szCs w:val="14"/>
              </w:rPr>
              <w:t>1,033,016</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DA49F8">
            <w:pPr>
              <w:jc w:val="right"/>
              <w:rPr>
                <w:b/>
                <w:bCs/>
                <w:sz w:val="14"/>
                <w:szCs w:val="14"/>
              </w:rPr>
            </w:pPr>
            <w:r>
              <w:rPr>
                <w:b/>
                <w:bCs/>
                <w:sz w:val="14"/>
                <w:szCs w:val="14"/>
              </w:rPr>
              <w:t>828,923</w:t>
            </w:r>
          </w:p>
        </w:tc>
        <w:tc>
          <w:tcPr>
            <w:tcW w:w="726"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918,173</w:t>
            </w:r>
          </w:p>
        </w:tc>
        <w:tc>
          <w:tcPr>
            <w:tcW w:w="721"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b/>
                <w:bCs/>
                <w:sz w:val="14"/>
                <w:szCs w:val="14"/>
              </w:rPr>
            </w:pPr>
            <w:r>
              <w:rPr>
                <w:b/>
                <w:bCs/>
                <w:sz w:val="14"/>
                <w:szCs w:val="14"/>
              </w:rPr>
              <w:t>877,860</w:t>
            </w:r>
          </w:p>
        </w:tc>
        <w:tc>
          <w:tcPr>
            <w:tcW w:w="721" w:type="dxa"/>
            <w:tcBorders>
              <w:top w:val="nil"/>
              <w:left w:val="nil"/>
              <w:bottom w:val="nil"/>
              <w:right w:val="nil"/>
            </w:tcBorders>
            <w:shd w:val="clear" w:color="auto" w:fill="auto"/>
            <w:tcMar>
              <w:left w:w="43" w:type="dxa"/>
              <w:right w:w="43" w:type="dxa"/>
            </w:tcMar>
            <w:vAlign w:val="center"/>
            <w:hideMark/>
          </w:tcPr>
          <w:p w:rsidR="009D025C" w:rsidRDefault="009D025C" w:rsidP="003370AC">
            <w:pPr>
              <w:jc w:val="right"/>
              <w:rPr>
                <w:b/>
                <w:bCs/>
                <w:sz w:val="14"/>
                <w:szCs w:val="14"/>
              </w:rPr>
            </w:pPr>
            <w:r>
              <w:rPr>
                <w:b/>
                <w:bCs/>
                <w:sz w:val="14"/>
                <w:szCs w:val="14"/>
              </w:rPr>
              <w:t>571,534</w:t>
            </w:r>
          </w:p>
        </w:tc>
        <w:tc>
          <w:tcPr>
            <w:tcW w:w="819"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642,399</w:t>
            </w:r>
          </w:p>
        </w:tc>
        <w:tc>
          <w:tcPr>
            <w:tcW w:w="813"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543,853</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430,973</w:t>
            </w:r>
          </w:p>
        </w:tc>
        <w:tc>
          <w:tcPr>
            <w:tcW w:w="790"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b/>
                <w:bCs/>
                <w:sz w:val="14"/>
                <w:szCs w:val="14"/>
              </w:rPr>
            </w:pPr>
            <w:r>
              <w:rPr>
                <w:b/>
                <w:bCs/>
                <w:sz w:val="14"/>
                <w:szCs w:val="14"/>
              </w:rPr>
              <w:t>364,599</w:t>
            </w:r>
          </w:p>
        </w:tc>
      </w:tr>
      <w:tr w:rsidR="009D025C" w:rsidRPr="009B6E8A" w:rsidTr="009D025C">
        <w:trPr>
          <w:trHeight w:hRule="exact" w:val="236"/>
          <w:jc w:val="center"/>
        </w:trPr>
        <w:tc>
          <w:tcPr>
            <w:tcW w:w="3341" w:type="dxa"/>
            <w:gridSpan w:val="2"/>
            <w:tcBorders>
              <w:top w:val="nil"/>
              <w:left w:val="nil"/>
              <w:bottom w:val="nil"/>
              <w:right w:val="nil"/>
            </w:tcBorders>
            <w:shd w:val="clear" w:color="auto" w:fill="auto"/>
            <w:noWrap/>
            <w:vAlign w:val="center"/>
            <w:hideMark/>
          </w:tcPr>
          <w:p w:rsidR="009D025C" w:rsidRDefault="009D025C" w:rsidP="009C5044">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9D025C" w:rsidRPr="008C32C5" w:rsidRDefault="009D025C" w:rsidP="00DA49F8">
            <w:pPr>
              <w:jc w:val="right"/>
              <w:rPr>
                <w:b/>
                <w:bCs/>
                <w:sz w:val="14"/>
                <w:szCs w:val="14"/>
              </w:rPr>
            </w:pPr>
            <w:r w:rsidRPr="008C32C5">
              <w:rPr>
                <w:b/>
                <w:bCs/>
                <w:sz w:val="14"/>
                <w:szCs w:val="14"/>
              </w:rPr>
              <w:t>2,940,615</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DA49F8">
            <w:pPr>
              <w:jc w:val="right"/>
              <w:rPr>
                <w:b/>
                <w:bCs/>
                <w:sz w:val="14"/>
                <w:szCs w:val="14"/>
              </w:rPr>
            </w:pPr>
            <w:r>
              <w:rPr>
                <w:b/>
                <w:bCs/>
                <w:sz w:val="14"/>
                <w:szCs w:val="14"/>
              </w:rPr>
              <w:t>4,039,049</w:t>
            </w:r>
          </w:p>
        </w:tc>
        <w:tc>
          <w:tcPr>
            <w:tcW w:w="726"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3,337,275</w:t>
            </w:r>
          </w:p>
        </w:tc>
        <w:tc>
          <w:tcPr>
            <w:tcW w:w="721"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b/>
                <w:bCs/>
                <w:sz w:val="14"/>
                <w:szCs w:val="14"/>
              </w:rPr>
            </w:pPr>
            <w:r>
              <w:rPr>
                <w:b/>
                <w:bCs/>
                <w:sz w:val="14"/>
                <w:szCs w:val="14"/>
              </w:rPr>
              <w:t>3,410,108</w:t>
            </w:r>
          </w:p>
        </w:tc>
        <w:tc>
          <w:tcPr>
            <w:tcW w:w="721" w:type="dxa"/>
            <w:tcBorders>
              <w:top w:val="nil"/>
              <w:left w:val="nil"/>
              <w:bottom w:val="nil"/>
              <w:right w:val="nil"/>
            </w:tcBorders>
            <w:shd w:val="clear" w:color="auto" w:fill="auto"/>
            <w:tcMar>
              <w:left w:w="43" w:type="dxa"/>
              <w:right w:w="43" w:type="dxa"/>
            </w:tcMar>
            <w:vAlign w:val="center"/>
            <w:hideMark/>
          </w:tcPr>
          <w:p w:rsidR="009D025C" w:rsidRDefault="009D025C" w:rsidP="003370AC">
            <w:pPr>
              <w:jc w:val="right"/>
              <w:rPr>
                <w:b/>
                <w:bCs/>
                <w:sz w:val="14"/>
                <w:szCs w:val="14"/>
              </w:rPr>
            </w:pPr>
            <w:r>
              <w:rPr>
                <w:b/>
                <w:bCs/>
                <w:sz w:val="14"/>
                <w:szCs w:val="14"/>
              </w:rPr>
              <w:t>4,247,616</w:t>
            </w:r>
          </w:p>
        </w:tc>
        <w:tc>
          <w:tcPr>
            <w:tcW w:w="819"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4,242,409</w:t>
            </w:r>
          </w:p>
        </w:tc>
        <w:tc>
          <w:tcPr>
            <w:tcW w:w="813"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4,392,261</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4,521,378</w:t>
            </w:r>
          </w:p>
        </w:tc>
        <w:tc>
          <w:tcPr>
            <w:tcW w:w="790"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b/>
                <w:bCs/>
                <w:sz w:val="14"/>
                <w:szCs w:val="14"/>
              </w:rPr>
            </w:pPr>
            <w:r>
              <w:rPr>
                <w:b/>
                <w:bCs/>
                <w:sz w:val="14"/>
                <w:szCs w:val="14"/>
              </w:rPr>
              <w:t>4,701,771</w:t>
            </w:r>
          </w:p>
        </w:tc>
      </w:tr>
      <w:tr w:rsidR="009D025C" w:rsidRPr="009B6E8A" w:rsidTr="009D025C">
        <w:trPr>
          <w:trHeight w:hRule="exact" w:val="236"/>
          <w:jc w:val="center"/>
        </w:trPr>
        <w:tc>
          <w:tcPr>
            <w:tcW w:w="3341" w:type="dxa"/>
            <w:gridSpan w:val="2"/>
            <w:tcBorders>
              <w:top w:val="nil"/>
              <w:left w:val="nil"/>
              <w:bottom w:val="nil"/>
              <w:right w:val="nil"/>
            </w:tcBorders>
            <w:shd w:val="clear" w:color="auto" w:fill="auto"/>
            <w:noWrap/>
            <w:vAlign w:val="center"/>
            <w:hideMark/>
          </w:tcPr>
          <w:p w:rsidR="009D025C" w:rsidRDefault="009D025C" w:rsidP="009C5044">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9D025C" w:rsidRPr="008C32C5" w:rsidRDefault="009D025C" w:rsidP="00DA49F8">
            <w:pPr>
              <w:jc w:val="right"/>
              <w:rPr>
                <w:b/>
                <w:bCs/>
                <w:sz w:val="14"/>
                <w:szCs w:val="14"/>
              </w:rPr>
            </w:pPr>
            <w:r w:rsidRPr="008C32C5">
              <w:rPr>
                <w:b/>
                <w:bCs/>
                <w:sz w:val="14"/>
                <w:szCs w:val="14"/>
              </w:rPr>
              <w:t>1,430,400</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DA49F8">
            <w:pPr>
              <w:jc w:val="right"/>
              <w:rPr>
                <w:b/>
                <w:bCs/>
                <w:sz w:val="14"/>
                <w:szCs w:val="14"/>
              </w:rPr>
            </w:pPr>
            <w:r>
              <w:rPr>
                <w:b/>
                <w:bCs/>
                <w:sz w:val="14"/>
                <w:szCs w:val="14"/>
              </w:rPr>
              <w:t>2,337,124</w:t>
            </w:r>
          </w:p>
        </w:tc>
        <w:tc>
          <w:tcPr>
            <w:tcW w:w="726"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2,383,846</w:t>
            </w:r>
          </w:p>
        </w:tc>
        <w:tc>
          <w:tcPr>
            <w:tcW w:w="721"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b/>
                <w:bCs/>
                <w:sz w:val="14"/>
                <w:szCs w:val="14"/>
              </w:rPr>
            </w:pPr>
            <w:r>
              <w:rPr>
                <w:b/>
                <w:bCs/>
                <w:sz w:val="14"/>
                <w:szCs w:val="14"/>
              </w:rPr>
              <w:t>2,234,585</w:t>
            </w:r>
          </w:p>
        </w:tc>
        <w:tc>
          <w:tcPr>
            <w:tcW w:w="721" w:type="dxa"/>
            <w:tcBorders>
              <w:top w:val="nil"/>
              <w:left w:val="nil"/>
              <w:bottom w:val="nil"/>
              <w:right w:val="nil"/>
            </w:tcBorders>
            <w:shd w:val="clear" w:color="auto" w:fill="auto"/>
            <w:tcMar>
              <w:left w:w="43" w:type="dxa"/>
              <w:right w:w="43" w:type="dxa"/>
            </w:tcMar>
            <w:vAlign w:val="center"/>
            <w:hideMark/>
          </w:tcPr>
          <w:p w:rsidR="009D025C" w:rsidRDefault="009D025C" w:rsidP="003370AC">
            <w:pPr>
              <w:jc w:val="right"/>
              <w:rPr>
                <w:b/>
                <w:bCs/>
                <w:sz w:val="14"/>
                <w:szCs w:val="14"/>
              </w:rPr>
            </w:pPr>
            <w:r>
              <w:rPr>
                <w:b/>
                <w:bCs/>
                <w:sz w:val="14"/>
                <w:szCs w:val="14"/>
              </w:rPr>
              <w:t>2,455,385</w:t>
            </w:r>
          </w:p>
        </w:tc>
        <w:tc>
          <w:tcPr>
            <w:tcW w:w="819"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2,336,355</w:t>
            </w:r>
          </w:p>
        </w:tc>
        <w:tc>
          <w:tcPr>
            <w:tcW w:w="813"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3,241,700</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2,777,205</w:t>
            </w:r>
          </w:p>
        </w:tc>
        <w:tc>
          <w:tcPr>
            <w:tcW w:w="790"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b/>
                <w:bCs/>
                <w:sz w:val="14"/>
                <w:szCs w:val="14"/>
              </w:rPr>
            </w:pPr>
            <w:r>
              <w:rPr>
                <w:b/>
                <w:bCs/>
                <w:sz w:val="14"/>
                <w:szCs w:val="14"/>
              </w:rPr>
              <w:t>4,502,969</w:t>
            </w:r>
          </w:p>
        </w:tc>
      </w:tr>
      <w:tr w:rsidR="009D025C" w:rsidRPr="009B6E8A" w:rsidTr="009D025C">
        <w:trPr>
          <w:trHeight w:hRule="exact" w:val="236"/>
          <w:jc w:val="center"/>
        </w:trPr>
        <w:tc>
          <w:tcPr>
            <w:tcW w:w="3341" w:type="dxa"/>
            <w:gridSpan w:val="2"/>
            <w:tcBorders>
              <w:top w:val="nil"/>
              <w:left w:val="nil"/>
              <w:bottom w:val="nil"/>
              <w:right w:val="nil"/>
            </w:tcBorders>
            <w:shd w:val="clear" w:color="auto" w:fill="auto"/>
            <w:noWrap/>
            <w:vAlign w:val="center"/>
            <w:hideMark/>
          </w:tcPr>
          <w:p w:rsidR="009D025C" w:rsidRPr="008C32C5" w:rsidRDefault="009D025C" w:rsidP="009C5044">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9D025C" w:rsidRPr="008C32C5" w:rsidRDefault="009D025C" w:rsidP="00DA49F8">
            <w:pPr>
              <w:jc w:val="right"/>
              <w:rPr>
                <w:sz w:val="14"/>
                <w:szCs w:val="14"/>
              </w:rPr>
            </w:pPr>
            <w:r w:rsidRPr="008C32C5">
              <w:rPr>
                <w:sz w:val="14"/>
                <w:szCs w:val="14"/>
              </w:rPr>
              <w:t>1,442,243</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DA49F8">
            <w:pPr>
              <w:jc w:val="right"/>
              <w:rPr>
                <w:sz w:val="14"/>
                <w:szCs w:val="14"/>
              </w:rPr>
            </w:pPr>
            <w:r>
              <w:rPr>
                <w:sz w:val="14"/>
                <w:szCs w:val="14"/>
              </w:rPr>
              <w:t>2,350,109</w:t>
            </w:r>
          </w:p>
        </w:tc>
        <w:tc>
          <w:tcPr>
            <w:tcW w:w="726"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2,393,528</w:t>
            </w:r>
          </w:p>
        </w:tc>
        <w:tc>
          <w:tcPr>
            <w:tcW w:w="721"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2,243,832</w:t>
            </w:r>
          </w:p>
        </w:tc>
        <w:tc>
          <w:tcPr>
            <w:tcW w:w="721" w:type="dxa"/>
            <w:tcBorders>
              <w:top w:val="nil"/>
              <w:left w:val="nil"/>
              <w:bottom w:val="nil"/>
              <w:right w:val="nil"/>
            </w:tcBorders>
            <w:shd w:val="clear" w:color="auto" w:fill="auto"/>
            <w:tcMar>
              <w:left w:w="43" w:type="dxa"/>
              <w:right w:w="43" w:type="dxa"/>
            </w:tcMar>
            <w:vAlign w:val="center"/>
            <w:hideMark/>
          </w:tcPr>
          <w:p w:rsidR="009D025C" w:rsidRDefault="009D025C" w:rsidP="003370AC">
            <w:pPr>
              <w:jc w:val="right"/>
              <w:rPr>
                <w:sz w:val="14"/>
                <w:szCs w:val="14"/>
              </w:rPr>
            </w:pPr>
            <w:r>
              <w:rPr>
                <w:sz w:val="14"/>
                <w:szCs w:val="14"/>
              </w:rPr>
              <w:t>2,468,304</w:t>
            </w:r>
          </w:p>
        </w:tc>
        <w:tc>
          <w:tcPr>
            <w:tcW w:w="819"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2,347,380</w:t>
            </w:r>
          </w:p>
        </w:tc>
        <w:tc>
          <w:tcPr>
            <w:tcW w:w="813"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3,253,035</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2,786,158</w:t>
            </w:r>
          </w:p>
        </w:tc>
        <w:tc>
          <w:tcPr>
            <w:tcW w:w="790"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4,511,578</w:t>
            </w:r>
          </w:p>
        </w:tc>
      </w:tr>
      <w:tr w:rsidR="009D025C" w:rsidRPr="009B6E8A" w:rsidTr="009D025C">
        <w:trPr>
          <w:trHeight w:hRule="exact" w:val="236"/>
          <w:jc w:val="center"/>
        </w:trPr>
        <w:tc>
          <w:tcPr>
            <w:tcW w:w="3341" w:type="dxa"/>
            <w:gridSpan w:val="2"/>
            <w:tcBorders>
              <w:top w:val="nil"/>
              <w:left w:val="nil"/>
              <w:bottom w:val="nil"/>
              <w:right w:val="nil"/>
            </w:tcBorders>
            <w:shd w:val="clear" w:color="auto" w:fill="auto"/>
            <w:noWrap/>
            <w:vAlign w:val="center"/>
            <w:hideMark/>
          </w:tcPr>
          <w:p w:rsidR="009D025C" w:rsidRPr="008C32C5" w:rsidRDefault="009D025C" w:rsidP="009C5044">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9D025C" w:rsidRPr="008C32C5" w:rsidRDefault="009D025C" w:rsidP="00DA49F8">
            <w:pPr>
              <w:jc w:val="right"/>
              <w:rPr>
                <w:sz w:val="14"/>
                <w:szCs w:val="14"/>
              </w:rPr>
            </w:pPr>
            <w:r w:rsidRPr="008C32C5">
              <w:rPr>
                <w:sz w:val="14"/>
                <w:szCs w:val="14"/>
              </w:rPr>
              <w:t>1,730,308</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DA49F8">
            <w:pPr>
              <w:jc w:val="right"/>
              <w:rPr>
                <w:sz w:val="14"/>
                <w:szCs w:val="14"/>
              </w:rPr>
            </w:pPr>
            <w:r>
              <w:rPr>
                <w:sz w:val="14"/>
                <w:szCs w:val="14"/>
              </w:rPr>
              <w:t>2,440,624</w:t>
            </w:r>
          </w:p>
        </w:tc>
        <w:tc>
          <w:tcPr>
            <w:tcW w:w="726"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2,711,773</w:t>
            </w:r>
          </w:p>
        </w:tc>
        <w:tc>
          <w:tcPr>
            <w:tcW w:w="721"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2,644,550</w:t>
            </w:r>
          </w:p>
        </w:tc>
        <w:tc>
          <w:tcPr>
            <w:tcW w:w="721" w:type="dxa"/>
            <w:tcBorders>
              <w:top w:val="nil"/>
              <w:left w:val="nil"/>
              <w:bottom w:val="nil"/>
              <w:right w:val="nil"/>
            </w:tcBorders>
            <w:shd w:val="clear" w:color="auto" w:fill="auto"/>
            <w:tcMar>
              <w:left w:w="43" w:type="dxa"/>
              <w:right w:w="43" w:type="dxa"/>
            </w:tcMar>
            <w:vAlign w:val="center"/>
            <w:hideMark/>
          </w:tcPr>
          <w:p w:rsidR="009D025C" w:rsidRDefault="009D025C" w:rsidP="003370AC">
            <w:pPr>
              <w:jc w:val="right"/>
              <w:rPr>
                <w:sz w:val="14"/>
                <w:szCs w:val="14"/>
              </w:rPr>
            </w:pPr>
            <w:r>
              <w:rPr>
                <w:sz w:val="14"/>
                <w:szCs w:val="14"/>
              </w:rPr>
              <w:t>2,754,809</w:t>
            </w:r>
          </w:p>
        </w:tc>
        <w:tc>
          <w:tcPr>
            <w:tcW w:w="819"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2,602,428</w:t>
            </w:r>
          </w:p>
        </w:tc>
        <w:tc>
          <w:tcPr>
            <w:tcW w:w="813"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3,521,780</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3,074,519</w:t>
            </w:r>
          </w:p>
        </w:tc>
        <w:tc>
          <w:tcPr>
            <w:tcW w:w="790"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4,749,712</w:t>
            </w:r>
          </w:p>
        </w:tc>
      </w:tr>
      <w:tr w:rsidR="009D025C" w:rsidRPr="009B6E8A" w:rsidTr="009D025C">
        <w:trPr>
          <w:trHeight w:hRule="exact" w:val="236"/>
          <w:jc w:val="center"/>
        </w:trPr>
        <w:tc>
          <w:tcPr>
            <w:tcW w:w="3341" w:type="dxa"/>
            <w:gridSpan w:val="2"/>
            <w:tcBorders>
              <w:top w:val="nil"/>
              <w:left w:val="nil"/>
              <w:bottom w:val="nil"/>
              <w:right w:val="nil"/>
            </w:tcBorders>
            <w:shd w:val="clear" w:color="auto" w:fill="auto"/>
            <w:noWrap/>
            <w:vAlign w:val="center"/>
            <w:hideMark/>
          </w:tcPr>
          <w:p w:rsidR="009D025C" w:rsidRPr="008C32C5" w:rsidRDefault="009D025C" w:rsidP="009C5044">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9D025C" w:rsidRPr="008C32C5" w:rsidRDefault="009D025C" w:rsidP="00DA49F8">
            <w:pPr>
              <w:jc w:val="right"/>
              <w:rPr>
                <w:sz w:val="14"/>
                <w:szCs w:val="14"/>
              </w:rPr>
            </w:pPr>
            <w:r w:rsidRPr="008C32C5">
              <w:rPr>
                <w:sz w:val="14"/>
                <w:szCs w:val="14"/>
              </w:rPr>
              <w:t>(329,211)</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DA49F8">
            <w:pPr>
              <w:jc w:val="right"/>
              <w:rPr>
                <w:sz w:val="14"/>
                <w:szCs w:val="14"/>
              </w:rPr>
            </w:pPr>
            <w:r>
              <w:rPr>
                <w:sz w:val="14"/>
                <w:szCs w:val="14"/>
              </w:rPr>
              <w:t>(91,238)</w:t>
            </w:r>
          </w:p>
        </w:tc>
        <w:tc>
          <w:tcPr>
            <w:tcW w:w="726"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(294,184)</w:t>
            </w:r>
          </w:p>
        </w:tc>
        <w:tc>
          <w:tcPr>
            <w:tcW w:w="721"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(159,460)</w:t>
            </w:r>
          </w:p>
        </w:tc>
        <w:tc>
          <w:tcPr>
            <w:tcW w:w="721" w:type="dxa"/>
            <w:tcBorders>
              <w:top w:val="nil"/>
              <w:left w:val="nil"/>
              <w:bottom w:val="nil"/>
              <w:right w:val="nil"/>
            </w:tcBorders>
            <w:shd w:val="clear" w:color="auto" w:fill="auto"/>
            <w:tcMar>
              <w:left w:w="43" w:type="dxa"/>
              <w:right w:w="43" w:type="dxa"/>
            </w:tcMar>
            <w:vAlign w:val="center"/>
            <w:hideMark/>
          </w:tcPr>
          <w:p w:rsidR="009D025C" w:rsidRDefault="009D025C" w:rsidP="003370AC">
            <w:pPr>
              <w:jc w:val="right"/>
              <w:rPr>
                <w:sz w:val="14"/>
                <w:szCs w:val="14"/>
              </w:rPr>
            </w:pPr>
            <w:r>
              <w:rPr>
                <w:sz w:val="14"/>
                <w:szCs w:val="14"/>
              </w:rPr>
              <w:t>(257,291)</w:t>
            </w:r>
          </w:p>
        </w:tc>
        <w:tc>
          <w:tcPr>
            <w:tcW w:w="819"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(12,470)</w:t>
            </w:r>
          </w:p>
        </w:tc>
        <w:tc>
          <w:tcPr>
            <w:tcW w:w="813"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(17,388)</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(608,147)</w:t>
            </w:r>
          </w:p>
        </w:tc>
        <w:tc>
          <w:tcPr>
            <w:tcW w:w="790"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(15,348)</w:t>
            </w:r>
          </w:p>
        </w:tc>
      </w:tr>
      <w:tr w:rsidR="009D025C" w:rsidRPr="009B6E8A" w:rsidTr="009D025C">
        <w:trPr>
          <w:trHeight w:hRule="exact" w:val="236"/>
          <w:jc w:val="center"/>
        </w:trPr>
        <w:tc>
          <w:tcPr>
            <w:tcW w:w="3341" w:type="dxa"/>
            <w:gridSpan w:val="2"/>
            <w:tcBorders>
              <w:top w:val="nil"/>
              <w:left w:val="nil"/>
              <w:bottom w:val="nil"/>
              <w:right w:val="nil"/>
            </w:tcBorders>
            <w:shd w:val="clear" w:color="auto" w:fill="auto"/>
            <w:noWrap/>
            <w:vAlign w:val="center"/>
            <w:hideMark/>
          </w:tcPr>
          <w:p w:rsidR="009D025C" w:rsidRPr="008C32C5" w:rsidRDefault="009D025C" w:rsidP="009C5044">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9D025C" w:rsidRPr="008C32C5" w:rsidRDefault="009D025C" w:rsidP="00DA49F8">
            <w:pPr>
              <w:jc w:val="right"/>
              <w:rPr>
                <w:sz w:val="14"/>
                <w:szCs w:val="14"/>
              </w:rPr>
            </w:pPr>
            <w:r w:rsidRPr="008C32C5">
              <w:rPr>
                <w:sz w:val="14"/>
                <w:szCs w:val="14"/>
              </w:rPr>
              <w:t>(278,291)</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DA49F8">
            <w:pPr>
              <w:jc w:val="right"/>
              <w:rPr>
                <w:sz w:val="14"/>
                <w:szCs w:val="14"/>
              </w:rPr>
            </w:pPr>
            <w:r>
              <w:rPr>
                <w:sz w:val="14"/>
                <w:szCs w:val="14"/>
              </w:rPr>
              <w:t>(88,555)</w:t>
            </w:r>
          </w:p>
        </w:tc>
        <w:tc>
          <w:tcPr>
            <w:tcW w:w="726"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(303,108)</w:t>
            </w:r>
          </w:p>
        </w:tc>
        <w:tc>
          <w:tcPr>
            <w:tcW w:w="721"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(390,086)</w:t>
            </w:r>
          </w:p>
        </w:tc>
        <w:tc>
          <w:tcPr>
            <w:tcW w:w="721" w:type="dxa"/>
            <w:tcBorders>
              <w:top w:val="nil"/>
              <w:left w:val="nil"/>
              <w:bottom w:val="nil"/>
              <w:right w:val="nil"/>
            </w:tcBorders>
            <w:shd w:val="clear" w:color="auto" w:fill="auto"/>
            <w:tcMar>
              <w:left w:w="43" w:type="dxa"/>
              <w:right w:w="43" w:type="dxa"/>
            </w:tcMar>
            <w:vAlign w:val="center"/>
            <w:hideMark/>
          </w:tcPr>
          <w:p w:rsidR="009D025C" w:rsidRDefault="009D025C" w:rsidP="003370AC">
            <w:pPr>
              <w:jc w:val="right"/>
              <w:rPr>
                <w:sz w:val="14"/>
                <w:szCs w:val="14"/>
              </w:rPr>
            </w:pPr>
            <w:r>
              <w:rPr>
                <w:sz w:val="14"/>
                <w:szCs w:val="14"/>
              </w:rPr>
              <w:t>(276,761)</w:t>
            </w:r>
          </w:p>
        </w:tc>
        <w:tc>
          <w:tcPr>
            <w:tcW w:w="819"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(247,782)</w:t>
            </w:r>
          </w:p>
        </w:tc>
        <w:tc>
          <w:tcPr>
            <w:tcW w:w="813"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(259,227)</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(273,622)</w:t>
            </w:r>
          </w:p>
        </w:tc>
        <w:tc>
          <w:tcPr>
            <w:tcW w:w="790"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(226,928)</w:t>
            </w:r>
          </w:p>
        </w:tc>
      </w:tr>
      <w:tr w:rsidR="009D025C" w:rsidRPr="009B6E8A" w:rsidTr="009D025C">
        <w:trPr>
          <w:trHeight w:hRule="exact" w:val="236"/>
          <w:jc w:val="center"/>
        </w:trPr>
        <w:tc>
          <w:tcPr>
            <w:tcW w:w="3341" w:type="dxa"/>
            <w:gridSpan w:val="2"/>
            <w:tcBorders>
              <w:top w:val="nil"/>
              <w:left w:val="nil"/>
              <w:bottom w:val="nil"/>
              <w:right w:val="nil"/>
            </w:tcBorders>
            <w:shd w:val="clear" w:color="auto" w:fill="auto"/>
            <w:noWrap/>
            <w:vAlign w:val="center"/>
            <w:hideMark/>
          </w:tcPr>
          <w:p w:rsidR="009D025C" w:rsidRPr="008C32C5" w:rsidRDefault="009D025C" w:rsidP="009C5044">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9D025C" w:rsidRPr="008C32C5" w:rsidRDefault="009D025C" w:rsidP="00DA49F8">
            <w:pPr>
              <w:jc w:val="right"/>
              <w:rPr>
                <w:sz w:val="14"/>
                <w:szCs w:val="14"/>
              </w:rPr>
            </w:pPr>
            <w:r w:rsidRPr="008C32C5">
              <w:rPr>
                <w:sz w:val="14"/>
                <w:szCs w:val="14"/>
              </w:rPr>
              <w:t>(18,257)</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DA49F8">
            <w:pPr>
              <w:jc w:val="right"/>
              <w:rPr>
                <w:sz w:val="14"/>
                <w:szCs w:val="14"/>
              </w:rPr>
            </w:pPr>
            <w:r>
              <w:rPr>
                <w:sz w:val="14"/>
                <w:szCs w:val="14"/>
              </w:rPr>
              <w:t>(1,460)</w:t>
            </w:r>
          </w:p>
        </w:tc>
        <w:tc>
          <w:tcPr>
            <w:tcW w:w="726"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(40,429)</w:t>
            </w:r>
          </w:p>
        </w:tc>
        <w:tc>
          <w:tcPr>
            <w:tcW w:w="721"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(41,201)</w:t>
            </w:r>
          </w:p>
        </w:tc>
        <w:tc>
          <w:tcPr>
            <w:tcW w:w="721" w:type="dxa"/>
            <w:tcBorders>
              <w:top w:val="nil"/>
              <w:left w:val="nil"/>
              <w:bottom w:val="nil"/>
              <w:right w:val="nil"/>
            </w:tcBorders>
            <w:shd w:val="clear" w:color="auto" w:fill="auto"/>
            <w:tcMar>
              <w:left w:w="43" w:type="dxa"/>
              <w:right w:w="43" w:type="dxa"/>
            </w:tcMar>
            <w:vAlign w:val="center"/>
            <w:hideMark/>
          </w:tcPr>
          <w:p w:rsidR="009D025C" w:rsidRDefault="009D025C" w:rsidP="003370AC">
            <w:pPr>
              <w:jc w:val="right"/>
              <w:rPr>
                <w:sz w:val="14"/>
                <w:szCs w:val="14"/>
              </w:rPr>
            </w:pPr>
            <w:r>
              <w:rPr>
                <w:sz w:val="14"/>
                <w:szCs w:val="14"/>
              </w:rPr>
              <w:t>(37,796)</w:t>
            </w:r>
          </w:p>
        </w:tc>
        <w:tc>
          <w:tcPr>
            <w:tcW w:w="819"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(39,238)</w:t>
            </w:r>
          </w:p>
        </w:tc>
        <w:tc>
          <w:tcPr>
            <w:tcW w:w="813"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(42,528)</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(41,786)</w:t>
            </w:r>
          </w:p>
        </w:tc>
        <w:tc>
          <w:tcPr>
            <w:tcW w:w="790"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(40,155)</w:t>
            </w:r>
          </w:p>
        </w:tc>
      </w:tr>
      <w:tr w:rsidR="009D025C" w:rsidRPr="009B6E8A" w:rsidTr="009D025C">
        <w:trPr>
          <w:trHeight w:hRule="exact" w:val="236"/>
          <w:jc w:val="center"/>
        </w:trPr>
        <w:tc>
          <w:tcPr>
            <w:tcW w:w="3341" w:type="dxa"/>
            <w:gridSpan w:val="2"/>
            <w:tcBorders>
              <w:top w:val="nil"/>
              <w:left w:val="nil"/>
              <w:bottom w:val="nil"/>
              <w:right w:val="nil"/>
            </w:tcBorders>
            <w:shd w:val="clear" w:color="auto" w:fill="auto"/>
            <w:noWrap/>
            <w:vAlign w:val="center"/>
            <w:hideMark/>
          </w:tcPr>
          <w:p w:rsidR="009D025C" w:rsidRPr="008C32C5" w:rsidRDefault="009D025C" w:rsidP="009C5044">
            <w:pPr>
              <w:jc w:val="left"/>
              <w:rPr>
                <w:szCs w:val="16"/>
              </w:rPr>
            </w:pPr>
            <w:r w:rsidRPr="008C32C5">
              <w:rPr>
                <w:szCs w:val="16"/>
              </w:rPr>
              <w:t xml:space="preserve">                      Khyber  </w:t>
            </w:r>
            <w:proofErr w:type="spellStart"/>
            <w:r w:rsidRPr="008C32C5">
              <w:rPr>
                <w:szCs w:val="16"/>
              </w:rPr>
              <w:t>Pakhtunkhwa</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9D025C" w:rsidRPr="008C32C5" w:rsidRDefault="009D025C" w:rsidP="00DA49F8">
            <w:pPr>
              <w:jc w:val="right"/>
              <w:rPr>
                <w:sz w:val="14"/>
                <w:szCs w:val="14"/>
              </w:rPr>
            </w:pPr>
            <w:r w:rsidRPr="008C32C5">
              <w:rPr>
                <w:sz w:val="14"/>
                <w:szCs w:val="14"/>
              </w:rPr>
              <w:t>(76,020)</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DA49F8">
            <w:pPr>
              <w:jc w:val="right"/>
              <w:rPr>
                <w:sz w:val="14"/>
                <w:szCs w:val="14"/>
              </w:rPr>
            </w:pPr>
            <w:r>
              <w:rPr>
                <w:sz w:val="14"/>
                <w:szCs w:val="14"/>
              </w:rPr>
              <w:t>(30,245)</w:t>
            </w:r>
          </w:p>
        </w:tc>
        <w:tc>
          <w:tcPr>
            <w:tcW w:w="726"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(58,043)</w:t>
            </w:r>
          </w:p>
        </w:tc>
        <w:tc>
          <w:tcPr>
            <w:tcW w:w="721"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(71,242)</w:t>
            </w:r>
          </w:p>
        </w:tc>
        <w:tc>
          <w:tcPr>
            <w:tcW w:w="721" w:type="dxa"/>
            <w:tcBorders>
              <w:top w:val="nil"/>
              <w:left w:val="nil"/>
              <w:bottom w:val="nil"/>
              <w:right w:val="nil"/>
            </w:tcBorders>
            <w:shd w:val="clear" w:color="auto" w:fill="auto"/>
            <w:tcMar>
              <w:left w:w="43" w:type="dxa"/>
              <w:right w:w="43" w:type="dxa"/>
            </w:tcMar>
            <w:vAlign w:val="center"/>
            <w:hideMark/>
          </w:tcPr>
          <w:p w:rsidR="009D025C" w:rsidRDefault="009D025C" w:rsidP="003370AC">
            <w:pPr>
              <w:jc w:val="right"/>
              <w:rPr>
                <w:sz w:val="14"/>
                <w:szCs w:val="14"/>
              </w:rPr>
            </w:pPr>
            <w:r>
              <w:rPr>
                <w:sz w:val="14"/>
                <w:szCs w:val="14"/>
              </w:rPr>
              <w:t>(47,859)</w:t>
            </w:r>
          </w:p>
        </w:tc>
        <w:tc>
          <w:tcPr>
            <w:tcW w:w="819"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(53,043)</w:t>
            </w:r>
          </w:p>
        </w:tc>
        <w:tc>
          <w:tcPr>
            <w:tcW w:w="813"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(54,617)</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(67,870)</w:t>
            </w:r>
          </w:p>
        </w:tc>
        <w:tc>
          <w:tcPr>
            <w:tcW w:w="790"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(61,825)</w:t>
            </w:r>
          </w:p>
        </w:tc>
      </w:tr>
      <w:tr w:rsidR="009D025C" w:rsidRPr="009B6E8A" w:rsidTr="009D025C">
        <w:trPr>
          <w:trHeight w:hRule="exact" w:val="236"/>
          <w:jc w:val="center"/>
        </w:trPr>
        <w:tc>
          <w:tcPr>
            <w:tcW w:w="3341" w:type="dxa"/>
            <w:gridSpan w:val="2"/>
            <w:tcBorders>
              <w:top w:val="nil"/>
              <w:left w:val="nil"/>
              <w:bottom w:val="nil"/>
              <w:right w:val="nil"/>
            </w:tcBorders>
            <w:shd w:val="clear" w:color="auto" w:fill="auto"/>
            <w:noWrap/>
            <w:vAlign w:val="center"/>
            <w:hideMark/>
          </w:tcPr>
          <w:p w:rsidR="009D025C" w:rsidRPr="008C32C5" w:rsidRDefault="009D025C" w:rsidP="009C5044">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9D025C" w:rsidRPr="008C32C5" w:rsidRDefault="009D025C" w:rsidP="00DA49F8">
            <w:pPr>
              <w:jc w:val="right"/>
              <w:rPr>
                <w:sz w:val="14"/>
                <w:szCs w:val="14"/>
              </w:rPr>
            </w:pPr>
            <w:r w:rsidRPr="008C32C5">
              <w:rPr>
                <w:sz w:val="14"/>
                <w:szCs w:val="14"/>
              </w:rPr>
              <w:t>(96,432)</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DA49F8">
            <w:pPr>
              <w:jc w:val="right"/>
              <w:rPr>
                <w:sz w:val="14"/>
                <w:szCs w:val="14"/>
              </w:rPr>
            </w:pPr>
            <w:r>
              <w:rPr>
                <w:sz w:val="14"/>
                <w:szCs w:val="14"/>
              </w:rPr>
              <w:t>(38,146)</w:t>
            </w:r>
          </w:p>
        </w:tc>
        <w:tc>
          <w:tcPr>
            <w:tcW w:w="726"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(99,471)</w:t>
            </w:r>
          </w:p>
        </w:tc>
        <w:tc>
          <w:tcPr>
            <w:tcW w:w="721"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(170,441)</w:t>
            </w:r>
          </w:p>
        </w:tc>
        <w:tc>
          <w:tcPr>
            <w:tcW w:w="721" w:type="dxa"/>
            <w:tcBorders>
              <w:top w:val="nil"/>
              <w:left w:val="nil"/>
              <w:bottom w:val="nil"/>
              <w:right w:val="nil"/>
            </w:tcBorders>
            <w:shd w:val="clear" w:color="auto" w:fill="auto"/>
            <w:tcMar>
              <w:left w:w="43" w:type="dxa"/>
              <w:right w:w="43" w:type="dxa"/>
            </w:tcMar>
            <w:vAlign w:val="center"/>
            <w:hideMark/>
          </w:tcPr>
          <w:p w:rsidR="009D025C" w:rsidRDefault="009D025C" w:rsidP="003370AC">
            <w:pPr>
              <w:jc w:val="right"/>
              <w:rPr>
                <w:sz w:val="14"/>
                <w:szCs w:val="14"/>
              </w:rPr>
            </w:pPr>
            <w:r>
              <w:rPr>
                <w:sz w:val="14"/>
                <w:szCs w:val="14"/>
              </w:rPr>
              <w:t>(102,104)</w:t>
            </w:r>
          </w:p>
        </w:tc>
        <w:tc>
          <w:tcPr>
            <w:tcW w:w="819"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(79,162)</w:t>
            </w:r>
          </w:p>
        </w:tc>
        <w:tc>
          <w:tcPr>
            <w:tcW w:w="813"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(81,892)</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(82,567)</w:t>
            </w:r>
          </w:p>
        </w:tc>
        <w:tc>
          <w:tcPr>
            <w:tcW w:w="790"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(69,243)</w:t>
            </w:r>
          </w:p>
        </w:tc>
      </w:tr>
      <w:tr w:rsidR="009D025C" w:rsidRPr="009B6E8A" w:rsidTr="009D025C">
        <w:trPr>
          <w:trHeight w:hRule="exact" w:val="236"/>
          <w:jc w:val="center"/>
        </w:trPr>
        <w:tc>
          <w:tcPr>
            <w:tcW w:w="3341" w:type="dxa"/>
            <w:gridSpan w:val="2"/>
            <w:tcBorders>
              <w:top w:val="nil"/>
              <w:left w:val="nil"/>
              <w:bottom w:val="nil"/>
              <w:right w:val="nil"/>
            </w:tcBorders>
            <w:shd w:val="clear" w:color="auto" w:fill="auto"/>
            <w:noWrap/>
            <w:vAlign w:val="center"/>
            <w:hideMark/>
          </w:tcPr>
          <w:p w:rsidR="009D025C" w:rsidRPr="008C32C5" w:rsidRDefault="009D025C" w:rsidP="009C5044">
            <w:pPr>
              <w:jc w:val="left"/>
              <w:rPr>
                <w:szCs w:val="16"/>
              </w:rPr>
            </w:pPr>
            <w:r w:rsidRPr="008C32C5">
              <w:rPr>
                <w:szCs w:val="16"/>
              </w:rPr>
              <w:t xml:space="preserve">                      </w:t>
            </w:r>
            <w:proofErr w:type="spellStart"/>
            <w:r w:rsidRPr="008C32C5">
              <w:rPr>
                <w:szCs w:val="16"/>
              </w:rPr>
              <w:t>Sindh</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9D025C" w:rsidRPr="008C32C5" w:rsidRDefault="009D025C" w:rsidP="00DA49F8">
            <w:pPr>
              <w:jc w:val="right"/>
              <w:rPr>
                <w:sz w:val="14"/>
                <w:szCs w:val="14"/>
              </w:rPr>
            </w:pPr>
            <w:r w:rsidRPr="008C32C5">
              <w:rPr>
                <w:sz w:val="14"/>
                <w:szCs w:val="14"/>
              </w:rPr>
              <w:t>(87,581)</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DA49F8">
            <w:pPr>
              <w:jc w:val="right"/>
              <w:rPr>
                <w:sz w:val="14"/>
                <w:szCs w:val="14"/>
              </w:rPr>
            </w:pPr>
            <w:r>
              <w:rPr>
                <w:sz w:val="14"/>
                <w:szCs w:val="14"/>
              </w:rPr>
              <w:t>(18,704)</w:t>
            </w:r>
          </w:p>
        </w:tc>
        <w:tc>
          <w:tcPr>
            <w:tcW w:w="726"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(105,165)</w:t>
            </w:r>
          </w:p>
        </w:tc>
        <w:tc>
          <w:tcPr>
            <w:tcW w:w="721"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(107,201)</w:t>
            </w:r>
          </w:p>
        </w:tc>
        <w:tc>
          <w:tcPr>
            <w:tcW w:w="721" w:type="dxa"/>
            <w:tcBorders>
              <w:top w:val="nil"/>
              <w:left w:val="nil"/>
              <w:bottom w:val="nil"/>
              <w:right w:val="nil"/>
            </w:tcBorders>
            <w:shd w:val="clear" w:color="auto" w:fill="auto"/>
            <w:tcMar>
              <w:left w:w="43" w:type="dxa"/>
              <w:right w:w="43" w:type="dxa"/>
            </w:tcMar>
            <w:vAlign w:val="center"/>
            <w:hideMark/>
          </w:tcPr>
          <w:p w:rsidR="009D025C" w:rsidRDefault="009D025C" w:rsidP="003370AC">
            <w:pPr>
              <w:jc w:val="right"/>
              <w:rPr>
                <w:sz w:val="14"/>
                <w:szCs w:val="14"/>
              </w:rPr>
            </w:pPr>
            <w:r>
              <w:rPr>
                <w:sz w:val="14"/>
                <w:szCs w:val="14"/>
              </w:rPr>
              <w:t>(89,002)</w:t>
            </w:r>
          </w:p>
        </w:tc>
        <w:tc>
          <w:tcPr>
            <w:tcW w:w="819"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(76,340)</w:t>
            </w:r>
          </w:p>
        </w:tc>
        <w:tc>
          <w:tcPr>
            <w:tcW w:w="813"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(80,189)</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(81,398)</w:t>
            </w:r>
          </w:p>
        </w:tc>
        <w:tc>
          <w:tcPr>
            <w:tcW w:w="790"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(55,706)</w:t>
            </w:r>
          </w:p>
        </w:tc>
      </w:tr>
      <w:tr w:rsidR="009D025C" w:rsidRPr="009B6E8A" w:rsidTr="009D025C">
        <w:trPr>
          <w:trHeight w:hRule="exact" w:val="236"/>
          <w:jc w:val="center"/>
        </w:trPr>
        <w:tc>
          <w:tcPr>
            <w:tcW w:w="3341" w:type="dxa"/>
            <w:gridSpan w:val="2"/>
            <w:tcBorders>
              <w:top w:val="nil"/>
              <w:left w:val="nil"/>
              <w:bottom w:val="nil"/>
              <w:right w:val="nil"/>
            </w:tcBorders>
            <w:shd w:val="clear" w:color="auto" w:fill="auto"/>
            <w:noWrap/>
            <w:vAlign w:val="center"/>
            <w:hideMark/>
          </w:tcPr>
          <w:p w:rsidR="009D025C" w:rsidRPr="008C32C5" w:rsidRDefault="009D025C" w:rsidP="009C5044">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9D025C" w:rsidRPr="008C32C5" w:rsidRDefault="009D025C" w:rsidP="00DA49F8">
            <w:pPr>
              <w:jc w:val="right"/>
              <w:rPr>
                <w:sz w:val="14"/>
                <w:szCs w:val="14"/>
              </w:rPr>
            </w:pPr>
            <w:r w:rsidRPr="008C32C5">
              <w:rPr>
                <w:sz w:val="14"/>
                <w:szCs w:val="14"/>
              </w:rPr>
              <w:t>955</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DA49F8">
            <w:pPr>
              <w:jc w:val="right"/>
              <w:rPr>
                <w:sz w:val="14"/>
                <w:szCs w:val="14"/>
              </w:rPr>
            </w:pPr>
            <w:r>
              <w:rPr>
                <w:sz w:val="14"/>
                <w:szCs w:val="14"/>
              </w:rPr>
              <w:t>7,279</w:t>
            </w:r>
          </w:p>
        </w:tc>
        <w:tc>
          <w:tcPr>
            <w:tcW w:w="726"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580</w:t>
            </w:r>
          </w:p>
        </w:tc>
        <w:tc>
          <w:tcPr>
            <w:tcW w:w="721"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4,078</w:t>
            </w:r>
          </w:p>
        </w:tc>
        <w:tc>
          <w:tcPr>
            <w:tcW w:w="721" w:type="dxa"/>
            <w:tcBorders>
              <w:top w:val="nil"/>
              <w:left w:val="nil"/>
              <w:bottom w:val="nil"/>
              <w:right w:val="nil"/>
            </w:tcBorders>
            <w:shd w:val="clear" w:color="auto" w:fill="auto"/>
            <w:tcMar>
              <w:left w:w="43" w:type="dxa"/>
              <w:right w:w="43" w:type="dxa"/>
            </w:tcMar>
            <w:vAlign w:val="center"/>
            <w:hideMark/>
          </w:tcPr>
          <w:p w:rsidR="009D025C" w:rsidRDefault="009D025C" w:rsidP="003370AC">
            <w:pPr>
              <w:jc w:val="right"/>
              <w:rPr>
                <w:sz w:val="14"/>
                <w:szCs w:val="14"/>
              </w:rPr>
            </w:pPr>
            <w:r>
              <w:rPr>
                <w:sz w:val="14"/>
                <w:szCs w:val="14"/>
              </w:rPr>
              <w:t>3,065</w:t>
            </w:r>
          </w:p>
        </w:tc>
        <w:tc>
          <w:tcPr>
            <w:tcW w:w="819"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4,587</w:t>
            </w:r>
          </w:p>
        </w:tc>
        <w:tc>
          <w:tcPr>
            <w:tcW w:w="813"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4,819</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329</w:t>
            </w:r>
          </w:p>
        </w:tc>
        <w:tc>
          <w:tcPr>
            <w:tcW w:w="790"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3,900</w:t>
            </w:r>
          </w:p>
        </w:tc>
      </w:tr>
      <w:tr w:rsidR="009D025C" w:rsidRPr="009B6E8A" w:rsidTr="009D025C">
        <w:trPr>
          <w:trHeight w:hRule="exact" w:val="236"/>
          <w:jc w:val="center"/>
        </w:trPr>
        <w:tc>
          <w:tcPr>
            <w:tcW w:w="3341" w:type="dxa"/>
            <w:gridSpan w:val="2"/>
            <w:tcBorders>
              <w:top w:val="nil"/>
              <w:left w:val="nil"/>
              <w:bottom w:val="nil"/>
              <w:right w:val="nil"/>
            </w:tcBorders>
            <w:shd w:val="clear" w:color="auto" w:fill="auto"/>
            <w:noWrap/>
            <w:vAlign w:val="center"/>
            <w:hideMark/>
          </w:tcPr>
          <w:p w:rsidR="009D025C" w:rsidRPr="008C32C5" w:rsidRDefault="009D025C" w:rsidP="009C5044">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Gilgit-Baltistan</w:t>
            </w:r>
            <w:proofErr w:type="spellEnd"/>
          </w:p>
        </w:tc>
        <w:tc>
          <w:tcPr>
            <w:tcW w:w="847" w:type="dxa"/>
            <w:tcBorders>
              <w:top w:val="nil"/>
              <w:left w:val="nil"/>
              <w:bottom w:val="nil"/>
              <w:right w:val="nil"/>
            </w:tcBorders>
            <w:shd w:val="clear" w:color="auto" w:fill="auto"/>
            <w:noWrap/>
            <w:tcMar>
              <w:left w:w="43" w:type="dxa"/>
              <w:right w:w="43" w:type="dxa"/>
            </w:tcMar>
            <w:vAlign w:val="center"/>
            <w:hideMark/>
          </w:tcPr>
          <w:p w:rsidR="009D025C" w:rsidRPr="008C32C5" w:rsidRDefault="009D025C" w:rsidP="00DA49F8">
            <w:pPr>
              <w:jc w:val="right"/>
              <w:rPr>
                <w:sz w:val="14"/>
                <w:szCs w:val="14"/>
              </w:rPr>
            </w:pPr>
            <w:r w:rsidRPr="008C32C5">
              <w:rPr>
                <w:sz w:val="14"/>
                <w:szCs w:val="14"/>
              </w:rPr>
              <w:t>(10,730)</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DA49F8">
            <w:pPr>
              <w:jc w:val="right"/>
              <w:rPr>
                <w:sz w:val="14"/>
                <w:szCs w:val="14"/>
              </w:rPr>
            </w:pPr>
            <w:r>
              <w:rPr>
                <w:sz w:val="14"/>
                <w:szCs w:val="14"/>
              </w:rPr>
              <w:t>(9,239)</w:t>
            </w:r>
          </w:p>
        </w:tc>
        <w:tc>
          <w:tcPr>
            <w:tcW w:w="726"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(15,717)</w:t>
            </w:r>
          </w:p>
        </w:tc>
        <w:tc>
          <w:tcPr>
            <w:tcW w:w="721"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(14,711)</w:t>
            </w:r>
          </w:p>
        </w:tc>
        <w:tc>
          <w:tcPr>
            <w:tcW w:w="721" w:type="dxa"/>
            <w:tcBorders>
              <w:top w:val="nil"/>
              <w:left w:val="nil"/>
              <w:bottom w:val="nil"/>
              <w:right w:val="nil"/>
            </w:tcBorders>
            <w:shd w:val="clear" w:color="auto" w:fill="auto"/>
            <w:tcMar>
              <w:left w:w="43" w:type="dxa"/>
              <w:right w:w="43" w:type="dxa"/>
            </w:tcMar>
            <w:vAlign w:val="center"/>
            <w:hideMark/>
          </w:tcPr>
          <w:p w:rsidR="009D025C" w:rsidRDefault="009D025C" w:rsidP="003370AC">
            <w:pPr>
              <w:jc w:val="right"/>
              <w:rPr>
                <w:sz w:val="14"/>
                <w:szCs w:val="14"/>
              </w:rPr>
            </w:pPr>
            <w:r>
              <w:rPr>
                <w:sz w:val="14"/>
                <w:szCs w:val="14"/>
              </w:rPr>
              <w:t>(12,809)</w:t>
            </w:r>
          </w:p>
        </w:tc>
        <w:tc>
          <w:tcPr>
            <w:tcW w:w="819"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(11,853)</w:t>
            </w:r>
          </w:p>
        </w:tc>
        <w:tc>
          <w:tcPr>
            <w:tcW w:w="813"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(14,337)</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(15,068)</w:t>
            </w:r>
          </w:p>
        </w:tc>
        <w:tc>
          <w:tcPr>
            <w:tcW w:w="790"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(15,106)</w:t>
            </w:r>
          </w:p>
        </w:tc>
      </w:tr>
      <w:tr w:rsidR="009D025C" w:rsidRPr="009B6E8A" w:rsidTr="009D025C">
        <w:trPr>
          <w:trHeight w:hRule="exact" w:val="236"/>
          <w:jc w:val="center"/>
        </w:trPr>
        <w:tc>
          <w:tcPr>
            <w:tcW w:w="3341" w:type="dxa"/>
            <w:gridSpan w:val="2"/>
            <w:tcBorders>
              <w:top w:val="nil"/>
              <w:left w:val="nil"/>
              <w:bottom w:val="nil"/>
              <w:right w:val="nil"/>
            </w:tcBorders>
            <w:shd w:val="clear" w:color="auto" w:fill="auto"/>
            <w:noWrap/>
            <w:vAlign w:val="center"/>
            <w:hideMark/>
          </w:tcPr>
          <w:p w:rsidR="009D025C" w:rsidRPr="008C32C5" w:rsidRDefault="009D025C" w:rsidP="009C5044">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9D025C" w:rsidRPr="008C32C5" w:rsidRDefault="009D025C" w:rsidP="00DA49F8">
            <w:pPr>
              <w:jc w:val="right"/>
              <w:rPr>
                <w:sz w:val="14"/>
                <w:szCs w:val="14"/>
              </w:rPr>
            </w:pPr>
            <w:r w:rsidRPr="008C32C5">
              <w:rPr>
                <w:sz w:val="14"/>
                <w:szCs w:val="14"/>
              </w:rPr>
              <w:t>(11,843)</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DA49F8">
            <w:pPr>
              <w:jc w:val="right"/>
              <w:rPr>
                <w:sz w:val="14"/>
                <w:szCs w:val="14"/>
              </w:rPr>
            </w:pPr>
            <w:r>
              <w:rPr>
                <w:sz w:val="14"/>
                <w:szCs w:val="14"/>
              </w:rPr>
              <w:t>(12,985)</w:t>
            </w:r>
          </w:p>
        </w:tc>
        <w:tc>
          <w:tcPr>
            <w:tcW w:w="726"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(9,682)</w:t>
            </w:r>
          </w:p>
        </w:tc>
        <w:tc>
          <w:tcPr>
            <w:tcW w:w="721"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(9,247)</w:t>
            </w:r>
          </w:p>
        </w:tc>
        <w:tc>
          <w:tcPr>
            <w:tcW w:w="721" w:type="dxa"/>
            <w:tcBorders>
              <w:top w:val="nil"/>
              <w:left w:val="nil"/>
              <w:bottom w:val="nil"/>
              <w:right w:val="nil"/>
            </w:tcBorders>
            <w:shd w:val="clear" w:color="auto" w:fill="auto"/>
            <w:tcMar>
              <w:left w:w="43" w:type="dxa"/>
              <w:right w:w="43" w:type="dxa"/>
            </w:tcMar>
            <w:vAlign w:val="center"/>
            <w:hideMark/>
          </w:tcPr>
          <w:p w:rsidR="009D025C" w:rsidRDefault="009D025C" w:rsidP="003370AC">
            <w:pPr>
              <w:jc w:val="right"/>
              <w:rPr>
                <w:sz w:val="14"/>
                <w:szCs w:val="14"/>
              </w:rPr>
            </w:pPr>
            <w:r>
              <w:rPr>
                <w:sz w:val="14"/>
                <w:szCs w:val="14"/>
              </w:rPr>
              <w:t>(12,919)</w:t>
            </w:r>
          </w:p>
        </w:tc>
        <w:tc>
          <w:tcPr>
            <w:tcW w:w="819"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(11,025)</w:t>
            </w:r>
          </w:p>
        </w:tc>
        <w:tc>
          <w:tcPr>
            <w:tcW w:w="813"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(11,335)</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(8,954)</w:t>
            </w:r>
          </w:p>
        </w:tc>
        <w:tc>
          <w:tcPr>
            <w:tcW w:w="790"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(8,608)</w:t>
            </w:r>
          </w:p>
        </w:tc>
      </w:tr>
      <w:tr w:rsidR="009D025C" w:rsidRPr="009B6E8A" w:rsidTr="009D025C">
        <w:trPr>
          <w:trHeight w:hRule="exact" w:val="236"/>
          <w:jc w:val="center"/>
        </w:trPr>
        <w:tc>
          <w:tcPr>
            <w:tcW w:w="3341" w:type="dxa"/>
            <w:gridSpan w:val="2"/>
            <w:tcBorders>
              <w:top w:val="nil"/>
              <w:left w:val="nil"/>
              <w:bottom w:val="nil"/>
              <w:right w:val="nil"/>
            </w:tcBorders>
            <w:shd w:val="clear" w:color="auto" w:fill="auto"/>
            <w:noWrap/>
            <w:vAlign w:val="center"/>
            <w:hideMark/>
          </w:tcPr>
          <w:p w:rsidR="009D025C" w:rsidRDefault="009D025C" w:rsidP="009C5044">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9D025C" w:rsidRPr="008C32C5" w:rsidRDefault="009D025C" w:rsidP="00DA49F8">
            <w:pPr>
              <w:jc w:val="right"/>
              <w:rPr>
                <w:b/>
                <w:bCs/>
                <w:sz w:val="14"/>
                <w:szCs w:val="14"/>
              </w:rPr>
            </w:pPr>
            <w:r w:rsidRPr="008C32C5">
              <w:rPr>
                <w:b/>
                <w:bCs/>
                <w:sz w:val="14"/>
                <w:szCs w:val="14"/>
              </w:rPr>
              <w:t>402,348</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DA49F8">
            <w:pPr>
              <w:jc w:val="right"/>
              <w:rPr>
                <w:b/>
                <w:bCs/>
                <w:sz w:val="14"/>
                <w:szCs w:val="14"/>
              </w:rPr>
            </w:pPr>
            <w:r>
              <w:rPr>
                <w:b/>
                <w:bCs/>
                <w:sz w:val="14"/>
                <w:szCs w:val="14"/>
              </w:rPr>
              <w:t>491,157</w:t>
            </w:r>
          </w:p>
        </w:tc>
        <w:tc>
          <w:tcPr>
            <w:tcW w:w="726"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495,611</w:t>
            </w:r>
          </w:p>
        </w:tc>
        <w:tc>
          <w:tcPr>
            <w:tcW w:w="721"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b/>
                <w:bCs/>
                <w:sz w:val="14"/>
                <w:szCs w:val="14"/>
              </w:rPr>
            </w:pPr>
            <w:r>
              <w:rPr>
                <w:b/>
                <w:bCs/>
                <w:sz w:val="14"/>
                <w:szCs w:val="14"/>
              </w:rPr>
              <w:t>499,716</w:t>
            </w:r>
          </w:p>
        </w:tc>
        <w:tc>
          <w:tcPr>
            <w:tcW w:w="721" w:type="dxa"/>
            <w:tcBorders>
              <w:top w:val="nil"/>
              <w:left w:val="nil"/>
              <w:bottom w:val="nil"/>
              <w:right w:val="nil"/>
            </w:tcBorders>
            <w:shd w:val="clear" w:color="auto" w:fill="auto"/>
            <w:tcMar>
              <w:left w:w="43" w:type="dxa"/>
              <w:right w:w="43" w:type="dxa"/>
            </w:tcMar>
            <w:vAlign w:val="center"/>
            <w:hideMark/>
          </w:tcPr>
          <w:p w:rsidR="009D025C" w:rsidRDefault="009D025C" w:rsidP="003370AC">
            <w:pPr>
              <w:jc w:val="right"/>
              <w:rPr>
                <w:b/>
                <w:bCs/>
                <w:sz w:val="14"/>
                <w:szCs w:val="14"/>
              </w:rPr>
            </w:pPr>
            <w:r>
              <w:rPr>
                <w:b/>
                <w:bCs/>
                <w:sz w:val="14"/>
                <w:szCs w:val="14"/>
              </w:rPr>
              <w:t>530,122</w:t>
            </w:r>
          </w:p>
        </w:tc>
        <w:tc>
          <w:tcPr>
            <w:tcW w:w="819"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554,120</w:t>
            </w:r>
          </w:p>
        </w:tc>
        <w:tc>
          <w:tcPr>
            <w:tcW w:w="813"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559,490</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556,586</w:t>
            </w:r>
          </w:p>
        </w:tc>
        <w:tc>
          <w:tcPr>
            <w:tcW w:w="790"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b/>
                <w:bCs/>
                <w:sz w:val="14"/>
                <w:szCs w:val="14"/>
              </w:rPr>
            </w:pPr>
            <w:r>
              <w:rPr>
                <w:b/>
                <w:bCs/>
                <w:sz w:val="14"/>
                <w:szCs w:val="14"/>
              </w:rPr>
              <w:t>561,539</w:t>
            </w:r>
          </w:p>
        </w:tc>
      </w:tr>
      <w:tr w:rsidR="009D025C" w:rsidRPr="009B6E8A" w:rsidTr="009D025C">
        <w:trPr>
          <w:trHeight w:hRule="exact" w:val="236"/>
          <w:jc w:val="center"/>
        </w:trPr>
        <w:tc>
          <w:tcPr>
            <w:tcW w:w="3341" w:type="dxa"/>
            <w:gridSpan w:val="2"/>
            <w:tcBorders>
              <w:top w:val="nil"/>
              <w:left w:val="nil"/>
              <w:bottom w:val="nil"/>
              <w:right w:val="nil"/>
            </w:tcBorders>
            <w:shd w:val="clear" w:color="auto" w:fill="auto"/>
            <w:noWrap/>
            <w:vAlign w:val="center"/>
            <w:hideMark/>
          </w:tcPr>
          <w:p w:rsidR="009D025C" w:rsidRPr="008C32C5" w:rsidRDefault="009D025C" w:rsidP="009C5044">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9D025C" w:rsidRPr="008C32C5" w:rsidRDefault="009D025C" w:rsidP="00DA49F8">
            <w:pPr>
              <w:jc w:val="right"/>
              <w:rPr>
                <w:sz w:val="14"/>
                <w:szCs w:val="14"/>
              </w:rPr>
            </w:pPr>
            <w:r w:rsidRPr="008C32C5">
              <w:rPr>
                <w:sz w:val="14"/>
                <w:szCs w:val="14"/>
              </w:rPr>
              <w:t>407,364</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DA49F8">
            <w:pPr>
              <w:jc w:val="right"/>
              <w:rPr>
                <w:sz w:val="14"/>
                <w:szCs w:val="14"/>
              </w:rPr>
            </w:pPr>
            <w:r>
              <w:rPr>
                <w:sz w:val="14"/>
                <w:szCs w:val="14"/>
              </w:rPr>
              <w:t>500,160</w:t>
            </w:r>
          </w:p>
        </w:tc>
        <w:tc>
          <w:tcPr>
            <w:tcW w:w="726"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497,452</w:t>
            </w:r>
          </w:p>
        </w:tc>
        <w:tc>
          <w:tcPr>
            <w:tcW w:w="721"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501,198</w:t>
            </w:r>
          </w:p>
        </w:tc>
        <w:tc>
          <w:tcPr>
            <w:tcW w:w="721" w:type="dxa"/>
            <w:tcBorders>
              <w:top w:val="nil"/>
              <w:left w:val="nil"/>
              <w:bottom w:val="nil"/>
              <w:right w:val="nil"/>
            </w:tcBorders>
            <w:shd w:val="clear" w:color="auto" w:fill="auto"/>
            <w:tcMar>
              <w:left w:w="43" w:type="dxa"/>
              <w:right w:w="43" w:type="dxa"/>
            </w:tcMar>
            <w:vAlign w:val="center"/>
            <w:hideMark/>
          </w:tcPr>
          <w:p w:rsidR="009D025C" w:rsidRDefault="009D025C" w:rsidP="003370AC">
            <w:pPr>
              <w:jc w:val="right"/>
              <w:rPr>
                <w:sz w:val="14"/>
                <w:szCs w:val="14"/>
              </w:rPr>
            </w:pPr>
            <w:r>
              <w:rPr>
                <w:sz w:val="14"/>
                <w:szCs w:val="14"/>
              </w:rPr>
              <w:t>538,957</w:t>
            </w:r>
          </w:p>
        </w:tc>
        <w:tc>
          <w:tcPr>
            <w:tcW w:w="819"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562,690</w:t>
            </w:r>
          </w:p>
        </w:tc>
        <w:tc>
          <w:tcPr>
            <w:tcW w:w="813"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567,782</w:t>
            </w:r>
          </w:p>
        </w:tc>
        <w:tc>
          <w:tcPr>
            <w:tcW w:w="811" w:type="dxa"/>
            <w:tcBorders>
              <w:top w:val="nil"/>
              <w:left w:val="nil"/>
              <w:bottom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564,745</w:t>
            </w:r>
          </w:p>
        </w:tc>
        <w:tc>
          <w:tcPr>
            <w:tcW w:w="790" w:type="dxa"/>
            <w:tcBorders>
              <w:top w:val="nil"/>
              <w:left w:val="nil"/>
              <w:bottom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569,611</w:t>
            </w:r>
          </w:p>
        </w:tc>
      </w:tr>
      <w:tr w:rsidR="009D025C" w:rsidRPr="009B6E8A" w:rsidTr="009D025C">
        <w:trPr>
          <w:trHeight w:hRule="exact" w:val="236"/>
          <w:jc w:val="center"/>
        </w:trPr>
        <w:tc>
          <w:tcPr>
            <w:tcW w:w="3341" w:type="dxa"/>
            <w:gridSpan w:val="2"/>
            <w:tcBorders>
              <w:top w:val="nil"/>
              <w:left w:val="nil"/>
              <w:right w:val="nil"/>
            </w:tcBorders>
            <w:shd w:val="clear" w:color="auto" w:fill="auto"/>
            <w:noWrap/>
            <w:vAlign w:val="bottom"/>
            <w:hideMark/>
          </w:tcPr>
          <w:p w:rsidR="009D025C" w:rsidRDefault="009D025C" w:rsidP="009C5044">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9D025C" w:rsidRPr="008C32C5" w:rsidRDefault="009D025C" w:rsidP="00DA49F8">
            <w:pPr>
              <w:jc w:val="right"/>
              <w:rPr>
                <w:sz w:val="14"/>
                <w:szCs w:val="14"/>
              </w:rPr>
            </w:pPr>
            <w:r w:rsidRPr="008C32C5">
              <w:rPr>
                <w:sz w:val="14"/>
                <w:szCs w:val="14"/>
              </w:rPr>
              <w:t>51,758</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DA49F8">
            <w:pPr>
              <w:jc w:val="right"/>
              <w:rPr>
                <w:sz w:val="14"/>
                <w:szCs w:val="14"/>
              </w:rPr>
            </w:pPr>
            <w:r>
              <w:rPr>
                <w:sz w:val="14"/>
                <w:szCs w:val="14"/>
              </w:rPr>
              <w:t>1,217</w:t>
            </w:r>
          </w:p>
        </w:tc>
        <w:tc>
          <w:tcPr>
            <w:tcW w:w="726"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51,484</w:t>
            </w:r>
          </w:p>
        </w:tc>
        <w:tc>
          <w:tcPr>
            <w:tcW w:w="721" w:type="dxa"/>
            <w:tcBorders>
              <w:top w:val="nil"/>
              <w:left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51,463</w:t>
            </w:r>
          </w:p>
        </w:tc>
        <w:tc>
          <w:tcPr>
            <w:tcW w:w="721" w:type="dxa"/>
            <w:tcBorders>
              <w:top w:val="nil"/>
              <w:left w:val="nil"/>
              <w:right w:val="nil"/>
            </w:tcBorders>
            <w:shd w:val="clear" w:color="auto" w:fill="auto"/>
            <w:tcMar>
              <w:left w:w="43" w:type="dxa"/>
              <w:right w:w="43" w:type="dxa"/>
            </w:tcMar>
            <w:vAlign w:val="center"/>
            <w:hideMark/>
          </w:tcPr>
          <w:p w:rsidR="009D025C" w:rsidRDefault="009D025C" w:rsidP="003370AC">
            <w:pPr>
              <w:jc w:val="right"/>
              <w:rPr>
                <w:sz w:val="14"/>
                <w:szCs w:val="14"/>
              </w:rPr>
            </w:pPr>
            <w:r>
              <w:rPr>
                <w:sz w:val="14"/>
                <w:szCs w:val="14"/>
              </w:rPr>
              <w:t>1,028</w:t>
            </w:r>
          </w:p>
        </w:tc>
        <w:tc>
          <w:tcPr>
            <w:tcW w:w="819"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993</w:t>
            </w:r>
          </w:p>
        </w:tc>
        <w:tc>
          <w:tcPr>
            <w:tcW w:w="813"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914</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936</w:t>
            </w:r>
          </w:p>
        </w:tc>
        <w:tc>
          <w:tcPr>
            <w:tcW w:w="790" w:type="dxa"/>
            <w:tcBorders>
              <w:top w:val="nil"/>
              <w:left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935</w:t>
            </w:r>
          </w:p>
        </w:tc>
      </w:tr>
      <w:tr w:rsidR="009D025C" w:rsidRPr="009B6E8A" w:rsidTr="009D025C">
        <w:trPr>
          <w:trHeight w:hRule="exact" w:val="236"/>
          <w:jc w:val="center"/>
        </w:trPr>
        <w:tc>
          <w:tcPr>
            <w:tcW w:w="3341" w:type="dxa"/>
            <w:gridSpan w:val="2"/>
            <w:tcBorders>
              <w:top w:val="nil"/>
              <w:left w:val="nil"/>
              <w:right w:val="nil"/>
            </w:tcBorders>
            <w:shd w:val="clear" w:color="auto" w:fill="auto"/>
            <w:noWrap/>
            <w:vAlign w:val="bottom"/>
            <w:hideMark/>
          </w:tcPr>
          <w:p w:rsidR="009D025C" w:rsidRDefault="009D025C" w:rsidP="009C5044">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9D025C" w:rsidRPr="008C32C5" w:rsidRDefault="009D025C" w:rsidP="00DA49F8">
            <w:pPr>
              <w:jc w:val="right"/>
              <w:rPr>
                <w:sz w:val="14"/>
                <w:szCs w:val="14"/>
              </w:rPr>
            </w:pPr>
            <w:r w:rsidRPr="008C32C5">
              <w:rPr>
                <w:sz w:val="14"/>
                <w:szCs w:val="14"/>
              </w:rPr>
              <w:t>42,321</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DA49F8">
            <w:pPr>
              <w:jc w:val="right"/>
              <w:rPr>
                <w:sz w:val="14"/>
                <w:szCs w:val="14"/>
              </w:rPr>
            </w:pPr>
            <w:r>
              <w:rPr>
                <w:sz w:val="14"/>
                <w:szCs w:val="14"/>
              </w:rPr>
              <w:t>79,196</w:t>
            </w:r>
          </w:p>
        </w:tc>
        <w:tc>
          <w:tcPr>
            <w:tcW w:w="726"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66,472</w:t>
            </w:r>
          </w:p>
        </w:tc>
        <w:tc>
          <w:tcPr>
            <w:tcW w:w="721" w:type="dxa"/>
            <w:tcBorders>
              <w:top w:val="nil"/>
              <w:left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70,950</w:t>
            </w:r>
          </w:p>
        </w:tc>
        <w:tc>
          <w:tcPr>
            <w:tcW w:w="721" w:type="dxa"/>
            <w:tcBorders>
              <w:top w:val="nil"/>
              <w:left w:val="nil"/>
              <w:right w:val="nil"/>
            </w:tcBorders>
            <w:shd w:val="clear" w:color="auto" w:fill="auto"/>
            <w:tcMar>
              <w:left w:w="43" w:type="dxa"/>
              <w:right w:w="43" w:type="dxa"/>
            </w:tcMar>
            <w:vAlign w:val="center"/>
            <w:hideMark/>
          </w:tcPr>
          <w:p w:rsidR="009D025C" w:rsidRDefault="009D025C" w:rsidP="003370AC">
            <w:pPr>
              <w:jc w:val="right"/>
              <w:rPr>
                <w:sz w:val="14"/>
                <w:szCs w:val="14"/>
              </w:rPr>
            </w:pPr>
            <w:r>
              <w:rPr>
                <w:sz w:val="14"/>
                <w:szCs w:val="14"/>
              </w:rPr>
              <w:t>94,726</w:t>
            </w:r>
          </w:p>
        </w:tc>
        <w:tc>
          <w:tcPr>
            <w:tcW w:w="819"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97,661</w:t>
            </w:r>
          </w:p>
        </w:tc>
        <w:tc>
          <w:tcPr>
            <w:tcW w:w="813"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99,557</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103,063</w:t>
            </w:r>
          </w:p>
        </w:tc>
        <w:tc>
          <w:tcPr>
            <w:tcW w:w="790" w:type="dxa"/>
            <w:tcBorders>
              <w:top w:val="nil"/>
              <w:left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106,260</w:t>
            </w:r>
          </w:p>
        </w:tc>
      </w:tr>
      <w:tr w:rsidR="009D025C" w:rsidRPr="009B6E8A" w:rsidTr="009D025C">
        <w:trPr>
          <w:trHeight w:hRule="exact" w:val="236"/>
          <w:jc w:val="center"/>
        </w:trPr>
        <w:tc>
          <w:tcPr>
            <w:tcW w:w="3341" w:type="dxa"/>
            <w:gridSpan w:val="2"/>
            <w:tcBorders>
              <w:top w:val="nil"/>
              <w:left w:val="nil"/>
              <w:right w:val="nil"/>
            </w:tcBorders>
            <w:shd w:val="clear" w:color="auto" w:fill="auto"/>
            <w:noWrap/>
            <w:vAlign w:val="bottom"/>
            <w:hideMark/>
          </w:tcPr>
          <w:p w:rsidR="009D025C" w:rsidRDefault="009D025C" w:rsidP="009C5044">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9D025C" w:rsidRPr="008C32C5" w:rsidRDefault="009D025C" w:rsidP="00DA49F8">
            <w:pPr>
              <w:jc w:val="right"/>
              <w:rPr>
                <w:sz w:val="14"/>
                <w:szCs w:val="14"/>
              </w:rPr>
            </w:pPr>
            <w:r w:rsidRPr="008C32C5">
              <w:rPr>
                <w:sz w:val="14"/>
                <w:szCs w:val="14"/>
              </w:rPr>
              <w:t>204,617</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DA49F8">
            <w:pPr>
              <w:jc w:val="right"/>
              <w:rPr>
                <w:sz w:val="14"/>
                <w:szCs w:val="14"/>
              </w:rPr>
            </w:pPr>
            <w:r>
              <w:rPr>
                <w:sz w:val="14"/>
                <w:szCs w:val="14"/>
              </w:rPr>
              <w:t>238,383</w:t>
            </w:r>
          </w:p>
        </w:tc>
        <w:tc>
          <w:tcPr>
            <w:tcW w:w="726"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243,396</w:t>
            </w:r>
          </w:p>
        </w:tc>
        <w:tc>
          <w:tcPr>
            <w:tcW w:w="721" w:type="dxa"/>
            <w:tcBorders>
              <w:top w:val="nil"/>
              <w:left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242,984</w:t>
            </w:r>
          </w:p>
        </w:tc>
        <w:tc>
          <w:tcPr>
            <w:tcW w:w="721" w:type="dxa"/>
            <w:tcBorders>
              <w:top w:val="nil"/>
              <w:left w:val="nil"/>
              <w:right w:val="nil"/>
            </w:tcBorders>
            <w:shd w:val="clear" w:color="auto" w:fill="auto"/>
            <w:tcMar>
              <w:left w:w="43" w:type="dxa"/>
              <w:right w:w="43" w:type="dxa"/>
            </w:tcMar>
            <w:vAlign w:val="center"/>
            <w:hideMark/>
          </w:tcPr>
          <w:p w:rsidR="009D025C" w:rsidRDefault="009D025C" w:rsidP="003370AC">
            <w:pPr>
              <w:jc w:val="right"/>
              <w:rPr>
                <w:sz w:val="14"/>
                <w:szCs w:val="14"/>
              </w:rPr>
            </w:pPr>
            <w:r>
              <w:rPr>
                <w:sz w:val="14"/>
                <w:szCs w:val="14"/>
              </w:rPr>
              <w:t>278,572</w:t>
            </w:r>
          </w:p>
        </w:tc>
        <w:tc>
          <w:tcPr>
            <w:tcW w:w="819"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299,206</w:t>
            </w:r>
          </w:p>
        </w:tc>
        <w:tc>
          <w:tcPr>
            <w:tcW w:w="813"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302,481</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296,155</w:t>
            </w:r>
          </w:p>
        </w:tc>
        <w:tc>
          <w:tcPr>
            <w:tcW w:w="790" w:type="dxa"/>
            <w:tcBorders>
              <w:top w:val="nil"/>
              <w:left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296,358</w:t>
            </w:r>
          </w:p>
        </w:tc>
      </w:tr>
      <w:tr w:rsidR="009D025C" w:rsidRPr="009B6E8A" w:rsidTr="009D025C">
        <w:trPr>
          <w:trHeight w:hRule="exact" w:val="236"/>
          <w:jc w:val="center"/>
        </w:trPr>
        <w:tc>
          <w:tcPr>
            <w:tcW w:w="3341" w:type="dxa"/>
            <w:gridSpan w:val="2"/>
            <w:tcBorders>
              <w:top w:val="nil"/>
              <w:left w:val="nil"/>
              <w:right w:val="nil"/>
            </w:tcBorders>
            <w:shd w:val="clear" w:color="auto" w:fill="auto"/>
            <w:noWrap/>
            <w:vAlign w:val="bottom"/>
            <w:hideMark/>
          </w:tcPr>
          <w:p w:rsidR="009D025C" w:rsidRDefault="009D025C" w:rsidP="009C5044">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9D025C" w:rsidRPr="008C32C5" w:rsidRDefault="009D025C" w:rsidP="00DA49F8">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9D025C" w:rsidRPr="008C32C5" w:rsidRDefault="009D025C" w:rsidP="00DA49F8">
            <w:pPr>
              <w:jc w:val="right"/>
              <w:rPr>
                <w:sz w:val="14"/>
                <w:szCs w:val="14"/>
              </w:rPr>
            </w:pPr>
            <w:r w:rsidRPr="008C32C5">
              <w:rPr>
                <w:sz w:val="14"/>
                <w:szCs w:val="14"/>
              </w:rPr>
              <w:t>-</w:t>
            </w:r>
          </w:p>
        </w:tc>
        <w:tc>
          <w:tcPr>
            <w:tcW w:w="726"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w:t>
            </w:r>
          </w:p>
        </w:tc>
        <w:tc>
          <w:tcPr>
            <w:tcW w:w="721" w:type="dxa"/>
            <w:tcBorders>
              <w:top w:val="nil"/>
              <w:left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w:t>
            </w:r>
          </w:p>
        </w:tc>
        <w:tc>
          <w:tcPr>
            <w:tcW w:w="721" w:type="dxa"/>
            <w:tcBorders>
              <w:top w:val="nil"/>
              <w:left w:val="nil"/>
              <w:right w:val="nil"/>
            </w:tcBorders>
            <w:shd w:val="clear" w:color="auto" w:fill="auto"/>
            <w:tcMar>
              <w:left w:w="43" w:type="dxa"/>
              <w:right w:w="43" w:type="dxa"/>
            </w:tcMar>
            <w:vAlign w:val="center"/>
            <w:hideMark/>
          </w:tcPr>
          <w:p w:rsidR="009D025C" w:rsidRDefault="009D025C" w:rsidP="003370AC">
            <w:pPr>
              <w:jc w:val="right"/>
              <w:rPr>
                <w:sz w:val="14"/>
                <w:szCs w:val="14"/>
              </w:rPr>
            </w:pPr>
            <w:r>
              <w:rPr>
                <w:sz w:val="14"/>
                <w:szCs w:val="14"/>
              </w:rPr>
              <w:t>-</w:t>
            </w:r>
          </w:p>
        </w:tc>
        <w:tc>
          <w:tcPr>
            <w:tcW w:w="819"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w:t>
            </w:r>
          </w:p>
        </w:tc>
        <w:tc>
          <w:tcPr>
            <w:tcW w:w="813"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w:t>
            </w:r>
          </w:p>
        </w:tc>
        <w:tc>
          <w:tcPr>
            <w:tcW w:w="790" w:type="dxa"/>
            <w:tcBorders>
              <w:top w:val="nil"/>
              <w:left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w:t>
            </w:r>
          </w:p>
        </w:tc>
      </w:tr>
      <w:tr w:rsidR="009D025C" w:rsidRPr="009B6E8A" w:rsidTr="009D025C">
        <w:trPr>
          <w:trHeight w:hRule="exact" w:val="236"/>
          <w:jc w:val="center"/>
        </w:trPr>
        <w:tc>
          <w:tcPr>
            <w:tcW w:w="3341" w:type="dxa"/>
            <w:gridSpan w:val="2"/>
            <w:tcBorders>
              <w:top w:val="nil"/>
              <w:left w:val="nil"/>
              <w:right w:val="nil"/>
            </w:tcBorders>
            <w:shd w:val="clear" w:color="auto" w:fill="auto"/>
            <w:noWrap/>
            <w:vAlign w:val="bottom"/>
            <w:hideMark/>
          </w:tcPr>
          <w:p w:rsidR="009D025C" w:rsidRDefault="009D025C" w:rsidP="009C5044">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9D025C" w:rsidRPr="008C32C5" w:rsidRDefault="009D025C" w:rsidP="00DA49F8">
            <w:pPr>
              <w:jc w:val="right"/>
              <w:rPr>
                <w:sz w:val="14"/>
                <w:szCs w:val="14"/>
              </w:rPr>
            </w:pPr>
            <w:r w:rsidRPr="008C32C5">
              <w:rPr>
                <w:sz w:val="14"/>
                <w:szCs w:val="14"/>
              </w:rPr>
              <w:t>108,668</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DA49F8">
            <w:pPr>
              <w:jc w:val="right"/>
              <w:rPr>
                <w:sz w:val="14"/>
                <w:szCs w:val="14"/>
              </w:rPr>
            </w:pPr>
            <w:r>
              <w:rPr>
                <w:sz w:val="14"/>
                <w:szCs w:val="14"/>
              </w:rPr>
              <w:t>181,364</w:t>
            </w:r>
          </w:p>
        </w:tc>
        <w:tc>
          <w:tcPr>
            <w:tcW w:w="726"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136,101</w:t>
            </w:r>
          </w:p>
        </w:tc>
        <w:tc>
          <w:tcPr>
            <w:tcW w:w="721" w:type="dxa"/>
            <w:tcBorders>
              <w:top w:val="nil"/>
              <w:left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135,801</w:t>
            </w:r>
          </w:p>
        </w:tc>
        <w:tc>
          <w:tcPr>
            <w:tcW w:w="721" w:type="dxa"/>
            <w:tcBorders>
              <w:top w:val="nil"/>
              <w:left w:val="nil"/>
              <w:right w:val="nil"/>
            </w:tcBorders>
            <w:shd w:val="clear" w:color="auto" w:fill="auto"/>
            <w:tcMar>
              <w:left w:w="43" w:type="dxa"/>
              <w:right w:w="43" w:type="dxa"/>
            </w:tcMar>
            <w:vAlign w:val="center"/>
            <w:hideMark/>
          </w:tcPr>
          <w:p w:rsidR="009D025C" w:rsidRDefault="009D025C" w:rsidP="003370AC">
            <w:pPr>
              <w:jc w:val="right"/>
              <w:rPr>
                <w:sz w:val="14"/>
                <w:szCs w:val="14"/>
              </w:rPr>
            </w:pPr>
            <w:r>
              <w:rPr>
                <w:sz w:val="14"/>
                <w:szCs w:val="14"/>
              </w:rPr>
              <w:t>164,631</w:t>
            </w:r>
          </w:p>
        </w:tc>
        <w:tc>
          <w:tcPr>
            <w:tcW w:w="819"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164,830</w:t>
            </w:r>
          </w:p>
        </w:tc>
        <w:tc>
          <w:tcPr>
            <w:tcW w:w="813"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164,830</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164,592</w:t>
            </w:r>
          </w:p>
        </w:tc>
        <w:tc>
          <w:tcPr>
            <w:tcW w:w="790" w:type="dxa"/>
            <w:tcBorders>
              <w:top w:val="nil"/>
              <w:left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166,059</w:t>
            </w:r>
          </w:p>
        </w:tc>
      </w:tr>
      <w:tr w:rsidR="009D025C" w:rsidRPr="009B6E8A" w:rsidTr="009D025C">
        <w:trPr>
          <w:trHeight w:hRule="exact" w:val="236"/>
          <w:jc w:val="center"/>
        </w:trPr>
        <w:tc>
          <w:tcPr>
            <w:tcW w:w="3341" w:type="dxa"/>
            <w:gridSpan w:val="2"/>
            <w:tcBorders>
              <w:top w:val="nil"/>
              <w:left w:val="nil"/>
              <w:right w:val="nil"/>
            </w:tcBorders>
            <w:shd w:val="clear" w:color="auto" w:fill="auto"/>
            <w:noWrap/>
            <w:vAlign w:val="center"/>
            <w:hideMark/>
          </w:tcPr>
          <w:p w:rsidR="009D025C" w:rsidRPr="008C32C5" w:rsidRDefault="009D025C" w:rsidP="009C5044">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9D025C" w:rsidRPr="008C32C5" w:rsidRDefault="009D025C" w:rsidP="00DA49F8">
            <w:pPr>
              <w:jc w:val="right"/>
              <w:rPr>
                <w:sz w:val="14"/>
                <w:szCs w:val="14"/>
              </w:rPr>
            </w:pPr>
            <w:r w:rsidRPr="008C32C5">
              <w:rPr>
                <w:sz w:val="14"/>
                <w:szCs w:val="14"/>
              </w:rPr>
              <w:t>19,228</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DA49F8">
            <w:pPr>
              <w:jc w:val="right"/>
              <w:rPr>
                <w:sz w:val="14"/>
                <w:szCs w:val="14"/>
              </w:rPr>
            </w:pPr>
            <w:r>
              <w:rPr>
                <w:sz w:val="14"/>
                <w:szCs w:val="14"/>
              </w:rPr>
              <w:t>15,241</w:t>
            </w:r>
          </w:p>
        </w:tc>
        <w:tc>
          <w:tcPr>
            <w:tcW w:w="726"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22,403</w:t>
            </w:r>
          </w:p>
        </w:tc>
        <w:tc>
          <w:tcPr>
            <w:tcW w:w="721" w:type="dxa"/>
            <w:tcBorders>
              <w:top w:val="nil"/>
              <w:left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22,762</w:t>
            </w:r>
          </w:p>
        </w:tc>
        <w:tc>
          <w:tcPr>
            <w:tcW w:w="721" w:type="dxa"/>
            <w:tcBorders>
              <w:top w:val="nil"/>
              <w:left w:val="nil"/>
              <w:right w:val="nil"/>
            </w:tcBorders>
            <w:shd w:val="clear" w:color="auto" w:fill="auto"/>
            <w:tcMar>
              <w:left w:w="43" w:type="dxa"/>
              <w:right w:w="43" w:type="dxa"/>
            </w:tcMar>
            <w:vAlign w:val="center"/>
            <w:hideMark/>
          </w:tcPr>
          <w:p w:rsidR="009D025C" w:rsidRDefault="009D025C" w:rsidP="003370AC">
            <w:pPr>
              <w:jc w:val="right"/>
              <w:rPr>
                <w:sz w:val="14"/>
                <w:szCs w:val="14"/>
              </w:rPr>
            </w:pPr>
            <w:r>
              <w:rPr>
                <w:sz w:val="14"/>
                <w:szCs w:val="14"/>
              </w:rPr>
              <w:t>15,409</w:t>
            </w:r>
          </w:p>
        </w:tc>
        <w:tc>
          <w:tcPr>
            <w:tcW w:w="819"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15,674</w:t>
            </w:r>
          </w:p>
        </w:tc>
        <w:tc>
          <w:tcPr>
            <w:tcW w:w="813"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15,952</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16,085</w:t>
            </w:r>
          </w:p>
        </w:tc>
        <w:tc>
          <w:tcPr>
            <w:tcW w:w="790" w:type="dxa"/>
            <w:tcBorders>
              <w:top w:val="nil"/>
              <w:left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16,171</w:t>
            </w:r>
          </w:p>
        </w:tc>
      </w:tr>
      <w:tr w:rsidR="009D025C" w:rsidRPr="009B6E8A" w:rsidTr="009D025C">
        <w:trPr>
          <w:trHeight w:hRule="exact" w:val="369"/>
          <w:jc w:val="center"/>
        </w:trPr>
        <w:tc>
          <w:tcPr>
            <w:tcW w:w="3341" w:type="dxa"/>
            <w:gridSpan w:val="2"/>
            <w:tcBorders>
              <w:top w:val="nil"/>
              <w:left w:val="nil"/>
              <w:right w:val="nil"/>
            </w:tcBorders>
            <w:shd w:val="clear" w:color="auto" w:fill="auto"/>
            <w:noWrap/>
            <w:vAlign w:val="center"/>
            <w:hideMark/>
          </w:tcPr>
          <w:p w:rsidR="009D025C" w:rsidRDefault="009D025C" w:rsidP="009C5044">
            <w:pPr>
              <w:ind w:firstLineChars="196" w:firstLine="314"/>
              <w:jc w:val="left"/>
              <w:rPr>
                <w:szCs w:val="16"/>
              </w:rPr>
            </w:pPr>
            <w:r>
              <w:rPr>
                <w:szCs w:val="16"/>
              </w:rPr>
              <w:t>iii. PSEs Special A/C</w:t>
            </w:r>
            <w:r w:rsidRPr="008C32C5">
              <w:rPr>
                <w:szCs w:val="16"/>
              </w:rPr>
              <w:t xml:space="preserve"> Debt Repayment</w:t>
            </w:r>
          </w:p>
          <w:p w:rsidR="009D025C" w:rsidRPr="008C32C5" w:rsidRDefault="009D025C" w:rsidP="009C5044">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9D025C" w:rsidRPr="008C32C5" w:rsidRDefault="009D025C" w:rsidP="00DA49F8">
            <w:pPr>
              <w:jc w:val="right"/>
              <w:rPr>
                <w:sz w:val="14"/>
                <w:szCs w:val="14"/>
              </w:rPr>
            </w:pPr>
            <w:r w:rsidRPr="008C32C5">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DA49F8">
            <w:pPr>
              <w:jc w:val="right"/>
              <w:rPr>
                <w:sz w:val="14"/>
                <w:szCs w:val="14"/>
              </w:rPr>
            </w:pPr>
            <w:r>
              <w:rPr>
                <w:sz w:val="14"/>
                <w:szCs w:val="14"/>
              </w:rPr>
              <w:t>(24,244)</w:t>
            </w:r>
          </w:p>
        </w:tc>
        <w:tc>
          <w:tcPr>
            <w:tcW w:w="726"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(24,244)</w:t>
            </w:r>
          </w:p>
        </w:tc>
        <w:tc>
          <w:tcPr>
            <w:tcW w:w="721" w:type="dxa"/>
            <w:tcBorders>
              <w:top w:val="nil"/>
              <w:left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(24,244)</w:t>
            </w:r>
          </w:p>
        </w:tc>
        <w:tc>
          <w:tcPr>
            <w:tcW w:w="721" w:type="dxa"/>
            <w:tcBorders>
              <w:top w:val="nil"/>
              <w:left w:val="nil"/>
              <w:right w:val="nil"/>
            </w:tcBorders>
            <w:shd w:val="clear" w:color="auto" w:fill="auto"/>
            <w:tcMar>
              <w:left w:w="43" w:type="dxa"/>
              <w:right w:w="43" w:type="dxa"/>
            </w:tcMar>
            <w:vAlign w:val="center"/>
            <w:hideMark/>
          </w:tcPr>
          <w:p w:rsidR="009D025C" w:rsidRDefault="009D025C" w:rsidP="003370AC">
            <w:pPr>
              <w:jc w:val="right"/>
              <w:rPr>
                <w:sz w:val="14"/>
                <w:szCs w:val="14"/>
              </w:rPr>
            </w:pPr>
            <w:r>
              <w:rPr>
                <w:sz w:val="14"/>
                <w:szCs w:val="14"/>
              </w:rPr>
              <w:t>(24,244)</w:t>
            </w:r>
          </w:p>
        </w:tc>
        <w:tc>
          <w:tcPr>
            <w:tcW w:w="819"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(24,244)</w:t>
            </w:r>
          </w:p>
        </w:tc>
        <w:tc>
          <w:tcPr>
            <w:tcW w:w="813"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(24,244)</w:t>
            </w:r>
          </w:p>
        </w:tc>
        <w:tc>
          <w:tcPr>
            <w:tcW w:w="790" w:type="dxa"/>
            <w:tcBorders>
              <w:top w:val="nil"/>
              <w:left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(24,244)</w:t>
            </w:r>
          </w:p>
        </w:tc>
      </w:tr>
      <w:tr w:rsidR="009D025C" w:rsidRPr="009B6E8A" w:rsidTr="009D025C">
        <w:trPr>
          <w:trHeight w:hRule="exact" w:val="276"/>
          <w:jc w:val="center"/>
        </w:trPr>
        <w:tc>
          <w:tcPr>
            <w:tcW w:w="3341" w:type="dxa"/>
            <w:gridSpan w:val="2"/>
            <w:tcBorders>
              <w:top w:val="nil"/>
              <w:left w:val="nil"/>
              <w:right w:val="nil"/>
            </w:tcBorders>
            <w:shd w:val="clear" w:color="auto" w:fill="auto"/>
            <w:noWrap/>
            <w:vAlign w:val="center"/>
            <w:hideMark/>
          </w:tcPr>
          <w:p w:rsidR="009D025C" w:rsidRDefault="009D025C" w:rsidP="009C5044">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9D025C" w:rsidRPr="008C32C5" w:rsidRDefault="009D025C" w:rsidP="00DA49F8">
            <w:pPr>
              <w:jc w:val="right"/>
              <w:rPr>
                <w:b/>
                <w:bCs/>
                <w:sz w:val="14"/>
                <w:szCs w:val="14"/>
              </w:rPr>
            </w:pPr>
            <w:r w:rsidRPr="008C32C5">
              <w:rPr>
                <w:b/>
                <w:bCs/>
                <w:sz w:val="14"/>
                <w:szCs w:val="14"/>
              </w:rPr>
              <w:t>1,107,867</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DA49F8">
            <w:pPr>
              <w:jc w:val="right"/>
              <w:rPr>
                <w:b/>
                <w:bCs/>
                <w:sz w:val="14"/>
                <w:szCs w:val="14"/>
              </w:rPr>
            </w:pPr>
            <w:r>
              <w:rPr>
                <w:b/>
                <w:bCs/>
                <w:sz w:val="14"/>
                <w:szCs w:val="14"/>
              </w:rPr>
              <w:t>1,210,768</w:t>
            </w:r>
          </w:p>
        </w:tc>
        <w:tc>
          <w:tcPr>
            <w:tcW w:w="726"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457,817</w:t>
            </w:r>
          </w:p>
        </w:tc>
        <w:tc>
          <w:tcPr>
            <w:tcW w:w="721" w:type="dxa"/>
            <w:tcBorders>
              <w:top w:val="nil"/>
              <w:left w:val="nil"/>
              <w:right w:val="nil"/>
            </w:tcBorders>
            <w:shd w:val="clear" w:color="auto" w:fill="auto"/>
            <w:noWrap/>
            <w:tcMar>
              <w:left w:w="43" w:type="dxa"/>
              <w:right w:w="43" w:type="dxa"/>
            </w:tcMar>
            <w:vAlign w:val="center"/>
            <w:hideMark/>
          </w:tcPr>
          <w:p w:rsidR="009D025C" w:rsidRDefault="009D025C" w:rsidP="009D025C">
            <w:pPr>
              <w:jc w:val="right"/>
              <w:rPr>
                <w:b/>
                <w:bCs/>
                <w:sz w:val="14"/>
                <w:szCs w:val="14"/>
              </w:rPr>
            </w:pPr>
            <w:r>
              <w:rPr>
                <w:b/>
                <w:bCs/>
                <w:sz w:val="14"/>
                <w:szCs w:val="14"/>
              </w:rPr>
              <w:t>675,808</w:t>
            </w:r>
          </w:p>
        </w:tc>
        <w:tc>
          <w:tcPr>
            <w:tcW w:w="721" w:type="dxa"/>
            <w:tcBorders>
              <w:top w:val="nil"/>
              <w:left w:val="nil"/>
              <w:right w:val="nil"/>
            </w:tcBorders>
            <w:shd w:val="clear" w:color="auto" w:fill="auto"/>
            <w:tcMar>
              <w:left w:w="43" w:type="dxa"/>
              <w:right w:w="43" w:type="dxa"/>
            </w:tcMar>
            <w:vAlign w:val="center"/>
            <w:hideMark/>
          </w:tcPr>
          <w:p w:rsidR="009D025C" w:rsidRDefault="009D025C" w:rsidP="003370AC">
            <w:pPr>
              <w:jc w:val="right"/>
              <w:rPr>
                <w:b/>
                <w:bCs/>
                <w:sz w:val="14"/>
                <w:szCs w:val="14"/>
              </w:rPr>
            </w:pPr>
            <w:r>
              <w:rPr>
                <w:b/>
                <w:bCs/>
                <w:sz w:val="14"/>
                <w:szCs w:val="14"/>
              </w:rPr>
              <w:t>1,262,108</w:t>
            </w:r>
          </w:p>
        </w:tc>
        <w:tc>
          <w:tcPr>
            <w:tcW w:w="819"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1,351,933</w:t>
            </w:r>
          </w:p>
        </w:tc>
        <w:tc>
          <w:tcPr>
            <w:tcW w:w="813"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591,071</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1,187,587</w:t>
            </w:r>
          </w:p>
        </w:tc>
        <w:tc>
          <w:tcPr>
            <w:tcW w:w="790" w:type="dxa"/>
            <w:tcBorders>
              <w:top w:val="nil"/>
              <w:left w:val="nil"/>
              <w:right w:val="nil"/>
            </w:tcBorders>
            <w:shd w:val="clear" w:color="auto" w:fill="auto"/>
            <w:noWrap/>
            <w:tcMar>
              <w:left w:w="43" w:type="dxa"/>
              <w:right w:w="43" w:type="dxa"/>
            </w:tcMar>
            <w:vAlign w:val="center"/>
            <w:hideMark/>
          </w:tcPr>
          <w:p w:rsidR="009D025C" w:rsidRDefault="009D025C" w:rsidP="009D025C">
            <w:pPr>
              <w:jc w:val="right"/>
              <w:rPr>
                <w:b/>
                <w:bCs/>
                <w:sz w:val="14"/>
                <w:szCs w:val="14"/>
              </w:rPr>
            </w:pPr>
            <w:r>
              <w:rPr>
                <w:b/>
                <w:bCs/>
                <w:sz w:val="14"/>
                <w:szCs w:val="14"/>
              </w:rPr>
              <w:t>(362,737)</w:t>
            </w:r>
          </w:p>
        </w:tc>
      </w:tr>
      <w:tr w:rsidR="009D025C" w:rsidRPr="009B6E8A" w:rsidTr="009D025C">
        <w:trPr>
          <w:trHeight w:hRule="exact" w:val="236"/>
          <w:jc w:val="center"/>
        </w:trPr>
        <w:tc>
          <w:tcPr>
            <w:tcW w:w="3341" w:type="dxa"/>
            <w:gridSpan w:val="2"/>
            <w:tcBorders>
              <w:top w:val="nil"/>
              <w:left w:val="nil"/>
              <w:right w:val="nil"/>
            </w:tcBorders>
            <w:shd w:val="clear" w:color="auto" w:fill="auto"/>
            <w:noWrap/>
            <w:vAlign w:val="bottom"/>
            <w:hideMark/>
          </w:tcPr>
          <w:p w:rsidR="009D025C" w:rsidRDefault="009D025C" w:rsidP="009C5044">
            <w:pPr>
              <w:rPr>
                <w:b/>
                <w:bCs/>
                <w:szCs w:val="16"/>
              </w:rPr>
            </w:pPr>
          </w:p>
        </w:tc>
        <w:tc>
          <w:tcPr>
            <w:tcW w:w="847" w:type="dxa"/>
            <w:tcBorders>
              <w:top w:val="nil"/>
              <w:left w:val="nil"/>
              <w:right w:val="nil"/>
            </w:tcBorders>
            <w:shd w:val="clear" w:color="auto" w:fill="auto"/>
            <w:noWrap/>
            <w:tcMar>
              <w:left w:w="43" w:type="dxa"/>
              <w:right w:w="43" w:type="dxa"/>
            </w:tcMar>
            <w:vAlign w:val="center"/>
            <w:hideMark/>
          </w:tcPr>
          <w:p w:rsidR="009D025C" w:rsidRPr="008C32C5" w:rsidRDefault="009D025C" w:rsidP="00DA49F8">
            <w:pPr>
              <w:jc w:val="right"/>
              <w:rPr>
                <w:sz w:val="14"/>
                <w:szCs w:val="14"/>
              </w:rPr>
            </w:pP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DA49F8">
            <w:pPr>
              <w:jc w:val="right"/>
              <w:rPr>
                <w:sz w:val="20"/>
              </w:rPr>
            </w:pPr>
          </w:p>
        </w:tc>
        <w:tc>
          <w:tcPr>
            <w:tcW w:w="726"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20"/>
              </w:rPr>
            </w:pPr>
          </w:p>
        </w:tc>
        <w:tc>
          <w:tcPr>
            <w:tcW w:w="721" w:type="dxa"/>
            <w:tcBorders>
              <w:top w:val="nil"/>
              <w:left w:val="nil"/>
              <w:right w:val="nil"/>
            </w:tcBorders>
            <w:shd w:val="clear" w:color="auto" w:fill="auto"/>
            <w:noWrap/>
            <w:tcMar>
              <w:left w:w="43" w:type="dxa"/>
              <w:right w:w="43" w:type="dxa"/>
            </w:tcMar>
            <w:vAlign w:val="center"/>
            <w:hideMark/>
          </w:tcPr>
          <w:p w:rsidR="009D025C" w:rsidRDefault="009D025C" w:rsidP="009D025C">
            <w:pPr>
              <w:jc w:val="right"/>
              <w:rPr>
                <w:sz w:val="20"/>
              </w:rPr>
            </w:pPr>
          </w:p>
        </w:tc>
        <w:tc>
          <w:tcPr>
            <w:tcW w:w="721" w:type="dxa"/>
            <w:tcBorders>
              <w:top w:val="nil"/>
              <w:left w:val="nil"/>
              <w:right w:val="nil"/>
            </w:tcBorders>
            <w:shd w:val="clear" w:color="auto" w:fill="auto"/>
            <w:tcMar>
              <w:left w:w="43" w:type="dxa"/>
              <w:right w:w="43" w:type="dxa"/>
            </w:tcMar>
            <w:vAlign w:val="center"/>
            <w:hideMark/>
          </w:tcPr>
          <w:p w:rsidR="009D025C" w:rsidRDefault="009D025C" w:rsidP="003370AC">
            <w:pPr>
              <w:jc w:val="right"/>
              <w:rPr>
                <w:rFonts w:ascii="Calibri" w:hAnsi="Calibri"/>
                <w:sz w:val="22"/>
                <w:szCs w:val="22"/>
              </w:rPr>
            </w:pPr>
          </w:p>
        </w:tc>
        <w:tc>
          <w:tcPr>
            <w:tcW w:w="819"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20"/>
              </w:rPr>
            </w:pPr>
          </w:p>
        </w:tc>
        <w:tc>
          <w:tcPr>
            <w:tcW w:w="813"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20"/>
              </w:rPr>
            </w:pP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20"/>
              </w:rPr>
            </w:pPr>
          </w:p>
        </w:tc>
        <w:tc>
          <w:tcPr>
            <w:tcW w:w="790" w:type="dxa"/>
            <w:tcBorders>
              <w:top w:val="nil"/>
              <w:left w:val="nil"/>
              <w:right w:val="nil"/>
            </w:tcBorders>
            <w:shd w:val="clear" w:color="auto" w:fill="auto"/>
            <w:noWrap/>
            <w:tcMar>
              <w:left w:w="43" w:type="dxa"/>
              <w:right w:w="43" w:type="dxa"/>
            </w:tcMar>
            <w:vAlign w:val="center"/>
            <w:hideMark/>
          </w:tcPr>
          <w:p w:rsidR="009D025C" w:rsidRDefault="009D025C" w:rsidP="009D025C">
            <w:pPr>
              <w:jc w:val="right"/>
              <w:rPr>
                <w:sz w:val="20"/>
              </w:rPr>
            </w:pPr>
          </w:p>
        </w:tc>
      </w:tr>
      <w:tr w:rsidR="009D025C" w:rsidRPr="009B6E8A" w:rsidTr="009D025C">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9D025C" w:rsidRDefault="009D025C" w:rsidP="009C5044">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9D025C" w:rsidRPr="008C32C5" w:rsidRDefault="009D025C" w:rsidP="00DA49F8">
            <w:pPr>
              <w:jc w:val="right"/>
              <w:rPr>
                <w:b/>
                <w:bCs/>
                <w:sz w:val="14"/>
                <w:szCs w:val="14"/>
              </w:rPr>
            </w:pPr>
            <w:r w:rsidRPr="008C32C5">
              <w:rPr>
                <w:b/>
                <w:bCs/>
                <w:sz w:val="14"/>
                <w:szCs w:val="14"/>
              </w:rPr>
              <w:t>3,973,631</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9D025C" w:rsidRDefault="009D025C" w:rsidP="00DA49F8">
            <w:pPr>
              <w:jc w:val="right"/>
              <w:rPr>
                <w:b/>
                <w:bCs/>
                <w:sz w:val="14"/>
                <w:szCs w:val="14"/>
              </w:rPr>
            </w:pPr>
            <w:r>
              <w:rPr>
                <w:b/>
                <w:bCs/>
                <w:sz w:val="14"/>
                <w:szCs w:val="14"/>
              </w:rPr>
              <w:t>4,867,971</w:t>
            </w:r>
          </w:p>
        </w:tc>
        <w:tc>
          <w:tcPr>
            <w:tcW w:w="726" w:type="dxa"/>
            <w:tcBorders>
              <w:left w:val="nil"/>
              <w:bottom w:val="single" w:sz="12" w:space="0" w:color="auto"/>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4,255,447</w:t>
            </w:r>
          </w:p>
        </w:tc>
        <w:tc>
          <w:tcPr>
            <w:tcW w:w="721" w:type="dxa"/>
            <w:tcBorders>
              <w:left w:val="nil"/>
              <w:bottom w:val="single" w:sz="12" w:space="0" w:color="auto"/>
              <w:right w:val="nil"/>
            </w:tcBorders>
            <w:shd w:val="clear" w:color="auto" w:fill="auto"/>
            <w:noWrap/>
            <w:tcMar>
              <w:left w:w="43" w:type="dxa"/>
              <w:right w:w="43" w:type="dxa"/>
            </w:tcMar>
            <w:vAlign w:val="center"/>
            <w:hideMark/>
          </w:tcPr>
          <w:p w:rsidR="009D025C" w:rsidRDefault="009D025C" w:rsidP="009D025C">
            <w:pPr>
              <w:jc w:val="right"/>
              <w:rPr>
                <w:b/>
                <w:bCs/>
                <w:sz w:val="14"/>
                <w:szCs w:val="14"/>
              </w:rPr>
            </w:pPr>
            <w:r>
              <w:rPr>
                <w:b/>
                <w:bCs/>
                <w:sz w:val="14"/>
                <w:szCs w:val="14"/>
              </w:rPr>
              <w:t>4,287,969</w:t>
            </w:r>
          </w:p>
        </w:tc>
        <w:tc>
          <w:tcPr>
            <w:tcW w:w="721" w:type="dxa"/>
            <w:tcBorders>
              <w:left w:val="nil"/>
              <w:bottom w:val="single" w:sz="12" w:space="0" w:color="auto"/>
              <w:right w:val="nil"/>
            </w:tcBorders>
            <w:shd w:val="clear" w:color="auto" w:fill="auto"/>
            <w:tcMar>
              <w:left w:w="43" w:type="dxa"/>
              <w:right w:w="43" w:type="dxa"/>
            </w:tcMar>
            <w:vAlign w:val="center"/>
            <w:hideMark/>
          </w:tcPr>
          <w:p w:rsidR="009D025C" w:rsidRDefault="009D025C" w:rsidP="003370AC">
            <w:pPr>
              <w:jc w:val="right"/>
              <w:rPr>
                <w:b/>
                <w:bCs/>
                <w:sz w:val="14"/>
                <w:szCs w:val="14"/>
              </w:rPr>
            </w:pPr>
            <w:r>
              <w:rPr>
                <w:b/>
                <w:bCs/>
                <w:sz w:val="14"/>
                <w:szCs w:val="14"/>
              </w:rPr>
              <w:t>4,819,150</w:t>
            </w:r>
          </w:p>
        </w:tc>
        <w:tc>
          <w:tcPr>
            <w:tcW w:w="819" w:type="dxa"/>
            <w:tcBorders>
              <w:left w:val="nil"/>
              <w:bottom w:val="single" w:sz="12" w:space="0" w:color="auto"/>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4,884,808</w:t>
            </w:r>
          </w:p>
        </w:tc>
        <w:tc>
          <w:tcPr>
            <w:tcW w:w="813" w:type="dxa"/>
            <w:tcBorders>
              <w:left w:val="nil"/>
              <w:bottom w:val="single" w:sz="12" w:space="0" w:color="auto"/>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4,936,114</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4,952,351</w:t>
            </w:r>
          </w:p>
        </w:tc>
        <w:tc>
          <w:tcPr>
            <w:tcW w:w="790" w:type="dxa"/>
            <w:tcBorders>
              <w:left w:val="nil"/>
              <w:bottom w:val="single" w:sz="12" w:space="0" w:color="auto"/>
              <w:right w:val="nil"/>
            </w:tcBorders>
            <w:shd w:val="clear" w:color="auto" w:fill="auto"/>
            <w:noWrap/>
            <w:tcMar>
              <w:left w:w="43" w:type="dxa"/>
              <w:right w:w="43" w:type="dxa"/>
            </w:tcMar>
            <w:vAlign w:val="center"/>
            <w:hideMark/>
          </w:tcPr>
          <w:p w:rsidR="009D025C" w:rsidRDefault="009D025C" w:rsidP="009D025C">
            <w:pPr>
              <w:jc w:val="right"/>
              <w:rPr>
                <w:b/>
                <w:bCs/>
                <w:sz w:val="14"/>
                <w:szCs w:val="14"/>
              </w:rPr>
            </w:pPr>
            <w:r>
              <w:rPr>
                <w:b/>
                <w:bCs/>
                <w:sz w:val="14"/>
                <w:szCs w:val="14"/>
              </w:rPr>
              <w:t>5,066,370</w:t>
            </w:r>
          </w:p>
        </w:tc>
      </w:tr>
      <w:tr w:rsidR="003370AC" w:rsidRPr="009B6E8A" w:rsidTr="00D82888">
        <w:trPr>
          <w:trHeight w:hRule="exact" w:val="236"/>
          <w:jc w:val="center"/>
        </w:trPr>
        <w:tc>
          <w:tcPr>
            <w:tcW w:w="10400" w:type="dxa"/>
            <w:gridSpan w:val="11"/>
            <w:tcBorders>
              <w:top w:val="single" w:sz="12" w:space="0" w:color="auto"/>
              <w:left w:val="nil"/>
              <w:right w:val="nil"/>
            </w:tcBorders>
            <w:shd w:val="clear" w:color="auto" w:fill="auto"/>
            <w:noWrap/>
            <w:vAlign w:val="center"/>
            <w:hideMark/>
          </w:tcPr>
          <w:p w:rsidR="003370AC" w:rsidRPr="00691090" w:rsidRDefault="003370AC" w:rsidP="00691090">
            <w:pPr>
              <w:jc w:val="right"/>
              <w:rPr>
                <w:sz w:val="14"/>
                <w:szCs w:val="14"/>
              </w:rPr>
            </w:pPr>
            <w:r>
              <w:rPr>
                <w:sz w:val="14"/>
                <w:szCs w:val="14"/>
              </w:rPr>
              <w:t>Source: Statistics &amp; Data Warehouse Department SBP</w:t>
            </w:r>
          </w:p>
        </w:tc>
      </w:tr>
      <w:tr w:rsidR="003370AC" w:rsidRPr="009B6E8A" w:rsidTr="00D82888">
        <w:trPr>
          <w:trHeight w:val="792"/>
          <w:jc w:val="center"/>
        </w:trPr>
        <w:tc>
          <w:tcPr>
            <w:tcW w:w="10400" w:type="dxa"/>
            <w:gridSpan w:val="11"/>
            <w:tcBorders>
              <w:left w:val="nil"/>
              <w:bottom w:val="single" w:sz="12" w:space="0" w:color="auto"/>
              <w:right w:val="nil"/>
            </w:tcBorders>
            <w:shd w:val="clear" w:color="auto" w:fill="auto"/>
            <w:noWrap/>
            <w:vAlign w:val="center"/>
            <w:hideMark/>
          </w:tcPr>
          <w:p w:rsidR="003370AC" w:rsidRPr="00FF243E" w:rsidRDefault="003370AC" w:rsidP="009C5044">
            <w:pPr>
              <w:ind w:left="405" w:hanging="180"/>
              <w:jc w:val="left"/>
              <w:rPr>
                <w:color w:val="auto"/>
                <w:sz w:val="14"/>
                <w:szCs w:val="14"/>
              </w:rPr>
            </w:pPr>
            <w:r w:rsidRPr="007A724D">
              <w:rPr>
                <w:color w:val="auto"/>
                <w:sz w:val="14"/>
                <w:szCs w:val="14"/>
              </w:rPr>
              <w:t>Note:-</w:t>
            </w:r>
          </w:p>
          <w:p w:rsidR="003370AC" w:rsidRPr="00FF243E" w:rsidRDefault="003370AC" w:rsidP="009C5044">
            <w:pPr>
              <w:ind w:left="405" w:hanging="180"/>
              <w:jc w:val="left"/>
              <w:rPr>
                <w:color w:val="auto"/>
                <w:sz w:val="14"/>
                <w:szCs w:val="14"/>
              </w:rPr>
            </w:pPr>
            <w:r w:rsidRPr="007A724D">
              <w:rPr>
                <w:color w:val="auto"/>
                <w:sz w:val="14"/>
                <w:szCs w:val="14"/>
              </w:rPr>
              <w:t>1. Excluding IMF A/c Nos. 1 &amp; 2, SAF loan account, counterpart funds, deposits of foreign ce</w:t>
            </w:r>
            <w:r>
              <w:rPr>
                <w:color w:val="auto"/>
                <w:sz w:val="14"/>
                <w:szCs w:val="14"/>
              </w:rPr>
              <w:t xml:space="preserve">ntral banks, foreign </w:t>
            </w:r>
            <w:proofErr w:type="spellStart"/>
            <w:r>
              <w:rPr>
                <w:color w:val="auto"/>
                <w:sz w:val="14"/>
                <w:szCs w:val="14"/>
              </w:rPr>
              <w:t>gov</w:t>
            </w:r>
            <w:r w:rsidRPr="007A724D">
              <w:rPr>
                <w:color w:val="auto"/>
                <w:sz w:val="14"/>
                <w:szCs w:val="14"/>
              </w:rPr>
              <w:t>ts</w:t>
            </w:r>
            <w:proofErr w:type="spellEnd"/>
            <w:r w:rsidRPr="007A724D">
              <w:rPr>
                <w:color w:val="auto"/>
                <w:sz w:val="14"/>
                <w:szCs w:val="14"/>
              </w:rPr>
              <w:t>, international organizations and deposit money banks.</w:t>
            </w:r>
          </w:p>
          <w:p w:rsidR="003370AC" w:rsidRPr="00FF243E" w:rsidRDefault="003370AC" w:rsidP="009C5044">
            <w:pPr>
              <w:ind w:left="405" w:hanging="83"/>
              <w:jc w:val="left"/>
              <w:rPr>
                <w:color w:val="auto"/>
                <w:sz w:val="14"/>
                <w:szCs w:val="14"/>
              </w:rPr>
            </w:pPr>
            <w:proofErr w:type="spellStart"/>
            <w:r>
              <w:rPr>
                <w:color w:val="auto"/>
                <w:sz w:val="14"/>
                <w:szCs w:val="14"/>
              </w:rPr>
              <w:t>i</w:t>
            </w:r>
            <w:proofErr w:type="spellEnd"/>
            <w:r>
              <w:rPr>
                <w:color w:val="auto"/>
                <w:sz w:val="14"/>
                <w:szCs w:val="14"/>
              </w:rPr>
              <w:t xml:space="preserve"> - </w:t>
            </w:r>
            <w:r w:rsidRPr="007A724D">
              <w:rPr>
                <w:color w:val="auto"/>
                <w:sz w:val="14"/>
                <w:szCs w:val="14"/>
              </w:rPr>
              <w:t>Data is based on weekly returns. The quarterly data covers the period up to the last working day of the month and others months data up to the last working day of last week.</w:t>
            </w:r>
          </w:p>
          <w:p w:rsidR="003370AC" w:rsidRDefault="003370AC" w:rsidP="009C5044">
            <w:pPr>
              <w:ind w:left="405" w:hanging="83"/>
              <w:jc w:val="left"/>
              <w:rPr>
                <w:color w:val="auto"/>
                <w:sz w:val="14"/>
                <w:szCs w:val="14"/>
              </w:rPr>
            </w:pPr>
            <w:r w:rsidRPr="007A724D">
              <w:rPr>
                <w:color w:val="auto"/>
                <w:sz w:val="14"/>
                <w:szCs w:val="14"/>
              </w:rPr>
              <w:t>ii- Data from 30-June 2013 onward is revised on account of reclassification of SBP accounts</w:t>
            </w:r>
          </w:p>
          <w:p w:rsidR="003370AC" w:rsidRPr="00FF243E" w:rsidRDefault="003370AC" w:rsidP="009C5044">
            <w:pPr>
              <w:ind w:left="405" w:hanging="83"/>
              <w:jc w:val="left"/>
              <w:rPr>
                <w:color w:val="auto"/>
                <w:sz w:val="14"/>
                <w:szCs w:val="14"/>
              </w:rPr>
            </w:pPr>
            <w:r w:rsidRPr="00FF243E">
              <w:rPr>
                <w:color w:val="auto"/>
                <w:sz w:val="14"/>
                <w:szCs w:val="14"/>
              </w:rPr>
              <w:t>*Includes investment of Rs. 100,149 million in Pakistan Security Printing Corporation (PSPC)</w:t>
            </w:r>
          </w:p>
        </w:tc>
      </w:tr>
      <w:tr w:rsidR="003370AC" w:rsidRPr="009B6E8A" w:rsidTr="00D82888">
        <w:trPr>
          <w:trHeight w:hRule="exact" w:val="309"/>
          <w:jc w:val="center"/>
        </w:trPr>
        <w:tc>
          <w:tcPr>
            <w:tcW w:w="10400" w:type="dxa"/>
            <w:gridSpan w:val="11"/>
            <w:tcBorders>
              <w:top w:val="single" w:sz="12" w:space="0" w:color="auto"/>
              <w:left w:val="nil"/>
              <w:right w:val="nil"/>
            </w:tcBorders>
            <w:shd w:val="clear" w:color="auto" w:fill="auto"/>
            <w:noWrap/>
            <w:vAlign w:val="center"/>
            <w:hideMark/>
          </w:tcPr>
          <w:p w:rsidR="003370AC" w:rsidRDefault="003370AC" w:rsidP="009C5044">
            <w:pPr>
              <w:rPr>
                <w:b/>
                <w:bCs/>
                <w:sz w:val="28"/>
                <w:szCs w:val="28"/>
              </w:rPr>
            </w:pPr>
            <w:r>
              <w:rPr>
                <w:b/>
                <w:bCs/>
                <w:sz w:val="28"/>
                <w:szCs w:val="28"/>
              </w:rPr>
              <w:t>2.5   Currency in Circulation</w:t>
            </w:r>
          </w:p>
        </w:tc>
      </w:tr>
      <w:tr w:rsidR="003370AC" w:rsidRPr="009B6E8A" w:rsidTr="00D82888">
        <w:trPr>
          <w:trHeight w:hRule="exact" w:val="147"/>
          <w:jc w:val="center"/>
        </w:trPr>
        <w:tc>
          <w:tcPr>
            <w:tcW w:w="10400" w:type="dxa"/>
            <w:gridSpan w:val="11"/>
            <w:tcBorders>
              <w:top w:val="nil"/>
              <w:left w:val="nil"/>
              <w:bottom w:val="single" w:sz="12" w:space="0" w:color="auto"/>
              <w:right w:val="nil"/>
            </w:tcBorders>
            <w:shd w:val="clear" w:color="auto" w:fill="auto"/>
            <w:noWrap/>
            <w:vAlign w:val="bottom"/>
            <w:hideMark/>
          </w:tcPr>
          <w:p w:rsidR="003370AC" w:rsidRDefault="003370AC" w:rsidP="009C5044">
            <w:pPr>
              <w:jc w:val="right"/>
              <w:rPr>
                <w:szCs w:val="16"/>
              </w:rPr>
            </w:pPr>
            <w:r>
              <w:rPr>
                <w:szCs w:val="16"/>
              </w:rPr>
              <w:t>( Million  Rupees )</w:t>
            </w:r>
          </w:p>
        </w:tc>
      </w:tr>
      <w:tr w:rsidR="003370AC" w:rsidRPr="009B6E8A" w:rsidTr="009D025C">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3370AC" w:rsidRPr="009B6E8A" w:rsidRDefault="003370AC" w:rsidP="009C5044">
            <w:pPr>
              <w:jc w:val="left"/>
              <w:rPr>
                <w:b/>
                <w:bCs/>
                <w:color w:val="auto"/>
                <w:sz w:val="14"/>
                <w:szCs w:val="14"/>
              </w:rPr>
            </w:pPr>
          </w:p>
        </w:tc>
        <w:tc>
          <w:tcPr>
            <w:tcW w:w="1658"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3370AC" w:rsidRPr="000D5A5A" w:rsidRDefault="003370AC" w:rsidP="009C5044">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2987" w:type="dxa"/>
            <w:gridSpan w:val="4"/>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3370AC" w:rsidRPr="000D5A5A" w:rsidRDefault="003370AC" w:rsidP="009C5044">
            <w:pPr>
              <w:rPr>
                <w:b/>
                <w:bCs/>
                <w:color w:val="auto"/>
                <w:szCs w:val="16"/>
              </w:rPr>
            </w:pPr>
            <w:r>
              <w:rPr>
                <w:b/>
                <w:bCs/>
                <w:color w:val="auto"/>
                <w:szCs w:val="16"/>
              </w:rPr>
              <w:t>2017</w:t>
            </w:r>
          </w:p>
        </w:tc>
        <w:tc>
          <w:tcPr>
            <w:tcW w:w="2414" w:type="dxa"/>
            <w:gridSpan w:val="3"/>
            <w:tcBorders>
              <w:top w:val="single" w:sz="12" w:space="0" w:color="auto"/>
              <w:left w:val="single" w:sz="4" w:space="0" w:color="auto"/>
              <w:bottom w:val="single" w:sz="4" w:space="0" w:color="auto"/>
              <w:right w:val="nil"/>
            </w:tcBorders>
            <w:shd w:val="clear" w:color="auto" w:fill="auto"/>
            <w:vAlign w:val="center"/>
          </w:tcPr>
          <w:p w:rsidR="003370AC" w:rsidRPr="000D5A5A" w:rsidRDefault="003370AC" w:rsidP="009C5044">
            <w:pPr>
              <w:rPr>
                <w:b/>
                <w:bCs/>
                <w:color w:val="auto"/>
                <w:szCs w:val="16"/>
              </w:rPr>
            </w:pPr>
            <w:r>
              <w:rPr>
                <w:b/>
                <w:bCs/>
                <w:color w:val="auto"/>
                <w:szCs w:val="16"/>
              </w:rPr>
              <w:t>2018</w:t>
            </w:r>
          </w:p>
        </w:tc>
      </w:tr>
      <w:tr w:rsidR="003370AC" w:rsidRPr="009B6E8A" w:rsidTr="009D025C">
        <w:trPr>
          <w:trHeight w:hRule="exact" w:val="26"/>
          <w:jc w:val="center"/>
        </w:trPr>
        <w:tc>
          <w:tcPr>
            <w:tcW w:w="3341" w:type="dxa"/>
            <w:gridSpan w:val="2"/>
            <w:tcBorders>
              <w:left w:val="nil"/>
              <w:right w:val="single" w:sz="4" w:space="0" w:color="auto"/>
            </w:tcBorders>
            <w:shd w:val="clear" w:color="auto" w:fill="auto"/>
            <w:noWrap/>
            <w:vAlign w:val="center"/>
            <w:hideMark/>
          </w:tcPr>
          <w:p w:rsidR="003370AC" w:rsidRPr="009B6E8A" w:rsidRDefault="003370AC" w:rsidP="009C5044">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hideMark/>
          </w:tcPr>
          <w:p w:rsidR="003370AC" w:rsidRDefault="003370AC" w:rsidP="009C5044">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hideMark/>
          </w:tcPr>
          <w:p w:rsidR="003370AC" w:rsidRDefault="003370AC" w:rsidP="009C5044">
            <w:pPr>
              <w:rPr>
                <w:b/>
                <w:bCs/>
                <w:sz w:val="13"/>
                <w:szCs w:val="13"/>
              </w:rPr>
            </w:pPr>
          </w:p>
        </w:tc>
        <w:tc>
          <w:tcPr>
            <w:tcW w:w="726"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3370AC" w:rsidRDefault="003370AC" w:rsidP="009C5044">
            <w:pPr>
              <w:rPr>
                <w:b/>
                <w:bCs/>
                <w:sz w:val="13"/>
                <w:szCs w:val="13"/>
              </w:rPr>
            </w:pPr>
          </w:p>
        </w:tc>
        <w:tc>
          <w:tcPr>
            <w:tcW w:w="721" w:type="dxa"/>
            <w:tcBorders>
              <w:top w:val="single" w:sz="4" w:space="0" w:color="auto"/>
              <w:left w:val="single" w:sz="4" w:space="0" w:color="auto"/>
              <w:right w:val="nil"/>
            </w:tcBorders>
            <w:shd w:val="clear" w:color="auto" w:fill="auto"/>
            <w:noWrap/>
            <w:tcMar>
              <w:left w:w="43" w:type="dxa"/>
              <w:right w:w="43" w:type="dxa"/>
            </w:tcMar>
            <w:vAlign w:val="center"/>
            <w:hideMark/>
          </w:tcPr>
          <w:p w:rsidR="003370AC" w:rsidRDefault="003370AC" w:rsidP="009C5044">
            <w:pPr>
              <w:jc w:val="right"/>
              <w:rPr>
                <w:b/>
                <w:bCs/>
                <w:sz w:val="13"/>
                <w:szCs w:val="13"/>
              </w:rPr>
            </w:pPr>
          </w:p>
        </w:tc>
        <w:tc>
          <w:tcPr>
            <w:tcW w:w="721" w:type="dxa"/>
            <w:tcBorders>
              <w:top w:val="single" w:sz="4" w:space="0" w:color="auto"/>
              <w:left w:val="nil"/>
              <w:right w:val="nil"/>
            </w:tcBorders>
            <w:shd w:val="clear" w:color="auto" w:fill="auto"/>
            <w:tcMar>
              <w:left w:w="43" w:type="dxa"/>
              <w:right w:w="43" w:type="dxa"/>
            </w:tcMar>
            <w:vAlign w:val="center"/>
            <w:hideMark/>
          </w:tcPr>
          <w:p w:rsidR="003370AC" w:rsidRDefault="003370AC" w:rsidP="009C5044">
            <w:pPr>
              <w:jc w:val="right"/>
              <w:rPr>
                <w:b/>
                <w:bCs/>
                <w:sz w:val="13"/>
                <w:szCs w:val="13"/>
              </w:rPr>
            </w:pPr>
          </w:p>
        </w:tc>
        <w:tc>
          <w:tcPr>
            <w:tcW w:w="819" w:type="dxa"/>
            <w:tcBorders>
              <w:top w:val="single" w:sz="4" w:space="0" w:color="auto"/>
              <w:left w:val="nil"/>
              <w:right w:val="nil"/>
            </w:tcBorders>
            <w:shd w:val="clear" w:color="auto" w:fill="auto"/>
            <w:noWrap/>
            <w:tcMar>
              <w:left w:w="43" w:type="dxa"/>
              <w:right w:w="43" w:type="dxa"/>
            </w:tcMar>
            <w:vAlign w:val="center"/>
            <w:hideMark/>
          </w:tcPr>
          <w:p w:rsidR="003370AC" w:rsidRDefault="003370AC" w:rsidP="009C5044">
            <w:pPr>
              <w:jc w:val="right"/>
              <w:rPr>
                <w:b/>
                <w:bCs/>
                <w:sz w:val="13"/>
                <w:szCs w:val="13"/>
              </w:rPr>
            </w:pPr>
          </w:p>
        </w:tc>
        <w:tc>
          <w:tcPr>
            <w:tcW w:w="813" w:type="dxa"/>
            <w:tcBorders>
              <w:top w:val="single" w:sz="4" w:space="0" w:color="auto"/>
              <w:left w:val="nil"/>
              <w:right w:val="nil"/>
            </w:tcBorders>
            <w:shd w:val="clear" w:color="auto" w:fill="auto"/>
            <w:noWrap/>
            <w:tcMar>
              <w:left w:w="43" w:type="dxa"/>
              <w:right w:w="43" w:type="dxa"/>
            </w:tcMar>
            <w:vAlign w:val="center"/>
            <w:hideMark/>
          </w:tcPr>
          <w:p w:rsidR="003370AC" w:rsidRDefault="003370AC" w:rsidP="009C5044">
            <w:pPr>
              <w:jc w:val="right"/>
              <w:rPr>
                <w:b/>
                <w:bCs/>
                <w:sz w:val="13"/>
                <w:szCs w:val="13"/>
              </w:rPr>
            </w:pPr>
          </w:p>
        </w:tc>
        <w:tc>
          <w:tcPr>
            <w:tcW w:w="811" w:type="dxa"/>
            <w:tcBorders>
              <w:top w:val="single" w:sz="4" w:space="0" w:color="auto"/>
              <w:left w:val="nil"/>
              <w:right w:val="nil"/>
            </w:tcBorders>
            <w:shd w:val="clear" w:color="auto" w:fill="auto"/>
            <w:noWrap/>
            <w:tcMar>
              <w:left w:w="43" w:type="dxa"/>
              <w:right w:w="43" w:type="dxa"/>
            </w:tcMar>
            <w:vAlign w:val="center"/>
            <w:hideMark/>
          </w:tcPr>
          <w:p w:rsidR="003370AC" w:rsidRDefault="003370AC" w:rsidP="009C5044">
            <w:pPr>
              <w:jc w:val="right"/>
              <w:rPr>
                <w:b/>
                <w:bCs/>
                <w:sz w:val="13"/>
                <w:szCs w:val="13"/>
              </w:rPr>
            </w:pPr>
          </w:p>
        </w:tc>
        <w:tc>
          <w:tcPr>
            <w:tcW w:w="790" w:type="dxa"/>
            <w:tcBorders>
              <w:top w:val="single" w:sz="4" w:space="0" w:color="auto"/>
              <w:left w:val="nil"/>
              <w:right w:val="nil"/>
            </w:tcBorders>
            <w:shd w:val="clear" w:color="auto" w:fill="auto"/>
            <w:noWrap/>
            <w:tcMar>
              <w:left w:w="43" w:type="dxa"/>
              <w:right w:w="43" w:type="dxa"/>
            </w:tcMar>
            <w:vAlign w:val="center"/>
            <w:hideMark/>
          </w:tcPr>
          <w:p w:rsidR="003370AC" w:rsidRPr="009B6E8A" w:rsidRDefault="003370AC" w:rsidP="009C5044">
            <w:pPr>
              <w:jc w:val="right"/>
              <w:rPr>
                <w:rFonts w:ascii="Calibri" w:hAnsi="Calibri"/>
                <w:sz w:val="22"/>
                <w:szCs w:val="22"/>
              </w:rPr>
            </w:pPr>
          </w:p>
        </w:tc>
      </w:tr>
      <w:tr w:rsidR="003370AC" w:rsidRPr="009B6E8A" w:rsidTr="009D025C">
        <w:trPr>
          <w:trHeight w:hRule="exact" w:val="212"/>
          <w:jc w:val="center"/>
        </w:trPr>
        <w:tc>
          <w:tcPr>
            <w:tcW w:w="236" w:type="dxa"/>
            <w:tcBorders>
              <w:left w:val="nil"/>
              <w:bottom w:val="single" w:sz="12" w:space="0" w:color="auto"/>
            </w:tcBorders>
            <w:shd w:val="clear" w:color="auto" w:fill="auto"/>
            <w:noWrap/>
            <w:vAlign w:val="center"/>
            <w:hideMark/>
          </w:tcPr>
          <w:p w:rsidR="003370AC" w:rsidRPr="009B6E8A" w:rsidRDefault="003370AC" w:rsidP="009C5044">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3370AC" w:rsidRPr="009B6E8A" w:rsidRDefault="003370AC" w:rsidP="009C5044">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370AC" w:rsidRPr="006619BF" w:rsidRDefault="003370AC" w:rsidP="0005375B">
            <w:pPr>
              <w:jc w:val="right"/>
              <w:rPr>
                <w:b/>
                <w:bCs/>
                <w:color w:val="auto"/>
                <w:sz w:val="14"/>
                <w:szCs w:val="14"/>
              </w:rPr>
            </w:pPr>
            <w:r w:rsidRPr="006619BF">
              <w:rPr>
                <w:b/>
                <w:bCs/>
                <w:color w:val="auto"/>
                <w:sz w:val="14"/>
                <w:szCs w:val="14"/>
              </w:rPr>
              <w:t>FY16</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370AC" w:rsidRPr="006619BF" w:rsidRDefault="003370AC" w:rsidP="0005375B">
            <w:pPr>
              <w:jc w:val="right"/>
              <w:rPr>
                <w:b/>
                <w:bCs/>
                <w:color w:val="auto"/>
                <w:sz w:val="14"/>
                <w:szCs w:val="14"/>
              </w:rPr>
            </w:pPr>
            <w:r w:rsidRPr="006619BF">
              <w:rPr>
                <w:b/>
                <w:bCs/>
                <w:color w:val="auto"/>
                <w:sz w:val="14"/>
                <w:szCs w:val="14"/>
              </w:rPr>
              <w:t>FY17</w:t>
            </w:r>
          </w:p>
        </w:tc>
        <w:tc>
          <w:tcPr>
            <w:tcW w:w="726" w:type="dxa"/>
            <w:tcBorders>
              <w:top w:val="nil"/>
              <w:left w:val="single" w:sz="4" w:space="0" w:color="auto"/>
              <w:bottom w:val="single" w:sz="12" w:space="0" w:color="auto"/>
            </w:tcBorders>
            <w:shd w:val="clear" w:color="auto" w:fill="auto"/>
            <w:noWrap/>
            <w:tcMar>
              <w:left w:w="43" w:type="dxa"/>
              <w:right w:w="43" w:type="dxa"/>
            </w:tcMar>
            <w:vAlign w:val="center"/>
            <w:hideMark/>
          </w:tcPr>
          <w:p w:rsidR="003370AC" w:rsidRPr="006619BF" w:rsidRDefault="003370AC" w:rsidP="003370AC">
            <w:pPr>
              <w:jc w:val="right"/>
              <w:rPr>
                <w:b/>
                <w:bCs/>
                <w:color w:val="auto"/>
                <w:sz w:val="14"/>
                <w:szCs w:val="14"/>
              </w:rPr>
            </w:pPr>
            <w:r>
              <w:rPr>
                <w:b/>
                <w:bCs/>
                <w:color w:val="auto"/>
                <w:sz w:val="14"/>
                <w:szCs w:val="14"/>
              </w:rPr>
              <w:t>Feb</w:t>
            </w:r>
          </w:p>
        </w:tc>
        <w:tc>
          <w:tcPr>
            <w:tcW w:w="721" w:type="dxa"/>
            <w:tcBorders>
              <w:top w:val="nil"/>
              <w:bottom w:val="single" w:sz="12" w:space="0" w:color="auto"/>
              <w:right w:val="single" w:sz="4" w:space="0" w:color="auto"/>
            </w:tcBorders>
            <w:shd w:val="clear" w:color="auto" w:fill="auto"/>
            <w:noWrap/>
            <w:tcMar>
              <w:left w:w="43" w:type="dxa"/>
              <w:right w:w="43" w:type="dxa"/>
            </w:tcMar>
            <w:vAlign w:val="center"/>
            <w:hideMark/>
          </w:tcPr>
          <w:p w:rsidR="003370AC" w:rsidRPr="006619BF" w:rsidRDefault="003370AC" w:rsidP="00DE3DF2">
            <w:pPr>
              <w:jc w:val="right"/>
              <w:rPr>
                <w:b/>
                <w:bCs/>
                <w:color w:val="auto"/>
                <w:sz w:val="14"/>
                <w:szCs w:val="14"/>
              </w:rPr>
            </w:pPr>
            <w:r>
              <w:rPr>
                <w:b/>
                <w:bCs/>
                <w:color w:val="auto"/>
                <w:sz w:val="14"/>
                <w:szCs w:val="14"/>
              </w:rPr>
              <w:t>Mar</w:t>
            </w:r>
          </w:p>
        </w:tc>
        <w:tc>
          <w:tcPr>
            <w:tcW w:w="721" w:type="dxa"/>
            <w:tcBorders>
              <w:top w:val="nil"/>
              <w:left w:val="single" w:sz="4" w:space="0" w:color="auto"/>
              <w:bottom w:val="single" w:sz="12" w:space="0" w:color="auto"/>
            </w:tcBorders>
            <w:shd w:val="clear" w:color="auto" w:fill="auto"/>
            <w:tcMar>
              <w:left w:w="43" w:type="dxa"/>
              <w:right w:w="43" w:type="dxa"/>
            </w:tcMar>
            <w:vAlign w:val="center"/>
            <w:hideMark/>
          </w:tcPr>
          <w:p w:rsidR="003370AC" w:rsidRPr="006619BF" w:rsidRDefault="003370AC" w:rsidP="003370AC">
            <w:pPr>
              <w:jc w:val="right"/>
              <w:rPr>
                <w:b/>
                <w:bCs/>
                <w:color w:val="auto"/>
                <w:sz w:val="14"/>
                <w:szCs w:val="14"/>
              </w:rPr>
            </w:pPr>
            <w:r w:rsidRPr="006619BF">
              <w:rPr>
                <w:b/>
                <w:bCs/>
                <w:color w:val="auto"/>
                <w:sz w:val="14"/>
                <w:szCs w:val="14"/>
              </w:rPr>
              <w:t>Nov</w:t>
            </w:r>
          </w:p>
        </w:tc>
        <w:tc>
          <w:tcPr>
            <w:tcW w:w="819" w:type="dxa"/>
            <w:tcBorders>
              <w:top w:val="nil"/>
              <w:bottom w:val="single" w:sz="12" w:space="0" w:color="auto"/>
              <w:right w:val="single" w:sz="4" w:space="0" w:color="auto"/>
            </w:tcBorders>
            <w:shd w:val="clear" w:color="auto" w:fill="auto"/>
            <w:noWrap/>
            <w:tcMar>
              <w:left w:w="43" w:type="dxa"/>
              <w:right w:w="43" w:type="dxa"/>
            </w:tcMar>
            <w:vAlign w:val="center"/>
            <w:hideMark/>
          </w:tcPr>
          <w:p w:rsidR="003370AC" w:rsidRPr="006619BF" w:rsidRDefault="003370AC" w:rsidP="003370AC">
            <w:pPr>
              <w:jc w:val="right"/>
              <w:rPr>
                <w:b/>
                <w:bCs/>
                <w:color w:val="auto"/>
                <w:sz w:val="14"/>
                <w:szCs w:val="14"/>
              </w:rPr>
            </w:pPr>
            <w:r>
              <w:rPr>
                <w:b/>
                <w:bCs/>
                <w:color w:val="auto"/>
                <w:sz w:val="14"/>
                <w:szCs w:val="14"/>
              </w:rPr>
              <w:t>Dec</w:t>
            </w:r>
          </w:p>
        </w:tc>
        <w:tc>
          <w:tcPr>
            <w:tcW w:w="813" w:type="dxa"/>
            <w:tcBorders>
              <w:top w:val="nil"/>
              <w:left w:val="single" w:sz="4" w:space="0" w:color="auto"/>
              <w:bottom w:val="single" w:sz="12" w:space="0" w:color="auto"/>
            </w:tcBorders>
            <w:shd w:val="clear" w:color="auto" w:fill="auto"/>
            <w:noWrap/>
            <w:tcMar>
              <w:left w:w="43" w:type="dxa"/>
              <w:right w:w="43" w:type="dxa"/>
            </w:tcMar>
            <w:vAlign w:val="center"/>
            <w:hideMark/>
          </w:tcPr>
          <w:p w:rsidR="003370AC" w:rsidRPr="006619BF" w:rsidRDefault="003370AC" w:rsidP="003370AC">
            <w:pPr>
              <w:jc w:val="right"/>
              <w:rPr>
                <w:b/>
                <w:bCs/>
                <w:color w:val="auto"/>
                <w:sz w:val="14"/>
                <w:szCs w:val="14"/>
              </w:rPr>
            </w:pPr>
            <w:r>
              <w:rPr>
                <w:b/>
                <w:bCs/>
                <w:color w:val="auto"/>
                <w:sz w:val="14"/>
                <w:szCs w:val="14"/>
              </w:rPr>
              <w:t>Jan</w:t>
            </w:r>
          </w:p>
        </w:tc>
        <w:tc>
          <w:tcPr>
            <w:tcW w:w="811" w:type="dxa"/>
            <w:tcBorders>
              <w:top w:val="nil"/>
              <w:bottom w:val="single" w:sz="12" w:space="0" w:color="auto"/>
            </w:tcBorders>
            <w:shd w:val="clear" w:color="auto" w:fill="auto"/>
            <w:noWrap/>
            <w:tcMar>
              <w:left w:w="43" w:type="dxa"/>
              <w:right w:w="43" w:type="dxa"/>
            </w:tcMar>
            <w:vAlign w:val="center"/>
            <w:hideMark/>
          </w:tcPr>
          <w:p w:rsidR="003370AC" w:rsidRPr="006619BF" w:rsidRDefault="003370AC" w:rsidP="003370AC">
            <w:pPr>
              <w:jc w:val="right"/>
              <w:rPr>
                <w:b/>
                <w:bCs/>
                <w:color w:val="auto"/>
                <w:sz w:val="14"/>
                <w:szCs w:val="14"/>
              </w:rPr>
            </w:pPr>
            <w:r>
              <w:rPr>
                <w:b/>
                <w:bCs/>
                <w:color w:val="auto"/>
                <w:sz w:val="14"/>
                <w:szCs w:val="14"/>
              </w:rPr>
              <w:t xml:space="preserve">Feb </w:t>
            </w:r>
            <w:r w:rsidRPr="00EE1D4E">
              <w:rPr>
                <w:b/>
                <w:bCs/>
                <w:color w:val="auto"/>
                <w:sz w:val="14"/>
                <w:szCs w:val="14"/>
                <w:vertAlign w:val="superscript"/>
              </w:rPr>
              <w:t>P</w:t>
            </w:r>
          </w:p>
        </w:tc>
        <w:tc>
          <w:tcPr>
            <w:tcW w:w="790" w:type="dxa"/>
            <w:tcBorders>
              <w:top w:val="nil"/>
              <w:bottom w:val="single" w:sz="12" w:space="0" w:color="auto"/>
              <w:right w:val="nil"/>
            </w:tcBorders>
            <w:shd w:val="clear" w:color="auto" w:fill="auto"/>
            <w:noWrap/>
            <w:tcMar>
              <w:left w:w="43" w:type="dxa"/>
              <w:right w:w="43" w:type="dxa"/>
            </w:tcMar>
            <w:vAlign w:val="center"/>
            <w:hideMark/>
          </w:tcPr>
          <w:p w:rsidR="003370AC" w:rsidRPr="006619BF" w:rsidRDefault="003370AC" w:rsidP="00DE3DF2">
            <w:pPr>
              <w:jc w:val="right"/>
              <w:rPr>
                <w:b/>
                <w:bCs/>
                <w:color w:val="auto"/>
                <w:sz w:val="14"/>
                <w:szCs w:val="14"/>
              </w:rPr>
            </w:pPr>
            <w:r>
              <w:rPr>
                <w:b/>
                <w:bCs/>
                <w:color w:val="auto"/>
                <w:sz w:val="14"/>
                <w:szCs w:val="14"/>
              </w:rPr>
              <w:t xml:space="preserve">Mar </w:t>
            </w:r>
            <w:r w:rsidRPr="003370AC">
              <w:rPr>
                <w:b/>
                <w:bCs/>
                <w:color w:val="auto"/>
                <w:sz w:val="14"/>
                <w:szCs w:val="14"/>
                <w:vertAlign w:val="superscript"/>
              </w:rPr>
              <w:t>P</w:t>
            </w:r>
          </w:p>
        </w:tc>
      </w:tr>
      <w:tr w:rsidR="009D025C" w:rsidRPr="009B6E8A" w:rsidTr="009D025C">
        <w:trPr>
          <w:trHeight w:hRule="exact" w:val="236"/>
          <w:jc w:val="center"/>
        </w:trPr>
        <w:tc>
          <w:tcPr>
            <w:tcW w:w="236" w:type="dxa"/>
            <w:tcBorders>
              <w:top w:val="single" w:sz="12" w:space="0" w:color="auto"/>
              <w:left w:val="nil"/>
            </w:tcBorders>
            <w:shd w:val="clear" w:color="auto" w:fill="auto"/>
            <w:noWrap/>
            <w:vAlign w:val="center"/>
            <w:hideMark/>
          </w:tcPr>
          <w:p w:rsidR="009D025C" w:rsidRDefault="009D025C" w:rsidP="009C5044">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9D025C" w:rsidRDefault="009D025C" w:rsidP="009C5044">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9D025C" w:rsidRDefault="009D025C" w:rsidP="0005375B">
            <w:pPr>
              <w:jc w:val="right"/>
              <w:rPr>
                <w:sz w:val="14"/>
                <w:szCs w:val="14"/>
              </w:rPr>
            </w:pPr>
            <w:r>
              <w:rPr>
                <w:sz w:val="14"/>
                <w:szCs w:val="14"/>
              </w:rPr>
              <w:t>3,554,922</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9D025C" w:rsidRDefault="009D025C" w:rsidP="0005375B">
            <w:pPr>
              <w:jc w:val="right"/>
              <w:rPr>
                <w:sz w:val="14"/>
                <w:szCs w:val="14"/>
              </w:rPr>
            </w:pPr>
            <w:r>
              <w:rPr>
                <w:sz w:val="14"/>
                <w:szCs w:val="14"/>
              </w:rPr>
              <w:t>4,167,136</w:t>
            </w:r>
          </w:p>
        </w:tc>
        <w:tc>
          <w:tcPr>
            <w:tcW w:w="726" w:type="dxa"/>
            <w:tcBorders>
              <w:top w:val="single" w:sz="12" w:space="0" w:color="auto"/>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3,669,683</w:t>
            </w:r>
          </w:p>
        </w:tc>
        <w:tc>
          <w:tcPr>
            <w:tcW w:w="721" w:type="dxa"/>
            <w:tcBorders>
              <w:top w:val="single" w:sz="12" w:space="0" w:color="auto"/>
              <w:left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3,672,538</w:t>
            </w:r>
          </w:p>
        </w:tc>
        <w:tc>
          <w:tcPr>
            <w:tcW w:w="721" w:type="dxa"/>
            <w:tcBorders>
              <w:top w:val="single" w:sz="12" w:space="0" w:color="auto"/>
              <w:left w:val="nil"/>
              <w:right w:val="nil"/>
            </w:tcBorders>
            <w:shd w:val="clear" w:color="auto" w:fill="auto"/>
            <w:tcMar>
              <w:left w:w="43" w:type="dxa"/>
              <w:right w:w="43" w:type="dxa"/>
            </w:tcMar>
            <w:vAlign w:val="center"/>
            <w:hideMark/>
          </w:tcPr>
          <w:p w:rsidR="009D025C" w:rsidRDefault="009D025C" w:rsidP="003370AC">
            <w:pPr>
              <w:jc w:val="right"/>
              <w:rPr>
                <w:sz w:val="14"/>
                <w:szCs w:val="14"/>
              </w:rPr>
            </w:pPr>
            <w:r>
              <w:rPr>
                <w:sz w:val="14"/>
                <w:szCs w:val="14"/>
              </w:rPr>
              <w:t>4,121,627</w:t>
            </w:r>
          </w:p>
        </w:tc>
        <w:tc>
          <w:tcPr>
            <w:tcW w:w="819" w:type="dxa"/>
            <w:tcBorders>
              <w:top w:val="single" w:sz="12" w:space="0" w:color="auto"/>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4,119,552</w:t>
            </w:r>
          </w:p>
        </w:tc>
        <w:tc>
          <w:tcPr>
            <w:tcW w:w="813" w:type="dxa"/>
            <w:tcBorders>
              <w:top w:val="single" w:sz="12" w:space="0" w:color="auto"/>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4,189,513</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4,246,545</w:t>
            </w:r>
          </w:p>
        </w:tc>
        <w:tc>
          <w:tcPr>
            <w:tcW w:w="790" w:type="dxa"/>
            <w:tcBorders>
              <w:top w:val="single" w:sz="12" w:space="0" w:color="auto"/>
              <w:left w:val="nil"/>
              <w:right w:val="nil"/>
            </w:tcBorders>
            <w:shd w:val="clear" w:color="auto" w:fill="auto"/>
            <w:noWrap/>
            <w:tcMar>
              <w:left w:w="43" w:type="dxa"/>
              <w:right w:w="43" w:type="dxa"/>
            </w:tcMar>
            <w:vAlign w:val="center"/>
            <w:hideMark/>
          </w:tcPr>
          <w:p w:rsidR="009D025C" w:rsidRPr="009D025C" w:rsidRDefault="009D025C" w:rsidP="009D025C">
            <w:pPr>
              <w:jc w:val="right"/>
              <w:rPr>
                <w:sz w:val="14"/>
                <w:szCs w:val="14"/>
              </w:rPr>
            </w:pPr>
            <w:r w:rsidRPr="009D025C">
              <w:rPr>
                <w:sz w:val="14"/>
                <w:szCs w:val="14"/>
              </w:rPr>
              <w:t>4,287,150</w:t>
            </w:r>
          </w:p>
        </w:tc>
      </w:tr>
      <w:tr w:rsidR="009D025C" w:rsidRPr="009B6E8A" w:rsidTr="009D025C">
        <w:trPr>
          <w:trHeight w:hRule="exact" w:val="236"/>
          <w:jc w:val="center"/>
        </w:trPr>
        <w:tc>
          <w:tcPr>
            <w:tcW w:w="236" w:type="dxa"/>
            <w:tcBorders>
              <w:top w:val="nil"/>
              <w:left w:val="nil"/>
            </w:tcBorders>
            <w:shd w:val="clear" w:color="auto" w:fill="auto"/>
            <w:noWrap/>
            <w:vAlign w:val="center"/>
            <w:hideMark/>
          </w:tcPr>
          <w:p w:rsidR="009D025C" w:rsidRDefault="009D025C" w:rsidP="009C5044">
            <w:pPr>
              <w:jc w:val="left"/>
              <w:rPr>
                <w:sz w:val="14"/>
                <w:szCs w:val="14"/>
              </w:rPr>
            </w:pPr>
            <w:r>
              <w:rPr>
                <w:sz w:val="14"/>
                <w:szCs w:val="14"/>
              </w:rPr>
              <w:t>2</w:t>
            </w:r>
          </w:p>
        </w:tc>
        <w:tc>
          <w:tcPr>
            <w:tcW w:w="3105" w:type="dxa"/>
            <w:tcBorders>
              <w:top w:val="nil"/>
              <w:right w:val="nil"/>
            </w:tcBorders>
            <w:shd w:val="clear" w:color="auto" w:fill="auto"/>
            <w:vAlign w:val="center"/>
          </w:tcPr>
          <w:p w:rsidR="009D025C" w:rsidRDefault="009D025C" w:rsidP="009C5044">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9D025C" w:rsidRDefault="009D025C" w:rsidP="0005375B">
            <w:pPr>
              <w:jc w:val="right"/>
              <w:rPr>
                <w:sz w:val="14"/>
                <w:szCs w:val="14"/>
              </w:rPr>
            </w:pPr>
            <w:r>
              <w:rPr>
                <w:sz w:val="14"/>
                <w:szCs w:val="14"/>
              </w:rPr>
              <w:t>8,827</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05375B">
            <w:pPr>
              <w:jc w:val="right"/>
              <w:rPr>
                <w:sz w:val="14"/>
                <w:szCs w:val="14"/>
              </w:rPr>
            </w:pPr>
            <w:r>
              <w:rPr>
                <w:sz w:val="14"/>
                <w:szCs w:val="14"/>
              </w:rPr>
              <w:t>9,779</w:t>
            </w:r>
          </w:p>
        </w:tc>
        <w:tc>
          <w:tcPr>
            <w:tcW w:w="726"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8,863</w:t>
            </w:r>
          </w:p>
        </w:tc>
        <w:tc>
          <w:tcPr>
            <w:tcW w:w="721" w:type="dxa"/>
            <w:tcBorders>
              <w:top w:val="nil"/>
              <w:left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9,236</w:t>
            </w:r>
          </w:p>
        </w:tc>
        <w:tc>
          <w:tcPr>
            <w:tcW w:w="721" w:type="dxa"/>
            <w:tcBorders>
              <w:top w:val="nil"/>
              <w:left w:val="nil"/>
              <w:right w:val="nil"/>
            </w:tcBorders>
            <w:shd w:val="clear" w:color="auto" w:fill="auto"/>
            <w:tcMar>
              <w:left w:w="43" w:type="dxa"/>
              <w:right w:w="43" w:type="dxa"/>
            </w:tcMar>
            <w:vAlign w:val="center"/>
            <w:hideMark/>
          </w:tcPr>
          <w:p w:rsidR="009D025C" w:rsidRDefault="009D025C" w:rsidP="003370AC">
            <w:pPr>
              <w:jc w:val="right"/>
              <w:rPr>
                <w:sz w:val="14"/>
                <w:szCs w:val="14"/>
              </w:rPr>
            </w:pPr>
            <w:r>
              <w:rPr>
                <w:sz w:val="14"/>
                <w:szCs w:val="14"/>
              </w:rPr>
              <w:t>9,787</w:t>
            </w:r>
          </w:p>
        </w:tc>
        <w:tc>
          <w:tcPr>
            <w:tcW w:w="819"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9,683</w:t>
            </w:r>
          </w:p>
        </w:tc>
        <w:tc>
          <w:tcPr>
            <w:tcW w:w="813"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9,725</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9,685</w:t>
            </w:r>
          </w:p>
        </w:tc>
        <w:tc>
          <w:tcPr>
            <w:tcW w:w="790" w:type="dxa"/>
            <w:tcBorders>
              <w:top w:val="nil"/>
              <w:left w:val="nil"/>
              <w:right w:val="nil"/>
            </w:tcBorders>
            <w:shd w:val="clear" w:color="auto" w:fill="auto"/>
            <w:noWrap/>
            <w:tcMar>
              <w:left w:w="43" w:type="dxa"/>
              <w:right w:w="43" w:type="dxa"/>
            </w:tcMar>
            <w:vAlign w:val="center"/>
            <w:hideMark/>
          </w:tcPr>
          <w:p w:rsidR="009D025C" w:rsidRPr="009D025C" w:rsidRDefault="009D025C" w:rsidP="009D025C">
            <w:pPr>
              <w:jc w:val="right"/>
              <w:rPr>
                <w:sz w:val="14"/>
                <w:szCs w:val="14"/>
              </w:rPr>
            </w:pPr>
            <w:r w:rsidRPr="009D025C">
              <w:rPr>
                <w:sz w:val="14"/>
                <w:szCs w:val="14"/>
              </w:rPr>
              <w:t>9,697</w:t>
            </w:r>
          </w:p>
        </w:tc>
      </w:tr>
      <w:tr w:rsidR="009D025C" w:rsidRPr="009B6E8A" w:rsidTr="009D025C">
        <w:trPr>
          <w:trHeight w:hRule="exact" w:val="236"/>
          <w:jc w:val="center"/>
        </w:trPr>
        <w:tc>
          <w:tcPr>
            <w:tcW w:w="236" w:type="dxa"/>
            <w:tcBorders>
              <w:top w:val="nil"/>
              <w:left w:val="nil"/>
            </w:tcBorders>
            <w:shd w:val="clear" w:color="auto" w:fill="auto"/>
            <w:noWrap/>
            <w:vAlign w:val="center"/>
            <w:hideMark/>
          </w:tcPr>
          <w:p w:rsidR="009D025C" w:rsidRDefault="009D025C" w:rsidP="009C5044">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9D025C" w:rsidRDefault="009D025C" w:rsidP="009C5044">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9D025C" w:rsidRDefault="009D025C" w:rsidP="0005375B">
            <w:pPr>
              <w:jc w:val="right"/>
              <w:rPr>
                <w:b/>
                <w:bCs/>
                <w:sz w:val="14"/>
                <w:szCs w:val="14"/>
              </w:rPr>
            </w:pPr>
            <w:r>
              <w:rPr>
                <w:b/>
                <w:bCs/>
                <w:sz w:val="14"/>
                <w:szCs w:val="14"/>
              </w:rPr>
              <w:t>3,563,749</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05375B">
            <w:pPr>
              <w:jc w:val="right"/>
              <w:rPr>
                <w:b/>
                <w:bCs/>
                <w:sz w:val="14"/>
                <w:szCs w:val="14"/>
              </w:rPr>
            </w:pPr>
            <w:r>
              <w:rPr>
                <w:b/>
                <w:bCs/>
                <w:sz w:val="14"/>
                <w:szCs w:val="14"/>
              </w:rPr>
              <w:t>4,176,915</w:t>
            </w:r>
          </w:p>
        </w:tc>
        <w:tc>
          <w:tcPr>
            <w:tcW w:w="726"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3,678,546</w:t>
            </w:r>
          </w:p>
        </w:tc>
        <w:tc>
          <w:tcPr>
            <w:tcW w:w="721" w:type="dxa"/>
            <w:tcBorders>
              <w:top w:val="nil"/>
              <w:left w:val="nil"/>
              <w:right w:val="nil"/>
            </w:tcBorders>
            <w:shd w:val="clear" w:color="auto" w:fill="auto"/>
            <w:noWrap/>
            <w:tcMar>
              <w:left w:w="43" w:type="dxa"/>
              <w:right w:w="43" w:type="dxa"/>
            </w:tcMar>
            <w:vAlign w:val="center"/>
            <w:hideMark/>
          </w:tcPr>
          <w:p w:rsidR="009D025C" w:rsidRDefault="009D025C" w:rsidP="009D025C">
            <w:pPr>
              <w:jc w:val="right"/>
              <w:rPr>
                <w:b/>
                <w:bCs/>
                <w:sz w:val="14"/>
                <w:szCs w:val="14"/>
              </w:rPr>
            </w:pPr>
            <w:r>
              <w:rPr>
                <w:b/>
                <w:bCs/>
                <w:sz w:val="14"/>
                <w:szCs w:val="14"/>
              </w:rPr>
              <w:t>3,681,774</w:t>
            </w:r>
          </w:p>
        </w:tc>
        <w:tc>
          <w:tcPr>
            <w:tcW w:w="721" w:type="dxa"/>
            <w:tcBorders>
              <w:top w:val="nil"/>
              <w:left w:val="nil"/>
              <w:right w:val="nil"/>
            </w:tcBorders>
            <w:shd w:val="clear" w:color="auto" w:fill="auto"/>
            <w:tcMar>
              <w:left w:w="43" w:type="dxa"/>
              <w:right w:w="43" w:type="dxa"/>
            </w:tcMar>
            <w:vAlign w:val="center"/>
            <w:hideMark/>
          </w:tcPr>
          <w:p w:rsidR="009D025C" w:rsidRDefault="009D025C" w:rsidP="003370AC">
            <w:pPr>
              <w:jc w:val="right"/>
              <w:rPr>
                <w:b/>
                <w:bCs/>
                <w:sz w:val="14"/>
                <w:szCs w:val="14"/>
              </w:rPr>
            </w:pPr>
            <w:r>
              <w:rPr>
                <w:b/>
                <w:bCs/>
                <w:sz w:val="14"/>
                <w:szCs w:val="14"/>
              </w:rPr>
              <w:t>4,131,414</w:t>
            </w:r>
          </w:p>
        </w:tc>
        <w:tc>
          <w:tcPr>
            <w:tcW w:w="819"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4,129,236</w:t>
            </w:r>
          </w:p>
        </w:tc>
        <w:tc>
          <w:tcPr>
            <w:tcW w:w="813"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4,199,238</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4,256,230</w:t>
            </w:r>
          </w:p>
        </w:tc>
        <w:tc>
          <w:tcPr>
            <w:tcW w:w="790" w:type="dxa"/>
            <w:tcBorders>
              <w:top w:val="nil"/>
              <w:left w:val="nil"/>
              <w:right w:val="nil"/>
            </w:tcBorders>
            <w:shd w:val="clear" w:color="auto" w:fill="auto"/>
            <w:noWrap/>
            <w:tcMar>
              <w:left w:w="43" w:type="dxa"/>
              <w:right w:w="43" w:type="dxa"/>
            </w:tcMar>
            <w:vAlign w:val="center"/>
            <w:hideMark/>
          </w:tcPr>
          <w:p w:rsidR="009D025C" w:rsidRPr="009D025C" w:rsidRDefault="009D025C" w:rsidP="009D025C">
            <w:pPr>
              <w:jc w:val="right"/>
              <w:rPr>
                <w:b/>
                <w:bCs/>
                <w:sz w:val="14"/>
                <w:szCs w:val="14"/>
              </w:rPr>
            </w:pPr>
            <w:r w:rsidRPr="009D025C">
              <w:rPr>
                <w:b/>
                <w:bCs/>
                <w:sz w:val="14"/>
                <w:szCs w:val="14"/>
              </w:rPr>
              <w:t>4,296,847</w:t>
            </w:r>
          </w:p>
        </w:tc>
      </w:tr>
      <w:tr w:rsidR="009D025C" w:rsidRPr="009B6E8A" w:rsidTr="009D025C">
        <w:trPr>
          <w:trHeight w:hRule="exact" w:val="236"/>
          <w:jc w:val="center"/>
        </w:trPr>
        <w:tc>
          <w:tcPr>
            <w:tcW w:w="236" w:type="dxa"/>
            <w:tcBorders>
              <w:top w:val="nil"/>
              <w:left w:val="nil"/>
            </w:tcBorders>
            <w:shd w:val="clear" w:color="auto" w:fill="auto"/>
            <w:noWrap/>
            <w:vAlign w:val="center"/>
            <w:hideMark/>
          </w:tcPr>
          <w:p w:rsidR="009D025C" w:rsidRDefault="009D025C" w:rsidP="009C5044">
            <w:pPr>
              <w:jc w:val="left"/>
              <w:rPr>
                <w:sz w:val="14"/>
                <w:szCs w:val="14"/>
              </w:rPr>
            </w:pPr>
            <w:r>
              <w:rPr>
                <w:sz w:val="14"/>
                <w:szCs w:val="14"/>
              </w:rPr>
              <w:t>4</w:t>
            </w:r>
          </w:p>
        </w:tc>
        <w:tc>
          <w:tcPr>
            <w:tcW w:w="3105" w:type="dxa"/>
            <w:tcBorders>
              <w:top w:val="nil"/>
              <w:right w:val="nil"/>
            </w:tcBorders>
            <w:shd w:val="clear" w:color="auto" w:fill="auto"/>
            <w:vAlign w:val="center"/>
          </w:tcPr>
          <w:p w:rsidR="009D025C" w:rsidRDefault="009D025C" w:rsidP="009C5044">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9D025C" w:rsidRDefault="009D025C" w:rsidP="0005375B">
            <w:pPr>
              <w:jc w:val="right"/>
              <w:rPr>
                <w:sz w:val="14"/>
                <w:szCs w:val="14"/>
              </w:rPr>
            </w:pPr>
            <w:r>
              <w:rPr>
                <w:sz w:val="14"/>
                <w:szCs w:val="14"/>
              </w:rPr>
              <w:t>146</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05375B">
            <w:pPr>
              <w:jc w:val="right"/>
              <w:rPr>
                <w:sz w:val="14"/>
                <w:szCs w:val="14"/>
              </w:rPr>
            </w:pPr>
            <w:r>
              <w:rPr>
                <w:sz w:val="14"/>
                <w:szCs w:val="14"/>
              </w:rPr>
              <w:t>111</w:t>
            </w:r>
          </w:p>
        </w:tc>
        <w:tc>
          <w:tcPr>
            <w:tcW w:w="726"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182</w:t>
            </w:r>
          </w:p>
        </w:tc>
        <w:tc>
          <w:tcPr>
            <w:tcW w:w="721" w:type="dxa"/>
            <w:tcBorders>
              <w:top w:val="nil"/>
              <w:left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101</w:t>
            </w:r>
          </w:p>
        </w:tc>
        <w:tc>
          <w:tcPr>
            <w:tcW w:w="721" w:type="dxa"/>
            <w:tcBorders>
              <w:top w:val="nil"/>
              <w:left w:val="nil"/>
              <w:right w:val="nil"/>
            </w:tcBorders>
            <w:shd w:val="clear" w:color="auto" w:fill="auto"/>
            <w:tcMar>
              <w:left w:w="43" w:type="dxa"/>
              <w:right w:w="43" w:type="dxa"/>
            </w:tcMar>
            <w:vAlign w:val="center"/>
            <w:hideMark/>
          </w:tcPr>
          <w:p w:rsidR="009D025C" w:rsidRDefault="009D025C" w:rsidP="003370AC">
            <w:pPr>
              <w:jc w:val="right"/>
              <w:rPr>
                <w:sz w:val="14"/>
                <w:szCs w:val="14"/>
              </w:rPr>
            </w:pPr>
            <w:r>
              <w:rPr>
                <w:sz w:val="14"/>
                <w:szCs w:val="14"/>
              </w:rPr>
              <w:t>129</w:t>
            </w:r>
          </w:p>
        </w:tc>
        <w:tc>
          <w:tcPr>
            <w:tcW w:w="819"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102</w:t>
            </w:r>
          </w:p>
        </w:tc>
        <w:tc>
          <w:tcPr>
            <w:tcW w:w="813"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144</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120</w:t>
            </w:r>
          </w:p>
        </w:tc>
        <w:tc>
          <w:tcPr>
            <w:tcW w:w="790" w:type="dxa"/>
            <w:tcBorders>
              <w:top w:val="nil"/>
              <w:left w:val="nil"/>
              <w:right w:val="nil"/>
            </w:tcBorders>
            <w:shd w:val="clear" w:color="auto" w:fill="auto"/>
            <w:noWrap/>
            <w:tcMar>
              <w:left w:w="43" w:type="dxa"/>
              <w:right w:w="43" w:type="dxa"/>
            </w:tcMar>
            <w:vAlign w:val="center"/>
            <w:hideMark/>
          </w:tcPr>
          <w:p w:rsidR="009D025C" w:rsidRPr="009D025C" w:rsidRDefault="009D025C" w:rsidP="009D025C">
            <w:pPr>
              <w:jc w:val="right"/>
              <w:rPr>
                <w:sz w:val="14"/>
                <w:szCs w:val="14"/>
              </w:rPr>
            </w:pPr>
            <w:r w:rsidRPr="009D025C">
              <w:rPr>
                <w:sz w:val="14"/>
                <w:szCs w:val="14"/>
              </w:rPr>
              <w:t>132</w:t>
            </w:r>
          </w:p>
        </w:tc>
      </w:tr>
      <w:tr w:rsidR="009D025C" w:rsidRPr="009B6E8A" w:rsidTr="009D025C">
        <w:trPr>
          <w:trHeight w:hRule="exact" w:val="236"/>
          <w:jc w:val="center"/>
        </w:trPr>
        <w:tc>
          <w:tcPr>
            <w:tcW w:w="236" w:type="dxa"/>
            <w:tcBorders>
              <w:top w:val="nil"/>
              <w:left w:val="nil"/>
            </w:tcBorders>
            <w:shd w:val="clear" w:color="auto" w:fill="auto"/>
            <w:noWrap/>
            <w:vAlign w:val="center"/>
            <w:hideMark/>
          </w:tcPr>
          <w:p w:rsidR="009D025C" w:rsidRDefault="009D025C" w:rsidP="009C5044">
            <w:pPr>
              <w:jc w:val="left"/>
              <w:rPr>
                <w:sz w:val="14"/>
                <w:szCs w:val="14"/>
              </w:rPr>
            </w:pPr>
            <w:r>
              <w:rPr>
                <w:sz w:val="14"/>
                <w:szCs w:val="14"/>
              </w:rPr>
              <w:t>5</w:t>
            </w:r>
          </w:p>
        </w:tc>
        <w:tc>
          <w:tcPr>
            <w:tcW w:w="3105" w:type="dxa"/>
            <w:tcBorders>
              <w:top w:val="nil"/>
              <w:right w:val="nil"/>
            </w:tcBorders>
            <w:shd w:val="clear" w:color="auto" w:fill="auto"/>
            <w:vAlign w:val="center"/>
          </w:tcPr>
          <w:p w:rsidR="009D025C" w:rsidRDefault="009D025C" w:rsidP="009C5044">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9D025C" w:rsidRDefault="009D025C" w:rsidP="0005375B">
            <w:pPr>
              <w:jc w:val="right"/>
              <w:rPr>
                <w:sz w:val="14"/>
                <w:szCs w:val="14"/>
              </w:rPr>
            </w:pPr>
            <w:r>
              <w:rPr>
                <w:sz w:val="14"/>
                <w:szCs w:val="14"/>
              </w:rPr>
              <w:t>488</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05375B">
            <w:pPr>
              <w:jc w:val="right"/>
              <w:rPr>
                <w:sz w:val="14"/>
                <w:szCs w:val="14"/>
              </w:rPr>
            </w:pPr>
            <w:r>
              <w:rPr>
                <w:sz w:val="14"/>
                <w:szCs w:val="14"/>
              </w:rPr>
              <w:t>862</w:t>
            </w:r>
          </w:p>
        </w:tc>
        <w:tc>
          <w:tcPr>
            <w:tcW w:w="726"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125</w:t>
            </w:r>
          </w:p>
        </w:tc>
        <w:tc>
          <w:tcPr>
            <w:tcW w:w="721" w:type="dxa"/>
            <w:tcBorders>
              <w:top w:val="nil"/>
              <w:left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500</w:t>
            </w:r>
          </w:p>
        </w:tc>
        <w:tc>
          <w:tcPr>
            <w:tcW w:w="721" w:type="dxa"/>
            <w:tcBorders>
              <w:top w:val="nil"/>
              <w:left w:val="nil"/>
              <w:right w:val="nil"/>
            </w:tcBorders>
            <w:shd w:val="clear" w:color="auto" w:fill="auto"/>
            <w:tcMar>
              <w:left w:w="43" w:type="dxa"/>
              <w:right w:w="43" w:type="dxa"/>
            </w:tcMar>
            <w:vAlign w:val="center"/>
            <w:hideMark/>
          </w:tcPr>
          <w:p w:rsidR="009D025C" w:rsidRDefault="009D025C" w:rsidP="003370AC">
            <w:pPr>
              <w:jc w:val="right"/>
              <w:rPr>
                <w:sz w:val="14"/>
                <w:szCs w:val="14"/>
              </w:rPr>
            </w:pPr>
            <w:r>
              <w:rPr>
                <w:sz w:val="14"/>
                <w:szCs w:val="14"/>
              </w:rPr>
              <w:t>771</w:t>
            </w:r>
          </w:p>
        </w:tc>
        <w:tc>
          <w:tcPr>
            <w:tcW w:w="819"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869</w:t>
            </w:r>
          </w:p>
        </w:tc>
        <w:tc>
          <w:tcPr>
            <w:tcW w:w="813"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802</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710</w:t>
            </w:r>
          </w:p>
        </w:tc>
        <w:tc>
          <w:tcPr>
            <w:tcW w:w="790" w:type="dxa"/>
            <w:tcBorders>
              <w:top w:val="nil"/>
              <w:left w:val="nil"/>
              <w:right w:val="nil"/>
            </w:tcBorders>
            <w:shd w:val="clear" w:color="auto" w:fill="auto"/>
            <w:noWrap/>
            <w:tcMar>
              <w:left w:w="43" w:type="dxa"/>
              <w:right w:w="43" w:type="dxa"/>
            </w:tcMar>
            <w:vAlign w:val="center"/>
            <w:hideMark/>
          </w:tcPr>
          <w:p w:rsidR="009D025C" w:rsidRPr="009D025C" w:rsidRDefault="009D025C" w:rsidP="009D025C">
            <w:pPr>
              <w:jc w:val="right"/>
              <w:rPr>
                <w:sz w:val="14"/>
                <w:szCs w:val="14"/>
              </w:rPr>
            </w:pPr>
            <w:r w:rsidRPr="009D025C">
              <w:rPr>
                <w:sz w:val="14"/>
                <w:szCs w:val="14"/>
              </w:rPr>
              <w:t>627</w:t>
            </w:r>
          </w:p>
        </w:tc>
      </w:tr>
      <w:tr w:rsidR="009D025C" w:rsidRPr="009B6E8A" w:rsidTr="009D025C">
        <w:trPr>
          <w:trHeight w:hRule="exact" w:val="236"/>
          <w:jc w:val="center"/>
        </w:trPr>
        <w:tc>
          <w:tcPr>
            <w:tcW w:w="236" w:type="dxa"/>
            <w:tcBorders>
              <w:top w:val="nil"/>
              <w:left w:val="nil"/>
            </w:tcBorders>
            <w:shd w:val="clear" w:color="auto" w:fill="auto"/>
            <w:noWrap/>
            <w:vAlign w:val="center"/>
            <w:hideMark/>
          </w:tcPr>
          <w:p w:rsidR="009D025C" w:rsidRDefault="009D025C" w:rsidP="009C5044">
            <w:pPr>
              <w:jc w:val="left"/>
              <w:rPr>
                <w:b/>
                <w:bCs/>
                <w:sz w:val="14"/>
                <w:szCs w:val="14"/>
              </w:rPr>
            </w:pPr>
            <w:r>
              <w:rPr>
                <w:b/>
                <w:bCs/>
                <w:sz w:val="14"/>
                <w:szCs w:val="14"/>
              </w:rPr>
              <w:t>6</w:t>
            </w:r>
          </w:p>
        </w:tc>
        <w:tc>
          <w:tcPr>
            <w:tcW w:w="3105" w:type="dxa"/>
            <w:tcBorders>
              <w:top w:val="nil"/>
              <w:right w:val="nil"/>
            </w:tcBorders>
            <w:shd w:val="clear" w:color="auto" w:fill="auto"/>
            <w:vAlign w:val="center"/>
          </w:tcPr>
          <w:p w:rsidR="009D025C" w:rsidRDefault="009D025C" w:rsidP="009C5044">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9D025C" w:rsidRDefault="009D025C" w:rsidP="0005375B">
            <w:pPr>
              <w:jc w:val="right"/>
              <w:rPr>
                <w:sz w:val="14"/>
                <w:szCs w:val="14"/>
              </w:rPr>
            </w:pPr>
            <w:r>
              <w:rPr>
                <w:sz w:val="14"/>
                <w:szCs w:val="14"/>
              </w:rPr>
              <w:t>229,331</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05375B">
            <w:pPr>
              <w:jc w:val="right"/>
              <w:rPr>
                <w:sz w:val="14"/>
                <w:szCs w:val="14"/>
              </w:rPr>
            </w:pPr>
            <w:r>
              <w:rPr>
                <w:sz w:val="14"/>
                <w:szCs w:val="14"/>
              </w:rPr>
              <w:t>264,627</w:t>
            </w:r>
          </w:p>
        </w:tc>
        <w:tc>
          <w:tcPr>
            <w:tcW w:w="726"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177,172</w:t>
            </w:r>
          </w:p>
        </w:tc>
        <w:tc>
          <w:tcPr>
            <w:tcW w:w="721" w:type="dxa"/>
            <w:tcBorders>
              <w:top w:val="nil"/>
              <w:left w:val="nil"/>
              <w:right w:val="nil"/>
            </w:tcBorders>
            <w:shd w:val="clear" w:color="auto" w:fill="auto"/>
            <w:noWrap/>
            <w:tcMar>
              <w:left w:w="43" w:type="dxa"/>
              <w:right w:w="43" w:type="dxa"/>
            </w:tcMar>
            <w:vAlign w:val="center"/>
            <w:hideMark/>
          </w:tcPr>
          <w:p w:rsidR="009D025C" w:rsidRDefault="009D025C" w:rsidP="009D025C">
            <w:pPr>
              <w:jc w:val="right"/>
              <w:rPr>
                <w:sz w:val="14"/>
                <w:szCs w:val="14"/>
              </w:rPr>
            </w:pPr>
            <w:r>
              <w:rPr>
                <w:sz w:val="14"/>
                <w:szCs w:val="14"/>
              </w:rPr>
              <w:t>196,256</w:t>
            </w:r>
          </w:p>
        </w:tc>
        <w:tc>
          <w:tcPr>
            <w:tcW w:w="721" w:type="dxa"/>
            <w:tcBorders>
              <w:top w:val="nil"/>
              <w:left w:val="nil"/>
              <w:right w:val="nil"/>
            </w:tcBorders>
            <w:shd w:val="clear" w:color="auto" w:fill="auto"/>
            <w:tcMar>
              <w:left w:w="43" w:type="dxa"/>
              <w:right w:w="43" w:type="dxa"/>
            </w:tcMar>
            <w:vAlign w:val="center"/>
            <w:hideMark/>
          </w:tcPr>
          <w:p w:rsidR="009D025C" w:rsidRDefault="009D025C" w:rsidP="003370AC">
            <w:pPr>
              <w:jc w:val="right"/>
              <w:rPr>
                <w:sz w:val="14"/>
                <w:szCs w:val="14"/>
              </w:rPr>
            </w:pPr>
            <w:r>
              <w:rPr>
                <w:sz w:val="14"/>
                <w:szCs w:val="14"/>
              </w:rPr>
              <w:t>203,646</w:t>
            </w:r>
          </w:p>
        </w:tc>
        <w:tc>
          <w:tcPr>
            <w:tcW w:w="819"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201,307</w:t>
            </w:r>
          </w:p>
        </w:tc>
        <w:tc>
          <w:tcPr>
            <w:tcW w:w="813"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204,511</w:t>
            </w:r>
          </w:p>
        </w:tc>
        <w:tc>
          <w:tcPr>
            <w:tcW w:w="811" w:type="dxa"/>
            <w:tcBorders>
              <w:top w:val="nil"/>
              <w:left w:val="nil"/>
              <w:right w:val="nil"/>
            </w:tcBorders>
            <w:shd w:val="clear" w:color="auto" w:fill="auto"/>
            <w:noWrap/>
            <w:tcMar>
              <w:left w:w="43" w:type="dxa"/>
              <w:right w:w="43" w:type="dxa"/>
            </w:tcMar>
            <w:vAlign w:val="center"/>
            <w:hideMark/>
          </w:tcPr>
          <w:p w:rsidR="009D025C" w:rsidRDefault="009D025C" w:rsidP="003370AC">
            <w:pPr>
              <w:jc w:val="right"/>
              <w:rPr>
                <w:sz w:val="14"/>
                <w:szCs w:val="14"/>
              </w:rPr>
            </w:pPr>
            <w:r>
              <w:rPr>
                <w:sz w:val="14"/>
                <w:szCs w:val="14"/>
              </w:rPr>
              <w:t>202,153</w:t>
            </w:r>
          </w:p>
        </w:tc>
        <w:tc>
          <w:tcPr>
            <w:tcW w:w="790" w:type="dxa"/>
            <w:tcBorders>
              <w:top w:val="nil"/>
              <w:left w:val="nil"/>
              <w:right w:val="nil"/>
            </w:tcBorders>
            <w:shd w:val="clear" w:color="auto" w:fill="auto"/>
            <w:noWrap/>
            <w:tcMar>
              <w:left w:w="43" w:type="dxa"/>
              <w:right w:w="43" w:type="dxa"/>
            </w:tcMar>
            <w:vAlign w:val="center"/>
            <w:hideMark/>
          </w:tcPr>
          <w:p w:rsidR="009D025C" w:rsidRPr="009D025C" w:rsidRDefault="009D025C" w:rsidP="009D025C">
            <w:pPr>
              <w:jc w:val="right"/>
              <w:rPr>
                <w:sz w:val="14"/>
                <w:szCs w:val="14"/>
              </w:rPr>
            </w:pPr>
            <w:r w:rsidRPr="009D025C">
              <w:rPr>
                <w:sz w:val="14"/>
                <w:szCs w:val="14"/>
              </w:rPr>
              <w:t>197,485</w:t>
            </w:r>
          </w:p>
        </w:tc>
      </w:tr>
      <w:tr w:rsidR="009D025C" w:rsidRPr="009B6E8A" w:rsidTr="009D025C">
        <w:trPr>
          <w:trHeight w:hRule="exact" w:val="236"/>
          <w:jc w:val="center"/>
        </w:trPr>
        <w:tc>
          <w:tcPr>
            <w:tcW w:w="236" w:type="dxa"/>
            <w:tcBorders>
              <w:top w:val="nil"/>
              <w:left w:val="nil"/>
              <w:bottom w:val="single" w:sz="12" w:space="0" w:color="auto"/>
            </w:tcBorders>
            <w:shd w:val="clear" w:color="auto" w:fill="auto"/>
            <w:noWrap/>
            <w:vAlign w:val="center"/>
            <w:hideMark/>
          </w:tcPr>
          <w:p w:rsidR="009D025C" w:rsidRDefault="009D025C" w:rsidP="009C5044">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9D025C" w:rsidRDefault="009D025C" w:rsidP="009C5044">
            <w:pPr>
              <w:jc w:val="left"/>
              <w:rPr>
                <w:b/>
                <w:bCs/>
                <w:sz w:val="14"/>
                <w:szCs w:val="14"/>
              </w:rPr>
            </w:pPr>
            <w:r>
              <w:rPr>
                <w:b/>
                <w:bCs/>
                <w:sz w:val="14"/>
                <w:szCs w:val="14"/>
              </w:rPr>
              <w:t>Currency in Circulation           (4-5-6-7)</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9D025C" w:rsidRDefault="009D025C" w:rsidP="0005375B">
            <w:pPr>
              <w:jc w:val="right"/>
              <w:rPr>
                <w:b/>
                <w:bCs/>
                <w:sz w:val="14"/>
                <w:szCs w:val="14"/>
              </w:rPr>
            </w:pPr>
            <w:r>
              <w:rPr>
                <w:b/>
                <w:bCs/>
                <w:sz w:val="14"/>
                <w:szCs w:val="14"/>
              </w:rPr>
              <w:t>3,333,784</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9D025C" w:rsidRDefault="009D025C" w:rsidP="0005375B">
            <w:pPr>
              <w:jc w:val="right"/>
              <w:rPr>
                <w:b/>
                <w:bCs/>
                <w:sz w:val="14"/>
                <w:szCs w:val="14"/>
              </w:rPr>
            </w:pPr>
            <w:r>
              <w:rPr>
                <w:b/>
                <w:bCs/>
                <w:sz w:val="14"/>
                <w:szCs w:val="14"/>
              </w:rPr>
              <w:t>3,911,315</w:t>
            </w:r>
          </w:p>
        </w:tc>
        <w:tc>
          <w:tcPr>
            <w:tcW w:w="726" w:type="dxa"/>
            <w:tcBorders>
              <w:top w:val="nil"/>
              <w:left w:val="nil"/>
              <w:bottom w:val="single" w:sz="12" w:space="0" w:color="auto"/>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3,501,067</w:t>
            </w:r>
          </w:p>
        </w:tc>
        <w:tc>
          <w:tcPr>
            <w:tcW w:w="721" w:type="dxa"/>
            <w:tcBorders>
              <w:top w:val="nil"/>
              <w:left w:val="nil"/>
              <w:bottom w:val="single" w:sz="12" w:space="0" w:color="auto"/>
              <w:right w:val="nil"/>
            </w:tcBorders>
            <w:shd w:val="clear" w:color="auto" w:fill="auto"/>
            <w:noWrap/>
            <w:tcMar>
              <w:left w:w="43" w:type="dxa"/>
              <w:right w:w="43" w:type="dxa"/>
            </w:tcMar>
            <w:vAlign w:val="center"/>
            <w:hideMark/>
          </w:tcPr>
          <w:p w:rsidR="009D025C" w:rsidRDefault="009D025C" w:rsidP="009D025C">
            <w:pPr>
              <w:jc w:val="right"/>
              <w:rPr>
                <w:b/>
                <w:bCs/>
                <w:sz w:val="14"/>
                <w:szCs w:val="14"/>
              </w:rPr>
            </w:pPr>
            <w:r>
              <w:rPr>
                <w:b/>
                <w:bCs/>
                <w:sz w:val="14"/>
                <w:szCs w:val="14"/>
              </w:rPr>
              <w:t>3,484,918</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9D025C" w:rsidRDefault="009D025C" w:rsidP="003370AC">
            <w:pPr>
              <w:jc w:val="right"/>
              <w:rPr>
                <w:b/>
                <w:bCs/>
                <w:sz w:val="14"/>
                <w:szCs w:val="14"/>
              </w:rPr>
            </w:pPr>
            <w:r>
              <w:rPr>
                <w:b/>
                <w:bCs/>
                <w:sz w:val="14"/>
                <w:szCs w:val="14"/>
              </w:rPr>
              <w:t>3,926,868</w:t>
            </w:r>
          </w:p>
        </w:tc>
        <w:tc>
          <w:tcPr>
            <w:tcW w:w="819" w:type="dxa"/>
            <w:tcBorders>
              <w:top w:val="nil"/>
              <w:left w:val="nil"/>
              <w:bottom w:val="single" w:sz="12" w:space="0" w:color="auto"/>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3,926,957</w:t>
            </w:r>
          </w:p>
        </w:tc>
        <w:tc>
          <w:tcPr>
            <w:tcW w:w="813" w:type="dxa"/>
            <w:tcBorders>
              <w:top w:val="nil"/>
              <w:left w:val="nil"/>
              <w:bottom w:val="single" w:sz="12" w:space="0" w:color="auto"/>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3,993,781</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9D025C" w:rsidRDefault="009D025C" w:rsidP="003370AC">
            <w:pPr>
              <w:jc w:val="right"/>
              <w:rPr>
                <w:b/>
                <w:bCs/>
                <w:sz w:val="14"/>
                <w:szCs w:val="14"/>
              </w:rPr>
            </w:pPr>
            <w:r>
              <w:rPr>
                <w:b/>
                <w:bCs/>
                <w:sz w:val="14"/>
                <w:szCs w:val="14"/>
              </w:rPr>
              <w:t>4,053,248</w:t>
            </w:r>
          </w:p>
        </w:tc>
        <w:tc>
          <w:tcPr>
            <w:tcW w:w="790" w:type="dxa"/>
            <w:tcBorders>
              <w:top w:val="nil"/>
              <w:left w:val="nil"/>
              <w:bottom w:val="single" w:sz="12" w:space="0" w:color="auto"/>
              <w:right w:val="nil"/>
            </w:tcBorders>
            <w:shd w:val="clear" w:color="auto" w:fill="auto"/>
            <w:noWrap/>
            <w:tcMar>
              <w:left w:w="43" w:type="dxa"/>
              <w:right w:w="43" w:type="dxa"/>
            </w:tcMar>
            <w:vAlign w:val="center"/>
            <w:hideMark/>
          </w:tcPr>
          <w:p w:rsidR="009D025C" w:rsidRPr="009D025C" w:rsidRDefault="009D025C" w:rsidP="009D025C">
            <w:pPr>
              <w:jc w:val="right"/>
              <w:rPr>
                <w:b/>
                <w:bCs/>
                <w:sz w:val="14"/>
                <w:szCs w:val="14"/>
              </w:rPr>
            </w:pPr>
            <w:r w:rsidRPr="009D025C">
              <w:rPr>
                <w:b/>
                <w:bCs/>
                <w:sz w:val="14"/>
                <w:szCs w:val="14"/>
              </w:rPr>
              <w:t>4,098,603</w:t>
            </w:r>
          </w:p>
        </w:tc>
      </w:tr>
      <w:tr w:rsidR="003370AC" w:rsidRPr="009B6E8A" w:rsidTr="000E5288">
        <w:trPr>
          <w:trHeight w:val="834"/>
          <w:jc w:val="center"/>
        </w:trPr>
        <w:tc>
          <w:tcPr>
            <w:tcW w:w="10400" w:type="dxa"/>
            <w:gridSpan w:val="11"/>
            <w:tcBorders>
              <w:top w:val="nil"/>
              <w:left w:val="nil"/>
              <w:right w:val="nil"/>
            </w:tcBorders>
            <w:shd w:val="clear" w:color="auto" w:fill="auto"/>
            <w:noWrap/>
            <w:hideMark/>
          </w:tcPr>
          <w:p w:rsidR="003370AC" w:rsidRPr="007A724D" w:rsidRDefault="003370AC" w:rsidP="009C5044">
            <w:pPr>
              <w:ind w:left="405" w:hanging="180"/>
              <w:jc w:val="left"/>
              <w:rPr>
                <w:color w:val="auto"/>
                <w:sz w:val="14"/>
                <w:szCs w:val="14"/>
              </w:rPr>
            </w:pPr>
            <w:r w:rsidRPr="007A724D">
              <w:rPr>
                <w:color w:val="auto"/>
                <w:sz w:val="14"/>
                <w:szCs w:val="14"/>
              </w:rPr>
              <w:t xml:space="preserve">Note: </w:t>
            </w:r>
            <w:r>
              <w:rPr>
                <w:color w:val="auto"/>
                <w:sz w:val="14"/>
                <w:szCs w:val="14"/>
              </w:rPr>
              <w:t xml:space="preserve">                                                                                                                                                                                           </w:t>
            </w:r>
            <w:r>
              <w:rPr>
                <w:sz w:val="14"/>
                <w:szCs w:val="14"/>
              </w:rPr>
              <w:t>Source: Statistics &amp; Data Warehouse Department SBP</w:t>
            </w:r>
          </w:p>
          <w:p w:rsidR="003370AC" w:rsidRPr="006F5B38" w:rsidRDefault="003370AC" w:rsidP="009C5044">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The quarter end data relates to last working day whereas monthly data are of last Friday of the month. </w:t>
            </w:r>
          </w:p>
          <w:p w:rsidR="003370AC" w:rsidRPr="006F5B38" w:rsidRDefault="003370AC" w:rsidP="009C5044">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Totals may not tally due to separate rounding off.</w:t>
            </w:r>
          </w:p>
          <w:p w:rsidR="003370AC" w:rsidRPr="006F5B38" w:rsidRDefault="003370AC" w:rsidP="009C5044">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3" w:history="1">
              <w:r w:rsidRPr="006F5B38">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C63C9B" w:rsidRPr="00D5469A" w:rsidRDefault="00C63C9B" w:rsidP="0069571C">
      <w:pPr>
        <w:jc w:val="left"/>
        <w:rPr>
          <w:color w:val="auto"/>
        </w:rPr>
      </w:pPr>
    </w:p>
    <w:p w:rsidR="00A52B43" w:rsidRPr="00D5469A" w:rsidRDefault="00A52B43" w:rsidP="0069571C">
      <w:pPr>
        <w:jc w:val="left"/>
        <w:rPr>
          <w:color w:val="auto"/>
        </w:rPr>
      </w:pPr>
    </w:p>
    <w:p w:rsidR="008B2948" w:rsidRPr="00D5469A" w:rsidRDefault="008B2948" w:rsidP="0069571C">
      <w:pPr>
        <w:jc w:val="left"/>
        <w:rPr>
          <w:color w:val="auto"/>
        </w:rPr>
      </w:pPr>
    </w:p>
    <w:tbl>
      <w:tblPr>
        <w:tblW w:w="10918" w:type="dxa"/>
        <w:jc w:val="center"/>
        <w:tblInd w:w="264" w:type="dxa"/>
        <w:tblLayout w:type="fixed"/>
        <w:tblLook w:val="04A0"/>
      </w:tblPr>
      <w:tblGrid>
        <w:gridCol w:w="3569"/>
        <w:gridCol w:w="777"/>
        <w:gridCol w:w="821"/>
        <w:gridCol w:w="832"/>
        <w:gridCol w:w="810"/>
        <w:gridCol w:w="808"/>
        <w:gridCol w:w="812"/>
        <w:gridCol w:w="810"/>
        <w:gridCol w:w="900"/>
        <w:gridCol w:w="779"/>
      </w:tblGrid>
      <w:tr w:rsidR="00247299" w:rsidRPr="00247299" w:rsidTr="00491725">
        <w:trPr>
          <w:trHeight w:val="375"/>
          <w:jc w:val="center"/>
        </w:trPr>
        <w:tc>
          <w:tcPr>
            <w:tcW w:w="10918"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t>2.6</w:t>
            </w:r>
            <w:r w:rsidR="00247299" w:rsidRPr="00247299">
              <w:rPr>
                <w:b/>
                <w:bCs/>
                <w:color w:val="auto"/>
                <w:sz w:val="28"/>
                <w:szCs w:val="28"/>
              </w:rPr>
              <w:t xml:space="preserve">  Monetary Aggregates</w:t>
            </w:r>
          </w:p>
        </w:tc>
      </w:tr>
      <w:tr w:rsidR="00247299" w:rsidRPr="00247299" w:rsidTr="00491725">
        <w:trPr>
          <w:trHeight w:val="144"/>
          <w:jc w:val="center"/>
        </w:trPr>
        <w:tc>
          <w:tcPr>
            <w:tcW w:w="10918"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D41FEE" w:rsidRPr="00247299" w:rsidTr="003370AC">
        <w:trPr>
          <w:trHeight w:hRule="exact" w:val="259"/>
          <w:jc w:val="center"/>
        </w:trPr>
        <w:tc>
          <w:tcPr>
            <w:tcW w:w="3569" w:type="dxa"/>
            <w:vMerge w:val="restart"/>
            <w:tcBorders>
              <w:top w:val="single" w:sz="12" w:space="0" w:color="auto"/>
              <w:left w:val="nil"/>
              <w:right w:val="single" w:sz="4" w:space="0" w:color="auto"/>
            </w:tcBorders>
            <w:shd w:val="clear" w:color="auto" w:fill="auto"/>
            <w:noWrap/>
            <w:vAlign w:val="center"/>
            <w:hideMark/>
          </w:tcPr>
          <w:p w:rsidR="00D41FEE" w:rsidRPr="00247299" w:rsidRDefault="00D41FEE" w:rsidP="007B4774">
            <w:pPr>
              <w:rPr>
                <w:b/>
                <w:bCs/>
                <w:color w:val="auto"/>
                <w:sz w:val="14"/>
                <w:szCs w:val="14"/>
              </w:rPr>
            </w:pPr>
          </w:p>
          <w:p w:rsidR="00D41FEE" w:rsidRPr="00247299" w:rsidRDefault="00D41FEE" w:rsidP="007B4774">
            <w:pPr>
              <w:rPr>
                <w:b/>
                <w:bCs/>
                <w:color w:val="auto"/>
                <w:sz w:val="14"/>
                <w:szCs w:val="14"/>
              </w:rPr>
            </w:pPr>
            <w:r w:rsidRPr="00247299">
              <w:rPr>
                <w:b/>
                <w:bCs/>
                <w:color w:val="auto"/>
                <w:sz w:val="14"/>
                <w:szCs w:val="14"/>
              </w:rPr>
              <w:t>Assets / Liabilities</w:t>
            </w:r>
          </w:p>
        </w:tc>
        <w:tc>
          <w:tcPr>
            <w:tcW w:w="1598"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D41FEE" w:rsidRPr="00AE17B5" w:rsidRDefault="00D41FEE"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3262"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41FEE" w:rsidRPr="00AE17B5" w:rsidRDefault="00D41FEE" w:rsidP="00E6261A">
            <w:pPr>
              <w:rPr>
                <w:b/>
                <w:bCs/>
                <w:color w:val="auto"/>
                <w:szCs w:val="16"/>
              </w:rPr>
            </w:pPr>
            <w:r w:rsidRPr="00AE17B5">
              <w:rPr>
                <w:b/>
                <w:bCs/>
                <w:color w:val="auto"/>
                <w:szCs w:val="16"/>
              </w:rPr>
              <w:t>2017</w:t>
            </w:r>
          </w:p>
          <w:p w:rsidR="00D41FEE" w:rsidRPr="00AE17B5" w:rsidRDefault="00D41FEE" w:rsidP="00E6261A">
            <w:pPr>
              <w:rPr>
                <w:b/>
                <w:bCs/>
                <w:color w:val="auto"/>
                <w:szCs w:val="16"/>
              </w:rPr>
            </w:pPr>
          </w:p>
        </w:tc>
        <w:tc>
          <w:tcPr>
            <w:tcW w:w="2489" w:type="dxa"/>
            <w:gridSpan w:val="3"/>
            <w:tcBorders>
              <w:top w:val="single" w:sz="12" w:space="0" w:color="auto"/>
              <w:left w:val="single" w:sz="4" w:space="0" w:color="auto"/>
              <w:bottom w:val="single" w:sz="4" w:space="0" w:color="auto"/>
              <w:right w:val="nil"/>
            </w:tcBorders>
            <w:shd w:val="clear" w:color="auto" w:fill="auto"/>
            <w:vAlign w:val="center"/>
          </w:tcPr>
          <w:p w:rsidR="00D41FEE" w:rsidRPr="00AE17B5" w:rsidRDefault="00D41FEE" w:rsidP="00E6261A">
            <w:pPr>
              <w:rPr>
                <w:b/>
                <w:bCs/>
                <w:color w:val="auto"/>
                <w:szCs w:val="16"/>
              </w:rPr>
            </w:pPr>
            <w:r>
              <w:rPr>
                <w:b/>
                <w:bCs/>
                <w:color w:val="auto"/>
                <w:szCs w:val="16"/>
              </w:rPr>
              <w:t>2018</w:t>
            </w:r>
          </w:p>
        </w:tc>
      </w:tr>
      <w:tr w:rsidR="003370AC" w:rsidRPr="00247299" w:rsidTr="003370AC">
        <w:trPr>
          <w:trHeight w:hRule="exact" w:val="259"/>
          <w:jc w:val="center"/>
        </w:trPr>
        <w:tc>
          <w:tcPr>
            <w:tcW w:w="3569" w:type="dxa"/>
            <w:vMerge/>
            <w:tcBorders>
              <w:left w:val="nil"/>
              <w:bottom w:val="single" w:sz="12" w:space="0" w:color="auto"/>
              <w:right w:val="single" w:sz="4" w:space="0" w:color="auto"/>
            </w:tcBorders>
            <w:shd w:val="clear" w:color="auto" w:fill="auto"/>
            <w:vAlign w:val="center"/>
            <w:hideMark/>
          </w:tcPr>
          <w:p w:rsidR="003370AC" w:rsidRPr="00247299" w:rsidRDefault="003370AC" w:rsidP="009C5044">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370AC" w:rsidRPr="006619BF" w:rsidRDefault="003370AC" w:rsidP="0005375B">
            <w:pPr>
              <w:jc w:val="right"/>
              <w:rPr>
                <w:b/>
                <w:bCs/>
                <w:color w:val="auto"/>
                <w:sz w:val="14"/>
                <w:szCs w:val="14"/>
              </w:rPr>
            </w:pPr>
            <w:r w:rsidRPr="006619BF">
              <w:rPr>
                <w:b/>
                <w:bCs/>
                <w:color w:val="auto"/>
                <w:sz w:val="14"/>
                <w:szCs w:val="14"/>
              </w:rPr>
              <w:t>FY16</w:t>
            </w:r>
          </w:p>
        </w:tc>
        <w:tc>
          <w:tcPr>
            <w:tcW w:w="82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370AC" w:rsidRPr="006619BF" w:rsidRDefault="003370AC" w:rsidP="0005375B">
            <w:pPr>
              <w:jc w:val="right"/>
              <w:rPr>
                <w:b/>
                <w:bCs/>
                <w:color w:val="auto"/>
                <w:sz w:val="14"/>
                <w:szCs w:val="14"/>
              </w:rPr>
            </w:pPr>
            <w:r w:rsidRPr="006619BF">
              <w:rPr>
                <w:b/>
                <w:bCs/>
                <w:color w:val="auto"/>
                <w:sz w:val="14"/>
                <w:szCs w:val="14"/>
              </w:rPr>
              <w:t>FY17</w:t>
            </w:r>
          </w:p>
        </w:tc>
        <w:tc>
          <w:tcPr>
            <w:tcW w:w="83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370AC" w:rsidRPr="006619BF" w:rsidRDefault="003370AC" w:rsidP="003370AC">
            <w:pPr>
              <w:jc w:val="right"/>
              <w:rPr>
                <w:b/>
                <w:bCs/>
                <w:color w:val="auto"/>
                <w:sz w:val="14"/>
                <w:szCs w:val="14"/>
              </w:rPr>
            </w:pPr>
            <w:r>
              <w:rPr>
                <w:b/>
                <w:bCs/>
                <w:color w:val="auto"/>
                <w:sz w:val="14"/>
                <w:szCs w:val="14"/>
              </w:rPr>
              <w:t>Feb</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3370AC" w:rsidRPr="006619BF" w:rsidRDefault="003370AC" w:rsidP="00DE3DF2">
            <w:pPr>
              <w:jc w:val="right"/>
              <w:rPr>
                <w:b/>
                <w:bCs/>
                <w:color w:val="auto"/>
                <w:sz w:val="14"/>
                <w:szCs w:val="14"/>
              </w:rPr>
            </w:pPr>
            <w:r>
              <w:rPr>
                <w:b/>
                <w:bCs/>
                <w:color w:val="auto"/>
                <w:sz w:val="14"/>
                <w:szCs w:val="14"/>
              </w:rPr>
              <w:t>Mar</w:t>
            </w:r>
          </w:p>
        </w:tc>
        <w:tc>
          <w:tcPr>
            <w:tcW w:w="80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370AC" w:rsidRPr="006619BF" w:rsidRDefault="003370AC" w:rsidP="003370AC">
            <w:pPr>
              <w:jc w:val="right"/>
              <w:rPr>
                <w:b/>
                <w:bCs/>
                <w:color w:val="auto"/>
                <w:sz w:val="14"/>
                <w:szCs w:val="14"/>
              </w:rPr>
            </w:pPr>
            <w:r w:rsidRPr="006619BF">
              <w:rPr>
                <w:b/>
                <w:bCs/>
                <w:color w:val="auto"/>
                <w:sz w:val="14"/>
                <w:szCs w:val="14"/>
              </w:rPr>
              <w:t>Nov</w:t>
            </w:r>
          </w:p>
        </w:tc>
        <w:tc>
          <w:tcPr>
            <w:tcW w:w="812"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3370AC" w:rsidRPr="006619BF" w:rsidRDefault="003370AC" w:rsidP="003370AC">
            <w:pPr>
              <w:jc w:val="right"/>
              <w:rPr>
                <w:b/>
                <w:bCs/>
                <w:color w:val="auto"/>
                <w:sz w:val="14"/>
                <w:szCs w:val="14"/>
              </w:rPr>
            </w:pPr>
            <w:r>
              <w:rPr>
                <w:b/>
                <w:bCs/>
                <w:color w:val="auto"/>
                <w:sz w:val="14"/>
                <w:szCs w:val="14"/>
              </w:rPr>
              <w:t>Dec</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370AC" w:rsidRPr="006619BF" w:rsidRDefault="003370AC" w:rsidP="003370AC">
            <w:pPr>
              <w:jc w:val="right"/>
              <w:rPr>
                <w:b/>
                <w:bCs/>
                <w:color w:val="auto"/>
                <w:sz w:val="14"/>
                <w:szCs w:val="14"/>
              </w:rPr>
            </w:pPr>
            <w:r>
              <w:rPr>
                <w:b/>
                <w:bCs/>
                <w:color w:val="auto"/>
                <w:sz w:val="14"/>
                <w:szCs w:val="14"/>
              </w:rPr>
              <w:t>Jan</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3370AC" w:rsidRPr="006619BF" w:rsidRDefault="003370AC" w:rsidP="003370AC">
            <w:pPr>
              <w:jc w:val="right"/>
              <w:rPr>
                <w:b/>
                <w:bCs/>
                <w:color w:val="auto"/>
                <w:sz w:val="14"/>
                <w:szCs w:val="14"/>
              </w:rPr>
            </w:pPr>
            <w:r>
              <w:rPr>
                <w:b/>
                <w:bCs/>
                <w:color w:val="auto"/>
                <w:sz w:val="14"/>
                <w:szCs w:val="14"/>
              </w:rPr>
              <w:t>Feb</w:t>
            </w:r>
          </w:p>
        </w:tc>
        <w:tc>
          <w:tcPr>
            <w:tcW w:w="779" w:type="dxa"/>
            <w:tcBorders>
              <w:top w:val="single" w:sz="4" w:space="0" w:color="auto"/>
              <w:bottom w:val="single" w:sz="12" w:space="0" w:color="auto"/>
              <w:right w:val="nil"/>
            </w:tcBorders>
            <w:shd w:val="clear" w:color="auto" w:fill="auto"/>
            <w:tcMar>
              <w:left w:w="43" w:type="dxa"/>
              <w:right w:w="43" w:type="dxa"/>
            </w:tcMar>
            <w:vAlign w:val="center"/>
            <w:hideMark/>
          </w:tcPr>
          <w:p w:rsidR="003370AC" w:rsidRPr="006619BF" w:rsidRDefault="003370AC" w:rsidP="00DE3DF2">
            <w:pPr>
              <w:jc w:val="right"/>
              <w:rPr>
                <w:b/>
                <w:bCs/>
                <w:color w:val="auto"/>
                <w:sz w:val="14"/>
                <w:szCs w:val="14"/>
              </w:rPr>
            </w:pPr>
            <w:r>
              <w:rPr>
                <w:b/>
                <w:bCs/>
                <w:color w:val="auto"/>
                <w:sz w:val="14"/>
                <w:szCs w:val="14"/>
              </w:rPr>
              <w:t xml:space="preserve">Mar </w:t>
            </w:r>
            <w:r w:rsidRPr="003370AC">
              <w:rPr>
                <w:b/>
                <w:bCs/>
                <w:color w:val="auto"/>
                <w:sz w:val="14"/>
                <w:szCs w:val="14"/>
                <w:vertAlign w:val="superscript"/>
              </w:rPr>
              <w:t>P</w:t>
            </w:r>
          </w:p>
        </w:tc>
      </w:tr>
      <w:tr w:rsidR="003370AC" w:rsidRPr="00247299" w:rsidTr="003370AC">
        <w:trPr>
          <w:trHeight w:hRule="exact" w:val="230"/>
          <w:jc w:val="center"/>
        </w:trPr>
        <w:tc>
          <w:tcPr>
            <w:tcW w:w="3569" w:type="dxa"/>
            <w:tcBorders>
              <w:top w:val="single" w:sz="12" w:space="0" w:color="auto"/>
              <w:left w:val="nil"/>
              <w:bottom w:val="nil"/>
              <w:right w:val="nil"/>
            </w:tcBorders>
            <w:shd w:val="clear" w:color="auto" w:fill="auto"/>
            <w:tcMar>
              <w:left w:w="86" w:type="dxa"/>
              <w:right w:w="29" w:type="dxa"/>
            </w:tcMar>
            <w:vAlign w:val="center"/>
            <w:hideMark/>
          </w:tcPr>
          <w:p w:rsidR="003370AC" w:rsidRPr="00AC5C7D" w:rsidRDefault="003370AC" w:rsidP="009C5044">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3370AC" w:rsidRPr="00247299" w:rsidRDefault="003370AC" w:rsidP="0005375B">
            <w:pPr>
              <w:jc w:val="right"/>
              <w:rPr>
                <w:b/>
                <w:bCs/>
                <w:color w:val="auto"/>
                <w:sz w:val="13"/>
                <w:szCs w:val="13"/>
              </w:rPr>
            </w:pPr>
          </w:p>
        </w:tc>
        <w:tc>
          <w:tcPr>
            <w:tcW w:w="821" w:type="dxa"/>
            <w:tcBorders>
              <w:top w:val="nil"/>
              <w:left w:val="nil"/>
              <w:bottom w:val="nil"/>
              <w:right w:val="nil"/>
            </w:tcBorders>
            <w:shd w:val="clear" w:color="auto" w:fill="auto"/>
            <w:tcMar>
              <w:left w:w="43" w:type="dxa"/>
              <w:right w:w="43" w:type="dxa"/>
            </w:tcMar>
            <w:vAlign w:val="center"/>
            <w:hideMark/>
          </w:tcPr>
          <w:p w:rsidR="003370AC" w:rsidRPr="00247299" w:rsidRDefault="003370AC" w:rsidP="009C5044">
            <w:pPr>
              <w:jc w:val="right"/>
              <w:rPr>
                <w:b/>
                <w:bCs/>
                <w:color w:val="auto"/>
                <w:sz w:val="13"/>
                <w:szCs w:val="13"/>
              </w:rPr>
            </w:pPr>
          </w:p>
        </w:tc>
        <w:tc>
          <w:tcPr>
            <w:tcW w:w="832" w:type="dxa"/>
            <w:tcBorders>
              <w:top w:val="nil"/>
              <w:left w:val="nil"/>
              <w:bottom w:val="nil"/>
              <w:right w:val="nil"/>
            </w:tcBorders>
            <w:shd w:val="clear" w:color="auto" w:fill="auto"/>
            <w:tcMar>
              <w:left w:w="43" w:type="dxa"/>
              <w:right w:w="43" w:type="dxa"/>
            </w:tcMar>
            <w:vAlign w:val="center"/>
            <w:hideMark/>
          </w:tcPr>
          <w:p w:rsidR="003370AC" w:rsidRPr="00247299" w:rsidRDefault="003370AC" w:rsidP="003370AC">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3370AC" w:rsidRPr="00247299" w:rsidRDefault="003370AC" w:rsidP="009C5044">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3370AC" w:rsidRPr="00247299" w:rsidRDefault="003370AC" w:rsidP="003370AC">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3370AC" w:rsidRPr="00247299" w:rsidRDefault="003370AC" w:rsidP="003370AC">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3370AC" w:rsidRPr="00247299" w:rsidRDefault="003370AC"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370AC" w:rsidRPr="00247299" w:rsidRDefault="003370AC" w:rsidP="003370AC">
            <w:pPr>
              <w:jc w:val="right"/>
              <w:rPr>
                <w:rFonts w:ascii="Calibri" w:hAnsi="Calibri"/>
                <w:sz w:val="22"/>
                <w:szCs w:val="22"/>
              </w:rPr>
            </w:pPr>
          </w:p>
        </w:tc>
        <w:tc>
          <w:tcPr>
            <w:tcW w:w="779" w:type="dxa"/>
            <w:tcBorders>
              <w:top w:val="nil"/>
              <w:left w:val="nil"/>
              <w:bottom w:val="nil"/>
              <w:right w:val="nil"/>
            </w:tcBorders>
            <w:shd w:val="clear" w:color="auto" w:fill="auto"/>
            <w:noWrap/>
            <w:tcMar>
              <w:left w:w="43" w:type="dxa"/>
              <w:right w:w="43" w:type="dxa"/>
            </w:tcMar>
            <w:vAlign w:val="center"/>
            <w:hideMark/>
          </w:tcPr>
          <w:p w:rsidR="003370AC" w:rsidRPr="00247299" w:rsidRDefault="003370AC" w:rsidP="009C5044">
            <w:pPr>
              <w:jc w:val="right"/>
              <w:rPr>
                <w:rFonts w:ascii="Calibri" w:hAnsi="Calibri"/>
                <w:sz w:val="22"/>
                <w:szCs w:val="22"/>
              </w:rPr>
            </w:pP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sz w:val="14"/>
                <w:szCs w:val="14"/>
              </w:rPr>
            </w:pPr>
            <w:r w:rsidRPr="0018778B">
              <w:rPr>
                <w:sz w:val="14"/>
                <w:szCs w:val="14"/>
              </w:rPr>
              <w:t>3,333,784</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3,911,315</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3,501,067</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3,484,918</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3,926,868</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3,926,957</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3,993,781</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4,053,248</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4,098,603</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sz w:val="14"/>
                <w:szCs w:val="14"/>
              </w:rPr>
            </w:pPr>
            <w:r w:rsidRPr="0018778B">
              <w:rPr>
                <w:sz w:val="14"/>
                <w:szCs w:val="14"/>
              </w:rPr>
              <w:t>18,756</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22,692</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18,769</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18,818</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22,581</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22,624</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22,914</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22,737</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22,983</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sz w:val="14"/>
                <w:szCs w:val="14"/>
              </w:rPr>
            </w:pPr>
            <w:r w:rsidRPr="0018778B">
              <w:rPr>
                <w:sz w:val="14"/>
                <w:szCs w:val="14"/>
              </w:rPr>
              <w:t>9,472,313</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10,646,875</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9,707,064</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10,077,179</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10,554,386</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10,967,683</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10,651,824</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10,647,534</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11,161,716</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43" w:type="dxa"/>
              <w:right w:w="43" w:type="dxa"/>
            </w:tcMar>
            <w:vAlign w:val="center"/>
            <w:hideMark/>
          </w:tcPr>
          <w:p w:rsidR="000E5288" w:rsidRPr="005D516E" w:rsidRDefault="000E5288" w:rsidP="0005375B">
            <w:pPr>
              <w:jc w:val="right"/>
              <w:rPr>
                <w:i/>
                <w:iCs/>
                <w:sz w:val="14"/>
                <w:szCs w:val="14"/>
              </w:rPr>
            </w:pPr>
            <w:r w:rsidRPr="005D516E">
              <w:rPr>
                <w:i/>
                <w:iCs/>
                <w:sz w:val="14"/>
                <w:szCs w:val="14"/>
              </w:rPr>
              <w:t>587,258</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i/>
                <w:iCs/>
                <w:sz w:val="14"/>
                <w:szCs w:val="14"/>
              </w:rPr>
            </w:pPr>
            <w:r>
              <w:rPr>
                <w:i/>
                <w:iCs/>
                <w:sz w:val="14"/>
                <w:szCs w:val="14"/>
              </w:rPr>
              <w:t>655,340</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i/>
                <w:iCs/>
                <w:sz w:val="14"/>
                <w:szCs w:val="14"/>
              </w:rPr>
            </w:pPr>
            <w:r>
              <w:rPr>
                <w:i/>
                <w:iCs/>
                <w:sz w:val="14"/>
                <w:szCs w:val="14"/>
              </w:rPr>
              <w:t>597,567</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i/>
                <w:iCs/>
                <w:sz w:val="14"/>
                <w:szCs w:val="14"/>
              </w:rPr>
            </w:pPr>
            <w:r>
              <w:rPr>
                <w:i/>
                <w:iCs/>
                <w:sz w:val="14"/>
                <w:szCs w:val="14"/>
              </w:rPr>
              <w:t>602,089</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i/>
                <w:iCs/>
                <w:sz w:val="14"/>
                <w:szCs w:val="14"/>
              </w:rPr>
            </w:pPr>
            <w:r>
              <w:rPr>
                <w:i/>
                <w:iCs/>
                <w:sz w:val="14"/>
                <w:szCs w:val="14"/>
              </w:rPr>
              <w:t>705,014</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i/>
                <w:iCs/>
                <w:sz w:val="14"/>
                <w:szCs w:val="14"/>
              </w:rPr>
            </w:pPr>
            <w:r>
              <w:rPr>
                <w:i/>
                <w:iCs/>
                <w:sz w:val="14"/>
                <w:szCs w:val="14"/>
              </w:rPr>
              <w:t>730,162</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i/>
                <w:iCs/>
                <w:sz w:val="14"/>
                <w:szCs w:val="14"/>
              </w:rPr>
            </w:pPr>
            <w:r>
              <w:rPr>
                <w:i/>
                <w:iCs/>
                <w:sz w:val="14"/>
                <w:szCs w:val="14"/>
              </w:rPr>
              <w:t>735,612</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i/>
                <w:iCs/>
                <w:sz w:val="14"/>
                <w:szCs w:val="14"/>
              </w:rPr>
            </w:pPr>
            <w:r>
              <w:rPr>
                <w:i/>
                <w:iCs/>
                <w:sz w:val="14"/>
                <w:szCs w:val="14"/>
              </w:rPr>
              <w:t>741,541</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i/>
                <w:iCs/>
                <w:sz w:val="14"/>
                <w:szCs w:val="14"/>
              </w:rPr>
            </w:pPr>
            <w:r>
              <w:rPr>
                <w:i/>
                <w:iCs/>
                <w:sz w:val="14"/>
                <w:szCs w:val="14"/>
              </w:rPr>
              <w:t>780,281</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b/>
                <w:bCs/>
                <w:sz w:val="14"/>
                <w:szCs w:val="14"/>
              </w:rPr>
            </w:pPr>
            <w:r w:rsidRPr="0018778B">
              <w:rPr>
                <w:b/>
                <w:bCs/>
                <w:sz w:val="14"/>
                <w:szCs w:val="14"/>
              </w:rPr>
              <w:t>12,824,853</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b/>
                <w:bCs/>
                <w:sz w:val="14"/>
                <w:szCs w:val="14"/>
              </w:rPr>
            </w:pPr>
            <w:r>
              <w:rPr>
                <w:b/>
                <w:bCs/>
                <w:sz w:val="14"/>
                <w:szCs w:val="14"/>
              </w:rPr>
              <w:t>14,580,882</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13,226,899</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b/>
                <w:bCs/>
                <w:sz w:val="14"/>
                <w:szCs w:val="14"/>
              </w:rPr>
            </w:pPr>
            <w:r>
              <w:rPr>
                <w:b/>
                <w:bCs/>
                <w:sz w:val="14"/>
                <w:szCs w:val="14"/>
              </w:rPr>
              <w:t>13,580,915</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14,503,835</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14,917,263</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14,668,520</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14,723,518</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b/>
                <w:bCs/>
                <w:sz w:val="14"/>
                <w:szCs w:val="14"/>
              </w:rPr>
            </w:pPr>
            <w:r>
              <w:rPr>
                <w:b/>
                <w:bCs/>
                <w:sz w:val="14"/>
                <w:szCs w:val="14"/>
              </w:rPr>
              <w:t>15,283,302</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20"/>
              </w:rPr>
            </w:pP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20"/>
              </w:rPr>
            </w:pP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20"/>
              </w:rPr>
            </w:pP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20"/>
              </w:rPr>
            </w:pP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20"/>
              </w:rPr>
            </w:pP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E47574">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b/>
                <w:bCs/>
                <w:sz w:val="14"/>
                <w:szCs w:val="14"/>
              </w:rPr>
            </w:pPr>
            <w:r w:rsidRPr="0018778B">
              <w:rPr>
                <w:b/>
                <w:bCs/>
                <w:sz w:val="14"/>
                <w:szCs w:val="14"/>
              </w:rPr>
              <w:t>1,007,598</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b/>
                <w:bCs/>
                <w:sz w:val="14"/>
                <w:szCs w:val="14"/>
              </w:rPr>
            </w:pPr>
            <w:r>
              <w:rPr>
                <w:b/>
                <w:bCs/>
                <w:sz w:val="14"/>
                <w:szCs w:val="14"/>
              </w:rPr>
              <w:t>602,049</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771,167</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b/>
                <w:bCs/>
                <w:sz w:val="14"/>
                <w:szCs w:val="14"/>
              </w:rPr>
            </w:pPr>
            <w:r>
              <w:rPr>
                <w:b/>
                <w:bCs/>
                <w:sz w:val="14"/>
                <w:szCs w:val="14"/>
              </w:rPr>
              <w:t>722,779</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269,053</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427,633</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309,012</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211,288</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b/>
                <w:bCs/>
                <w:sz w:val="14"/>
                <w:szCs w:val="14"/>
              </w:rPr>
            </w:pPr>
            <w:r>
              <w:rPr>
                <w:b/>
                <w:bCs/>
                <w:sz w:val="14"/>
                <w:szCs w:val="14"/>
              </w:rPr>
              <w:t>118,992</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sz w:val="14"/>
                <w:szCs w:val="14"/>
              </w:rPr>
            </w:pPr>
            <w:r w:rsidRPr="0018778B">
              <w:rPr>
                <w:sz w:val="14"/>
                <w:szCs w:val="14"/>
              </w:rPr>
              <w:t>1,033,016</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828,923</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918,173</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877,860</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571,534</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642,399</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543,853</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430,973</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364,599</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sz w:val="14"/>
                <w:szCs w:val="14"/>
              </w:rPr>
            </w:pPr>
            <w:r w:rsidRPr="0018778B">
              <w:rPr>
                <w:sz w:val="14"/>
                <w:szCs w:val="14"/>
              </w:rPr>
              <w:t>(25,418)</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(226,873)</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(147,006)</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(155,082)</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(302,482)</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(214,767)</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(234,841)</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(219,686)</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(245,607)</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E47574">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b/>
                <w:bCs/>
                <w:sz w:val="14"/>
                <w:szCs w:val="14"/>
              </w:rPr>
            </w:pPr>
            <w:r w:rsidRPr="0018778B">
              <w:rPr>
                <w:b/>
                <w:bCs/>
                <w:sz w:val="14"/>
                <w:szCs w:val="14"/>
              </w:rPr>
              <w:t>11,817,255</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b/>
                <w:bCs/>
                <w:sz w:val="14"/>
                <w:szCs w:val="14"/>
              </w:rPr>
            </w:pPr>
            <w:r>
              <w:rPr>
                <w:b/>
                <w:bCs/>
                <w:sz w:val="14"/>
                <w:szCs w:val="14"/>
              </w:rPr>
              <w:t>13,978,833</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12,455,732</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b/>
                <w:bCs/>
                <w:sz w:val="14"/>
                <w:szCs w:val="14"/>
              </w:rPr>
            </w:pPr>
            <w:r>
              <w:rPr>
                <w:b/>
                <w:bCs/>
                <w:sz w:val="14"/>
                <w:szCs w:val="14"/>
              </w:rPr>
              <w:t>12,858,137</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14,234,782</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14,489,630</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14,359,508</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14,512,230</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b/>
                <w:bCs/>
                <w:sz w:val="14"/>
                <w:szCs w:val="14"/>
              </w:rPr>
            </w:pPr>
            <w:r>
              <w:rPr>
                <w:b/>
                <w:bCs/>
                <w:sz w:val="14"/>
                <w:szCs w:val="14"/>
              </w:rPr>
              <w:t>15,164,310</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sz w:val="14"/>
                <w:szCs w:val="14"/>
              </w:rPr>
            </w:pPr>
            <w:r w:rsidRPr="0018778B">
              <w:rPr>
                <w:sz w:val="14"/>
                <w:szCs w:val="14"/>
              </w:rPr>
              <w:t>2,533,251</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3,538,889</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2,839,823</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2,908,910</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3,708,658</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3,679,719</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3,824,479</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3,956,633</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4,132,160</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sz w:val="14"/>
                <w:szCs w:val="14"/>
              </w:rPr>
            </w:pPr>
            <w:r w:rsidRPr="0018778B">
              <w:rPr>
                <w:sz w:val="14"/>
                <w:szCs w:val="14"/>
              </w:rPr>
              <w:t>9,284,004</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10,439,944</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9,615,910</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9,949,226</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10,526,124</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10,809,911</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10,535,028</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10,555,597</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11,032,150</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b/>
                <w:bCs/>
                <w:sz w:val="14"/>
                <w:szCs w:val="14"/>
              </w:rPr>
            </w:pPr>
            <w:r w:rsidRPr="0018778B">
              <w:rPr>
                <w:b/>
                <w:bCs/>
                <w:sz w:val="14"/>
                <w:szCs w:val="14"/>
              </w:rPr>
              <w:t>7,819,545</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b/>
                <w:bCs/>
                <w:sz w:val="14"/>
                <w:szCs w:val="14"/>
              </w:rPr>
            </w:pPr>
            <w:r>
              <w:rPr>
                <w:b/>
                <w:bCs/>
                <w:sz w:val="14"/>
                <w:szCs w:val="14"/>
              </w:rPr>
              <w:t>8,955,597</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8,347,086</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b/>
                <w:bCs/>
                <w:sz w:val="14"/>
                <w:szCs w:val="14"/>
              </w:rPr>
            </w:pPr>
            <w:r>
              <w:rPr>
                <w:b/>
                <w:bCs/>
                <w:sz w:val="14"/>
                <w:szCs w:val="14"/>
              </w:rPr>
              <w:t>8,388,286</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9,319,674</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9,256,163</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9,198,623</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9,240,669</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b/>
                <w:bCs/>
                <w:sz w:val="14"/>
                <w:szCs w:val="14"/>
              </w:rPr>
            </w:pPr>
            <w:r>
              <w:rPr>
                <w:b/>
                <w:bCs/>
                <w:sz w:val="14"/>
                <w:szCs w:val="14"/>
              </w:rPr>
              <w:t>9,672,114</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b/>
                <w:bCs/>
                <w:sz w:val="14"/>
                <w:szCs w:val="14"/>
              </w:rPr>
            </w:pPr>
            <w:r w:rsidRPr="0018778B">
              <w:rPr>
                <w:b/>
                <w:bCs/>
                <w:sz w:val="14"/>
                <w:szCs w:val="14"/>
              </w:rPr>
              <w:t>7,194,814</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b/>
                <w:bCs/>
                <w:sz w:val="14"/>
                <w:szCs w:val="14"/>
              </w:rPr>
            </w:pPr>
            <w:r>
              <w:rPr>
                <w:b/>
                <w:bCs/>
                <w:sz w:val="14"/>
                <w:szCs w:val="14"/>
              </w:rPr>
              <w:t>8,282,074</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7,850,551</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b/>
                <w:bCs/>
                <w:sz w:val="14"/>
                <w:szCs w:val="14"/>
              </w:rPr>
            </w:pPr>
            <w:r>
              <w:rPr>
                <w:b/>
                <w:bCs/>
                <w:sz w:val="14"/>
                <w:szCs w:val="14"/>
              </w:rPr>
              <w:t>7,898,858</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8,659,586</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8,595,263</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8,554,817</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8,608,051</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b/>
                <w:bCs/>
                <w:sz w:val="14"/>
                <w:szCs w:val="14"/>
              </w:rPr>
            </w:pPr>
            <w:r>
              <w:rPr>
                <w:b/>
                <w:bCs/>
                <w:sz w:val="14"/>
                <w:szCs w:val="14"/>
              </w:rPr>
              <w:t>9,052,656</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sz w:val="14"/>
                <w:szCs w:val="14"/>
              </w:rPr>
            </w:pPr>
            <w:r w:rsidRPr="0018778B">
              <w:rPr>
                <w:sz w:val="14"/>
                <w:szCs w:val="14"/>
              </w:rPr>
              <w:t>1,442,243</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2,350,109</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2,393,528</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2,243,832</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2,468,304</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2,347,380</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3,253,035</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2,786,158</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4,511,578</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sz w:val="14"/>
                <w:szCs w:val="14"/>
              </w:rPr>
            </w:pPr>
            <w:r w:rsidRPr="0018778B">
              <w:rPr>
                <w:sz w:val="14"/>
                <w:szCs w:val="14"/>
              </w:rPr>
              <w:t>1,730,308</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2,440,624</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2,711,773</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2,644,550</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2,754,809</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2,602,428</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3,521,780</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3,074,519</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4,749,712</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sz w:val="14"/>
                <w:szCs w:val="14"/>
              </w:rPr>
            </w:pPr>
            <w:r w:rsidRPr="0018778B">
              <w:rPr>
                <w:sz w:val="14"/>
                <w:szCs w:val="14"/>
              </w:rPr>
              <w:t>(329,211)</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(91,238)</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(294,184)</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(159,460)</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(257,291)</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(12,470)</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(17,388)</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(608,147)</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(15,348)</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sz w:val="14"/>
                <w:szCs w:val="14"/>
              </w:rPr>
            </w:pPr>
            <w:r w:rsidRPr="0018778B">
              <w:rPr>
                <w:sz w:val="14"/>
                <w:szCs w:val="14"/>
              </w:rPr>
              <w:t>(278,291)</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(88,555)</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(303,108)</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(390,086)</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(276,761)</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(247,782)</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(259,227)</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(273,622)</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(226,928)</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sz w:val="14"/>
                <w:szCs w:val="14"/>
              </w:rPr>
            </w:pPr>
            <w:r w:rsidRPr="0018778B">
              <w:rPr>
                <w:sz w:val="14"/>
                <w:szCs w:val="14"/>
              </w:rPr>
              <w:t>(18,257)</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(1,460)</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(40,429)</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(41,201)</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(37,796)</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(39,238)</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(42,528)</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(41,786)</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(40,155)</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jc w:val="left"/>
              <w:rPr>
                <w:sz w:val="14"/>
                <w:szCs w:val="14"/>
              </w:rPr>
            </w:pPr>
            <w:r w:rsidRPr="00AC5C7D">
              <w:rPr>
                <w:sz w:val="14"/>
                <w:szCs w:val="14"/>
              </w:rPr>
              <w:t xml:space="preserve">                    Khyber  </w:t>
            </w:r>
            <w:proofErr w:type="spellStart"/>
            <w:r w:rsidRPr="00AC5C7D">
              <w:rPr>
                <w:sz w:val="14"/>
                <w:szCs w:val="14"/>
              </w:rPr>
              <w:t>Pakhtunkhwa</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sz w:val="14"/>
                <w:szCs w:val="14"/>
              </w:rPr>
            </w:pPr>
            <w:r w:rsidRPr="0018778B">
              <w:rPr>
                <w:sz w:val="14"/>
                <w:szCs w:val="14"/>
              </w:rPr>
              <w:t>(76,020)</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(30,245)</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(58,043)</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(71,242)</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(47,859)</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(53,043)</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(54,617)</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(67,870)</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(61,825)</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sz w:val="14"/>
                <w:szCs w:val="14"/>
              </w:rPr>
            </w:pPr>
            <w:r w:rsidRPr="0018778B">
              <w:rPr>
                <w:sz w:val="14"/>
                <w:szCs w:val="14"/>
              </w:rPr>
              <w:t>(96,432)</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(38,146)</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(99,471)</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(170,441)</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(102,104)</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(79,162)</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(81,892)</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(82,567)</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(69,243)</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jc w:val="left"/>
              <w:rPr>
                <w:sz w:val="14"/>
                <w:szCs w:val="14"/>
              </w:rPr>
            </w:pPr>
            <w:r w:rsidRPr="00AC5C7D">
              <w:rPr>
                <w:sz w:val="14"/>
                <w:szCs w:val="14"/>
              </w:rPr>
              <w:t xml:space="preserve">                    </w:t>
            </w:r>
            <w:proofErr w:type="spellStart"/>
            <w:r w:rsidRPr="00AC5C7D">
              <w:rPr>
                <w:sz w:val="14"/>
                <w:szCs w:val="14"/>
              </w:rPr>
              <w:t>Sindh</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sz w:val="14"/>
                <w:szCs w:val="14"/>
              </w:rPr>
            </w:pPr>
            <w:r w:rsidRPr="0018778B">
              <w:rPr>
                <w:sz w:val="14"/>
                <w:szCs w:val="14"/>
              </w:rPr>
              <w:t>(87,581)</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(18,704)</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(105,165)</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(107,201)</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(89,002)</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(76,340)</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(80,189)</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(81,398)</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(55,706)</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sz w:val="14"/>
                <w:szCs w:val="14"/>
              </w:rPr>
            </w:pPr>
            <w:r w:rsidRPr="0018778B">
              <w:rPr>
                <w:sz w:val="14"/>
                <w:szCs w:val="14"/>
              </w:rPr>
              <w:t>955</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7,279</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580</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4,078</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3,065</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4,587</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4,819</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329</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3,900</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jc w:val="left"/>
              <w:rPr>
                <w:sz w:val="14"/>
                <w:szCs w:val="14"/>
              </w:rPr>
            </w:pPr>
            <w:r w:rsidRPr="00AC5C7D">
              <w:rPr>
                <w:sz w:val="14"/>
                <w:szCs w:val="14"/>
              </w:rPr>
              <w:t xml:space="preserve">          d) </w:t>
            </w:r>
            <w:proofErr w:type="spellStart"/>
            <w:r w:rsidRPr="00AC5C7D">
              <w:rPr>
                <w:sz w:val="14"/>
                <w:szCs w:val="14"/>
              </w:rPr>
              <w:t>Gilgit-Baltistan</w:t>
            </w:r>
            <w:proofErr w:type="spellEnd"/>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sz w:val="14"/>
                <w:szCs w:val="14"/>
              </w:rPr>
            </w:pPr>
            <w:r w:rsidRPr="0018778B">
              <w:rPr>
                <w:sz w:val="14"/>
                <w:szCs w:val="14"/>
              </w:rPr>
              <w:t>(10,730)</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(9,239)</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(15,717)</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(14,711)</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(12,809)</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(11,853)</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(14,337)</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(15,068)</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(15,106)</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E5288" w:rsidRPr="0018778B" w:rsidRDefault="000E5288" w:rsidP="0005375B">
            <w:pPr>
              <w:jc w:val="right"/>
              <w:rPr>
                <w:sz w:val="14"/>
                <w:szCs w:val="14"/>
              </w:rPr>
            </w:pPr>
            <w:r w:rsidRPr="0018778B">
              <w:rPr>
                <w:sz w:val="14"/>
                <w:szCs w:val="14"/>
              </w:rPr>
              <w:t>5,752,571</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5,931,965</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5,457,022</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5,655,026</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6,191,282</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6,247,883</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5,301,782</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5,821,893</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4,541,078</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sz w:val="14"/>
                <w:szCs w:val="14"/>
              </w:rPr>
            </w:pPr>
            <w:r w:rsidRPr="0018778B">
              <w:rPr>
                <w:sz w:val="14"/>
                <w:szCs w:val="14"/>
              </w:rPr>
              <w:t>6,270,024</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6,631,399</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6,065,942</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6,286,432</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6,894,352</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6,988,946</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6,044,156</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6,550,077</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5,281,861</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43" w:type="dxa"/>
              <w:right w:w="43" w:type="dxa"/>
            </w:tcMar>
            <w:vAlign w:val="center"/>
            <w:hideMark/>
          </w:tcPr>
          <w:p w:rsidR="000E5288" w:rsidRPr="0018778B" w:rsidRDefault="000E5288" w:rsidP="0005375B">
            <w:pPr>
              <w:jc w:val="right"/>
              <w:rPr>
                <w:sz w:val="14"/>
                <w:szCs w:val="14"/>
              </w:rPr>
            </w:pPr>
            <w:r w:rsidRPr="0018778B">
              <w:rPr>
                <w:sz w:val="14"/>
                <w:szCs w:val="14"/>
              </w:rPr>
              <w:t>(716,773)</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(883,796)</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(774,355)</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(783,223)</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(935,462)</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(927,362)</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(1,021,491)</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(1,017,383)</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(1,017,458)</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sz w:val="14"/>
                <w:szCs w:val="14"/>
              </w:rPr>
            </w:pPr>
            <w:r w:rsidRPr="0018778B">
              <w:rPr>
                <w:sz w:val="14"/>
                <w:szCs w:val="14"/>
              </w:rPr>
              <w:t>(517,453)</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(699,434)</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(608,920)</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(631,406)</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(703,070)</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(741,063)</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(742,374)</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(728,184)</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(740,782)</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sz w:val="14"/>
                <w:szCs w:val="14"/>
              </w:rPr>
            </w:pPr>
            <w:r w:rsidRPr="0018778B">
              <w:rPr>
                <w:sz w:val="14"/>
                <w:szCs w:val="14"/>
              </w:rPr>
              <w:t>(518,477)</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(700,458)</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(609,944)</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(632,430)</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(704,094)</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(742,087)</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(743,398)</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(729,209)</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(741,807)</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b/>
                <w:bCs/>
                <w:sz w:val="14"/>
                <w:szCs w:val="14"/>
              </w:rPr>
            </w:pPr>
            <w:r w:rsidRPr="0018778B">
              <w:rPr>
                <w:b/>
                <w:bCs/>
                <w:sz w:val="14"/>
                <w:szCs w:val="14"/>
              </w:rPr>
              <w:t>636,574</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b/>
                <w:bCs/>
                <w:sz w:val="14"/>
                <w:szCs w:val="14"/>
              </w:rPr>
            </w:pPr>
            <w:r>
              <w:rPr>
                <w:b/>
                <w:bCs/>
                <w:sz w:val="14"/>
                <w:szCs w:val="14"/>
              </w:rPr>
              <w:t>686,508</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506,217</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b/>
                <w:bCs/>
                <w:sz w:val="14"/>
                <w:szCs w:val="14"/>
              </w:rPr>
            </w:pPr>
            <w:r>
              <w:rPr>
                <w:b/>
                <w:bCs/>
                <w:sz w:val="14"/>
                <w:szCs w:val="14"/>
              </w:rPr>
              <w:t>498,674</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673,006</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671,924</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655,141</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641,572</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b/>
                <w:bCs/>
                <w:sz w:val="14"/>
                <w:szCs w:val="14"/>
              </w:rPr>
            </w:pPr>
            <w:r>
              <w:rPr>
                <w:b/>
                <w:bCs/>
                <w:sz w:val="14"/>
                <w:szCs w:val="14"/>
              </w:rPr>
              <w:t>628,066</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b/>
                <w:bCs/>
                <w:sz w:val="14"/>
                <w:szCs w:val="14"/>
              </w:rPr>
            </w:pPr>
            <w:r w:rsidRPr="0018778B">
              <w:rPr>
                <w:b/>
                <w:bCs/>
                <w:sz w:val="14"/>
                <w:szCs w:val="14"/>
              </w:rPr>
              <w:t>(11,843)</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b/>
                <w:bCs/>
                <w:sz w:val="14"/>
                <w:szCs w:val="14"/>
              </w:rPr>
            </w:pPr>
            <w:r>
              <w:rPr>
                <w:b/>
                <w:bCs/>
                <w:sz w:val="14"/>
                <w:szCs w:val="14"/>
              </w:rPr>
              <w:t>(12,985)</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(9,682)</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b/>
                <w:bCs/>
                <w:sz w:val="14"/>
                <w:szCs w:val="14"/>
              </w:rPr>
            </w:pPr>
            <w:r>
              <w:rPr>
                <w:b/>
                <w:bCs/>
                <w:sz w:val="14"/>
                <w:szCs w:val="14"/>
              </w:rPr>
              <w:t>(9,247)</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(12,919)</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(11,025)</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(11,335)</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(8,954)</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b/>
                <w:bCs/>
                <w:sz w:val="14"/>
                <w:szCs w:val="14"/>
              </w:rPr>
            </w:pPr>
            <w:r>
              <w:rPr>
                <w:b/>
                <w:bCs/>
                <w:sz w:val="14"/>
                <w:szCs w:val="14"/>
              </w:rPr>
              <w:t>(8,608)</w:t>
            </w:r>
          </w:p>
        </w:tc>
      </w:tr>
      <w:tr w:rsidR="000E5288" w:rsidRPr="00247299" w:rsidTr="000E5288">
        <w:trPr>
          <w:trHeight w:hRule="exact" w:val="230"/>
          <w:jc w:val="center"/>
        </w:trPr>
        <w:tc>
          <w:tcPr>
            <w:tcW w:w="3569" w:type="dxa"/>
            <w:tcBorders>
              <w:top w:val="nil"/>
              <w:left w:val="nil"/>
              <w:bottom w:val="nil"/>
              <w:right w:val="nil"/>
            </w:tcBorders>
            <w:shd w:val="clear" w:color="auto" w:fill="auto"/>
            <w:noWrap/>
            <w:tcMar>
              <w:left w:w="86" w:type="dxa"/>
              <w:right w:w="29" w:type="dxa"/>
            </w:tcMar>
            <w:vAlign w:val="center"/>
            <w:hideMark/>
          </w:tcPr>
          <w:p w:rsidR="000E5288" w:rsidRPr="00AC5C7D" w:rsidRDefault="000E5288" w:rsidP="009C5044">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0E5288" w:rsidRPr="0018778B" w:rsidRDefault="000E5288" w:rsidP="0005375B">
            <w:pPr>
              <w:jc w:val="right"/>
              <w:rPr>
                <w:b/>
                <w:bCs/>
                <w:sz w:val="14"/>
                <w:szCs w:val="14"/>
              </w:rPr>
            </w:pPr>
            <w:r w:rsidRPr="0018778B">
              <w:rPr>
                <w:b/>
                <w:bCs/>
                <w:sz w:val="14"/>
                <w:szCs w:val="14"/>
              </w:rPr>
              <w:t>5,012,588</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b/>
                <w:bCs/>
                <w:sz w:val="14"/>
                <w:szCs w:val="14"/>
              </w:rPr>
            </w:pPr>
            <w:r>
              <w:rPr>
                <w:b/>
                <w:bCs/>
                <w:sz w:val="14"/>
                <w:szCs w:val="14"/>
              </w:rPr>
              <w:t>6,011,267</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5,415,898</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b/>
                <w:bCs/>
                <w:sz w:val="14"/>
                <w:szCs w:val="14"/>
              </w:rPr>
            </w:pPr>
            <w:r>
              <w:rPr>
                <w:b/>
                <w:bCs/>
                <w:sz w:val="14"/>
                <w:szCs w:val="14"/>
              </w:rPr>
              <w:t>5,651,659</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6,087,013</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6,374,033</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6,359,972</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6,453,189</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b/>
                <w:bCs/>
                <w:sz w:val="14"/>
                <w:szCs w:val="14"/>
              </w:rPr>
            </w:pPr>
            <w:r>
              <w:rPr>
                <w:b/>
                <w:bCs/>
                <w:sz w:val="14"/>
                <w:szCs w:val="14"/>
              </w:rPr>
              <w:t>6,659,489</w:t>
            </w:r>
          </w:p>
        </w:tc>
      </w:tr>
      <w:tr w:rsidR="000E5288" w:rsidRPr="00247299" w:rsidTr="000E5288">
        <w:trPr>
          <w:trHeight w:hRule="exact" w:val="230"/>
          <w:jc w:val="center"/>
        </w:trPr>
        <w:tc>
          <w:tcPr>
            <w:tcW w:w="3569" w:type="dxa"/>
            <w:tcBorders>
              <w:top w:val="nil"/>
              <w:left w:val="nil"/>
              <w:bottom w:val="nil"/>
              <w:right w:val="nil"/>
            </w:tcBorders>
            <w:shd w:val="clear" w:color="auto" w:fill="auto"/>
            <w:noWrap/>
            <w:tcMar>
              <w:left w:w="86" w:type="dxa"/>
              <w:right w:w="29" w:type="dxa"/>
            </w:tcMar>
            <w:vAlign w:val="center"/>
            <w:hideMark/>
          </w:tcPr>
          <w:p w:rsidR="000E5288" w:rsidRPr="00AC5C7D" w:rsidRDefault="000E5288" w:rsidP="009C5044">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43" w:type="dxa"/>
              <w:right w:w="43" w:type="dxa"/>
            </w:tcMar>
            <w:vAlign w:val="center"/>
            <w:hideMark/>
          </w:tcPr>
          <w:p w:rsidR="000E5288" w:rsidRPr="0018778B" w:rsidRDefault="000E5288" w:rsidP="0005375B">
            <w:pPr>
              <w:jc w:val="right"/>
              <w:rPr>
                <w:b/>
                <w:bCs/>
                <w:sz w:val="14"/>
                <w:szCs w:val="14"/>
              </w:rPr>
            </w:pPr>
            <w:r w:rsidRPr="0018778B">
              <w:rPr>
                <w:b/>
                <w:bCs/>
                <w:sz w:val="14"/>
                <w:szCs w:val="14"/>
              </w:rPr>
              <w:t>4,449,547</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b/>
                <w:bCs/>
                <w:sz w:val="14"/>
                <w:szCs w:val="14"/>
              </w:rPr>
            </w:pPr>
            <w:r>
              <w:rPr>
                <w:b/>
                <w:bCs/>
                <w:sz w:val="14"/>
                <w:szCs w:val="14"/>
              </w:rPr>
              <w:t>5,197,473</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4,753,682</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b/>
                <w:bCs/>
                <w:sz w:val="14"/>
                <w:szCs w:val="14"/>
              </w:rPr>
            </w:pPr>
            <w:r>
              <w:rPr>
                <w:b/>
                <w:bCs/>
                <w:sz w:val="14"/>
                <w:szCs w:val="14"/>
              </w:rPr>
              <w:t>4,888,102</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5,295,913</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5,493,761</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5,429,886</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5,509,969</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b/>
                <w:bCs/>
                <w:sz w:val="14"/>
                <w:szCs w:val="14"/>
              </w:rPr>
            </w:pPr>
            <w:r>
              <w:rPr>
                <w:b/>
                <w:bCs/>
                <w:sz w:val="14"/>
                <w:szCs w:val="14"/>
              </w:rPr>
              <w:t>5,671,126</w:t>
            </w:r>
          </w:p>
        </w:tc>
      </w:tr>
      <w:tr w:rsidR="000E5288" w:rsidRPr="00247299" w:rsidTr="000E5288">
        <w:trPr>
          <w:trHeight w:hRule="exact" w:val="230"/>
          <w:jc w:val="center"/>
        </w:trPr>
        <w:tc>
          <w:tcPr>
            <w:tcW w:w="3569" w:type="dxa"/>
            <w:tcBorders>
              <w:top w:val="nil"/>
              <w:left w:val="nil"/>
              <w:bottom w:val="nil"/>
              <w:right w:val="nil"/>
            </w:tcBorders>
            <w:shd w:val="clear" w:color="auto" w:fill="auto"/>
            <w:noWrap/>
            <w:tcMar>
              <w:left w:w="86" w:type="dxa"/>
              <w:right w:w="29" w:type="dxa"/>
            </w:tcMar>
            <w:vAlign w:val="center"/>
            <w:hideMark/>
          </w:tcPr>
          <w:p w:rsidR="000E5288" w:rsidRPr="00AC5C7D" w:rsidRDefault="000E5288" w:rsidP="009C5044">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43" w:type="dxa"/>
              <w:right w:w="43" w:type="dxa"/>
            </w:tcMar>
            <w:vAlign w:val="center"/>
            <w:hideMark/>
          </w:tcPr>
          <w:p w:rsidR="000E5288" w:rsidRPr="0018778B" w:rsidRDefault="000E5288" w:rsidP="0005375B">
            <w:pPr>
              <w:jc w:val="right"/>
              <w:rPr>
                <w:sz w:val="14"/>
                <w:szCs w:val="14"/>
              </w:rPr>
            </w:pPr>
            <w:r w:rsidRPr="0018778B">
              <w:rPr>
                <w:sz w:val="14"/>
                <w:szCs w:val="14"/>
              </w:rPr>
              <w:t>3,729,733</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4,241,174</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3,867,470</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3,975,558</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4,312,724</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4,476,656</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4,387,045</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4,445,563</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4,577,098</w:t>
            </w:r>
          </w:p>
        </w:tc>
      </w:tr>
      <w:tr w:rsidR="000E5288" w:rsidRPr="00247299" w:rsidTr="000E5288">
        <w:trPr>
          <w:trHeight w:hRule="exact" w:val="230"/>
          <w:jc w:val="center"/>
        </w:trPr>
        <w:tc>
          <w:tcPr>
            <w:tcW w:w="3569" w:type="dxa"/>
            <w:tcBorders>
              <w:top w:val="nil"/>
              <w:left w:val="nil"/>
              <w:bottom w:val="nil"/>
              <w:right w:val="nil"/>
            </w:tcBorders>
            <w:shd w:val="clear" w:color="auto" w:fill="auto"/>
            <w:noWrap/>
            <w:tcMar>
              <w:left w:w="86" w:type="dxa"/>
              <w:right w:w="29" w:type="dxa"/>
            </w:tcMar>
            <w:vAlign w:val="center"/>
            <w:hideMark/>
          </w:tcPr>
          <w:p w:rsidR="000E5288" w:rsidRPr="00AC5C7D" w:rsidRDefault="000E5288" w:rsidP="009C5044">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43" w:type="dxa"/>
              <w:right w:w="43" w:type="dxa"/>
            </w:tcMar>
            <w:vAlign w:val="center"/>
            <w:hideMark/>
          </w:tcPr>
          <w:p w:rsidR="000E5288" w:rsidRPr="0018778B" w:rsidRDefault="000E5288" w:rsidP="0005375B">
            <w:pPr>
              <w:jc w:val="right"/>
              <w:rPr>
                <w:sz w:val="14"/>
                <w:szCs w:val="14"/>
              </w:rPr>
            </w:pPr>
            <w:r w:rsidRPr="0018778B">
              <w:rPr>
                <w:sz w:val="14"/>
                <w:szCs w:val="14"/>
              </w:rPr>
              <w:t>488,967</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628,335</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586,383</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606,583</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626,567</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644,897</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642,434</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652,231</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670,299</w:t>
            </w:r>
          </w:p>
        </w:tc>
      </w:tr>
      <w:tr w:rsidR="000E5288" w:rsidRPr="00247299" w:rsidTr="000E5288">
        <w:trPr>
          <w:trHeight w:hRule="exact" w:val="230"/>
          <w:jc w:val="center"/>
        </w:trPr>
        <w:tc>
          <w:tcPr>
            <w:tcW w:w="3569" w:type="dxa"/>
            <w:tcBorders>
              <w:top w:val="nil"/>
              <w:left w:val="nil"/>
              <w:bottom w:val="nil"/>
              <w:right w:val="nil"/>
            </w:tcBorders>
            <w:shd w:val="clear" w:color="auto" w:fill="auto"/>
            <w:noWrap/>
            <w:tcMar>
              <w:left w:w="86" w:type="dxa"/>
              <w:right w:w="29" w:type="dxa"/>
            </w:tcMar>
            <w:vAlign w:val="center"/>
            <w:hideMark/>
          </w:tcPr>
          <w:p w:rsidR="000E5288" w:rsidRPr="00AC5C7D" w:rsidRDefault="000E5288" w:rsidP="009C5044">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43" w:type="dxa"/>
              <w:right w:w="43" w:type="dxa"/>
            </w:tcMar>
            <w:vAlign w:val="center"/>
            <w:hideMark/>
          </w:tcPr>
          <w:p w:rsidR="000E5288" w:rsidRPr="0018778B" w:rsidRDefault="000E5288" w:rsidP="0005375B">
            <w:pPr>
              <w:jc w:val="right"/>
              <w:rPr>
                <w:sz w:val="14"/>
                <w:szCs w:val="14"/>
              </w:rPr>
            </w:pPr>
            <w:r w:rsidRPr="0018778B">
              <w:rPr>
                <w:sz w:val="14"/>
                <w:szCs w:val="14"/>
              </w:rPr>
              <w:t>230,847</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327,963</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299,829</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305,962</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356,622</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372,208</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400,407</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412,174</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423,729</w:t>
            </w:r>
          </w:p>
        </w:tc>
      </w:tr>
      <w:tr w:rsidR="000E5288" w:rsidRPr="00247299" w:rsidTr="000E5288">
        <w:trPr>
          <w:trHeight w:hRule="exact" w:val="230"/>
          <w:jc w:val="center"/>
        </w:trPr>
        <w:tc>
          <w:tcPr>
            <w:tcW w:w="3569" w:type="dxa"/>
            <w:tcBorders>
              <w:top w:val="nil"/>
              <w:left w:val="nil"/>
              <w:bottom w:val="nil"/>
              <w:right w:val="nil"/>
            </w:tcBorders>
            <w:shd w:val="clear" w:color="auto" w:fill="auto"/>
            <w:tcMar>
              <w:left w:w="86" w:type="dxa"/>
              <w:right w:w="29" w:type="dxa"/>
            </w:tcMar>
            <w:vAlign w:val="center"/>
            <w:hideMark/>
          </w:tcPr>
          <w:p w:rsidR="000E5288" w:rsidRPr="00AC5C7D" w:rsidRDefault="000E5288" w:rsidP="009C5044">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43" w:type="dxa"/>
              <w:right w:w="43" w:type="dxa"/>
            </w:tcMar>
            <w:vAlign w:val="center"/>
            <w:hideMark/>
          </w:tcPr>
          <w:p w:rsidR="000E5288" w:rsidRPr="0018778B" w:rsidRDefault="000E5288" w:rsidP="0005375B">
            <w:pPr>
              <w:jc w:val="right"/>
              <w:rPr>
                <w:b/>
                <w:bCs/>
                <w:sz w:val="14"/>
                <w:szCs w:val="14"/>
              </w:rPr>
            </w:pPr>
            <w:r w:rsidRPr="0018778B">
              <w:rPr>
                <w:b/>
                <w:bCs/>
                <w:sz w:val="14"/>
                <w:szCs w:val="14"/>
              </w:rPr>
              <w:t>568,057</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b/>
                <w:bCs/>
                <w:sz w:val="14"/>
                <w:szCs w:val="14"/>
              </w:rPr>
            </w:pPr>
            <w:r>
              <w:rPr>
                <w:b/>
                <w:bCs/>
                <w:sz w:val="14"/>
                <w:szCs w:val="14"/>
              </w:rPr>
              <w:t>822,797</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664,057</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b/>
                <w:bCs/>
                <w:sz w:val="14"/>
                <w:szCs w:val="14"/>
              </w:rPr>
            </w:pPr>
            <w:r>
              <w:rPr>
                <w:b/>
                <w:bCs/>
                <w:sz w:val="14"/>
                <w:szCs w:val="14"/>
              </w:rPr>
              <w:t>765,039</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799,936</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888,841</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938,378</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951,378</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b/>
                <w:bCs/>
                <w:sz w:val="14"/>
                <w:szCs w:val="14"/>
              </w:rPr>
            </w:pPr>
            <w:r>
              <w:rPr>
                <w:b/>
                <w:bCs/>
                <w:sz w:val="14"/>
                <w:szCs w:val="14"/>
              </w:rPr>
              <w:t>996,435</w:t>
            </w:r>
          </w:p>
        </w:tc>
      </w:tr>
      <w:tr w:rsidR="000E5288" w:rsidRPr="00247299" w:rsidTr="000E5288">
        <w:trPr>
          <w:trHeight w:hRule="exact" w:val="189"/>
          <w:jc w:val="center"/>
        </w:trPr>
        <w:tc>
          <w:tcPr>
            <w:tcW w:w="3569" w:type="dxa"/>
            <w:tcBorders>
              <w:top w:val="nil"/>
              <w:left w:val="nil"/>
              <w:bottom w:val="nil"/>
              <w:right w:val="nil"/>
            </w:tcBorders>
            <w:shd w:val="clear" w:color="auto" w:fill="auto"/>
            <w:noWrap/>
            <w:tcMar>
              <w:left w:w="86" w:type="dxa"/>
              <w:right w:w="29" w:type="dxa"/>
            </w:tcMar>
            <w:vAlign w:val="center"/>
            <w:hideMark/>
          </w:tcPr>
          <w:p w:rsidR="000E5288" w:rsidRPr="00AC5C7D" w:rsidRDefault="000E5288" w:rsidP="00491725">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43" w:type="dxa"/>
              <w:right w:w="43" w:type="dxa"/>
            </w:tcMar>
            <w:vAlign w:val="center"/>
            <w:hideMark/>
          </w:tcPr>
          <w:p w:rsidR="000E5288" w:rsidRPr="0018778B" w:rsidRDefault="000E5288" w:rsidP="0005375B">
            <w:pPr>
              <w:jc w:val="right"/>
              <w:rPr>
                <w:b/>
                <w:bCs/>
                <w:sz w:val="14"/>
                <w:szCs w:val="14"/>
              </w:rPr>
            </w:pPr>
            <w:r w:rsidRPr="0018778B">
              <w:rPr>
                <w:b/>
                <w:bCs/>
                <w:sz w:val="14"/>
                <w:szCs w:val="14"/>
              </w:rPr>
              <w:t>(24,244)</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b/>
                <w:bCs/>
                <w:sz w:val="14"/>
                <w:szCs w:val="14"/>
              </w:rPr>
            </w:pPr>
            <w:r>
              <w:rPr>
                <w:b/>
                <w:bCs/>
                <w:sz w:val="14"/>
                <w:szCs w:val="14"/>
              </w:rPr>
              <w:t>(24,244)</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b/>
                <w:bCs/>
                <w:sz w:val="14"/>
                <w:szCs w:val="14"/>
              </w:rPr>
            </w:pPr>
            <w:r>
              <w:rPr>
                <w:b/>
                <w:bCs/>
                <w:sz w:val="14"/>
                <w:szCs w:val="14"/>
              </w:rPr>
              <w:t>(24,244)</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(24,244)</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(24,244)</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(24,244)</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b/>
                <w:bCs/>
                <w:sz w:val="14"/>
                <w:szCs w:val="14"/>
              </w:rPr>
            </w:pPr>
            <w:r>
              <w:rPr>
                <w:b/>
                <w:bCs/>
                <w:sz w:val="14"/>
                <w:szCs w:val="14"/>
              </w:rPr>
              <w:t>(24,244)</w:t>
            </w:r>
          </w:p>
        </w:tc>
      </w:tr>
      <w:tr w:rsidR="000E5288" w:rsidRPr="00247299" w:rsidTr="000E5288">
        <w:trPr>
          <w:trHeight w:hRule="exact" w:val="230"/>
          <w:jc w:val="center"/>
        </w:trPr>
        <w:tc>
          <w:tcPr>
            <w:tcW w:w="3569" w:type="dxa"/>
            <w:tcBorders>
              <w:top w:val="nil"/>
              <w:left w:val="nil"/>
              <w:bottom w:val="nil"/>
              <w:right w:val="nil"/>
            </w:tcBorders>
            <w:shd w:val="clear" w:color="auto" w:fill="auto"/>
            <w:noWrap/>
            <w:tcMar>
              <w:left w:w="86" w:type="dxa"/>
              <w:right w:w="29" w:type="dxa"/>
            </w:tcMar>
            <w:vAlign w:val="center"/>
            <w:hideMark/>
          </w:tcPr>
          <w:p w:rsidR="000E5288" w:rsidRPr="00AC5C7D" w:rsidRDefault="000E5288" w:rsidP="009C5044">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43" w:type="dxa"/>
              <w:right w:w="43" w:type="dxa"/>
            </w:tcMar>
            <w:vAlign w:val="center"/>
            <w:hideMark/>
          </w:tcPr>
          <w:p w:rsidR="000E5288" w:rsidRPr="0018778B" w:rsidRDefault="000E5288" w:rsidP="0005375B">
            <w:pPr>
              <w:jc w:val="right"/>
              <w:rPr>
                <w:b/>
                <w:bCs/>
                <w:sz w:val="14"/>
                <w:szCs w:val="14"/>
              </w:rPr>
            </w:pPr>
            <w:r w:rsidRPr="0018778B">
              <w:rPr>
                <w:b/>
                <w:bCs/>
                <w:sz w:val="14"/>
                <w:szCs w:val="14"/>
              </w:rPr>
              <w:t>19,228</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b/>
                <w:bCs/>
                <w:sz w:val="14"/>
                <w:szCs w:val="14"/>
              </w:rPr>
            </w:pPr>
            <w:r>
              <w:rPr>
                <w:b/>
                <w:bCs/>
                <w:sz w:val="14"/>
                <w:szCs w:val="14"/>
              </w:rPr>
              <w:t>15,241</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22,403</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b/>
                <w:bCs/>
                <w:sz w:val="14"/>
                <w:szCs w:val="14"/>
              </w:rPr>
            </w:pPr>
            <w:r>
              <w:rPr>
                <w:b/>
                <w:bCs/>
                <w:sz w:val="14"/>
                <w:szCs w:val="14"/>
              </w:rPr>
              <w:t>22,762</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15,409</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15,674</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15,952</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16,085</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b/>
                <w:bCs/>
                <w:sz w:val="14"/>
                <w:szCs w:val="14"/>
              </w:rPr>
            </w:pPr>
            <w:r>
              <w:rPr>
                <w:b/>
                <w:bCs/>
                <w:sz w:val="14"/>
                <w:szCs w:val="14"/>
              </w:rPr>
              <w:t>16,171</w:t>
            </w:r>
          </w:p>
        </w:tc>
      </w:tr>
      <w:tr w:rsidR="000E5288" w:rsidRPr="00247299" w:rsidTr="000E5288">
        <w:trPr>
          <w:trHeight w:hRule="exact" w:val="230"/>
          <w:jc w:val="center"/>
        </w:trPr>
        <w:tc>
          <w:tcPr>
            <w:tcW w:w="3569" w:type="dxa"/>
            <w:tcBorders>
              <w:top w:val="nil"/>
              <w:left w:val="nil"/>
              <w:bottom w:val="nil"/>
              <w:right w:val="nil"/>
            </w:tcBorders>
            <w:shd w:val="clear" w:color="auto" w:fill="auto"/>
            <w:noWrap/>
            <w:tcMar>
              <w:left w:w="86" w:type="dxa"/>
              <w:right w:w="29" w:type="dxa"/>
            </w:tcMar>
            <w:vAlign w:val="center"/>
            <w:hideMark/>
          </w:tcPr>
          <w:p w:rsidR="000E5288" w:rsidRPr="00AC5C7D" w:rsidRDefault="000E5288" w:rsidP="009C5044">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43" w:type="dxa"/>
              <w:right w:w="43" w:type="dxa"/>
            </w:tcMar>
            <w:vAlign w:val="center"/>
            <w:hideMark/>
          </w:tcPr>
          <w:p w:rsidR="000E5288" w:rsidRPr="0018778B" w:rsidRDefault="000E5288" w:rsidP="0005375B">
            <w:pPr>
              <w:jc w:val="right"/>
              <w:rPr>
                <w:b/>
                <w:bCs/>
                <w:sz w:val="14"/>
                <w:szCs w:val="14"/>
              </w:rPr>
            </w:pPr>
            <w:r w:rsidRPr="0018778B">
              <w:rPr>
                <w:b/>
                <w:bCs/>
                <w:sz w:val="14"/>
                <w:szCs w:val="14"/>
              </w:rPr>
              <w:t>(1,014,878)</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b/>
                <w:bCs/>
                <w:sz w:val="14"/>
                <w:szCs w:val="14"/>
              </w:rPr>
            </w:pPr>
            <w:r>
              <w:rPr>
                <w:b/>
                <w:bCs/>
                <w:sz w:val="14"/>
                <w:szCs w:val="14"/>
              </w:rPr>
              <w:t>(988,031)</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(1,307,252)</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b/>
                <w:bCs/>
                <w:sz w:val="14"/>
                <w:szCs w:val="14"/>
              </w:rPr>
            </w:pPr>
            <w:r>
              <w:rPr>
                <w:b/>
                <w:bCs/>
                <w:sz w:val="14"/>
                <w:szCs w:val="14"/>
              </w:rPr>
              <w:t>(1,181,808)</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(1,171,905)</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(1,140,565)</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(1,199,087)</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(1,181,627)</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b/>
                <w:bCs/>
                <w:sz w:val="14"/>
                <w:szCs w:val="14"/>
              </w:rPr>
            </w:pPr>
            <w:r>
              <w:rPr>
                <w:b/>
                <w:bCs/>
                <w:sz w:val="14"/>
                <w:szCs w:val="14"/>
              </w:rPr>
              <w:t>(1,167,292)</w:t>
            </w:r>
          </w:p>
        </w:tc>
      </w:tr>
      <w:tr w:rsidR="000E5288" w:rsidRPr="00247299" w:rsidTr="000E5288">
        <w:trPr>
          <w:trHeight w:hRule="exact" w:val="230"/>
          <w:jc w:val="center"/>
        </w:trPr>
        <w:tc>
          <w:tcPr>
            <w:tcW w:w="3569" w:type="dxa"/>
            <w:tcBorders>
              <w:top w:val="nil"/>
              <w:left w:val="nil"/>
              <w:bottom w:val="nil"/>
              <w:right w:val="nil"/>
            </w:tcBorders>
            <w:shd w:val="clear" w:color="auto" w:fill="auto"/>
            <w:noWrap/>
            <w:tcMar>
              <w:left w:w="86" w:type="dxa"/>
              <w:right w:w="29" w:type="dxa"/>
            </w:tcMar>
            <w:vAlign w:val="center"/>
            <w:hideMark/>
          </w:tcPr>
          <w:p w:rsidR="000E5288" w:rsidRPr="00AC5C7D" w:rsidRDefault="000E5288" w:rsidP="009C5044">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43" w:type="dxa"/>
              <w:right w:w="43" w:type="dxa"/>
            </w:tcMar>
            <w:vAlign w:val="center"/>
            <w:hideMark/>
          </w:tcPr>
          <w:p w:rsidR="000E5288" w:rsidRPr="0018778B" w:rsidRDefault="000E5288" w:rsidP="0005375B">
            <w:pPr>
              <w:jc w:val="right"/>
              <w:rPr>
                <w:b/>
                <w:bCs/>
                <w:sz w:val="14"/>
                <w:szCs w:val="14"/>
              </w:rPr>
            </w:pPr>
            <w:r w:rsidRPr="0018778B">
              <w:rPr>
                <w:b/>
                <w:bCs/>
                <w:sz w:val="14"/>
                <w:szCs w:val="14"/>
              </w:rPr>
              <w:t>12,824,853</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b/>
                <w:bCs/>
                <w:sz w:val="14"/>
                <w:szCs w:val="14"/>
              </w:rPr>
            </w:pPr>
            <w:r>
              <w:rPr>
                <w:b/>
                <w:bCs/>
                <w:sz w:val="14"/>
                <w:szCs w:val="14"/>
              </w:rPr>
              <w:t>14,580,882</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13,226,899</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b/>
                <w:bCs/>
                <w:sz w:val="14"/>
                <w:szCs w:val="14"/>
              </w:rPr>
            </w:pPr>
            <w:r>
              <w:rPr>
                <w:b/>
                <w:bCs/>
                <w:sz w:val="14"/>
                <w:szCs w:val="14"/>
              </w:rPr>
              <w:t>13,580,915</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14,503,835</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14,917,263</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14,668,520</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b/>
                <w:bCs/>
                <w:sz w:val="14"/>
                <w:szCs w:val="14"/>
              </w:rPr>
            </w:pPr>
            <w:r>
              <w:rPr>
                <w:b/>
                <w:bCs/>
                <w:sz w:val="14"/>
                <w:szCs w:val="14"/>
              </w:rPr>
              <w:t>14,723,518</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b/>
                <w:bCs/>
                <w:sz w:val="14"/>
                <w:szCs w:val="14"/>
              </w:rPr>
            </w:pPr>
            <w:r>
              <w:rPr>
                <w:b/>
                <w:bCs/>
                <w:sz w:val="14"/>
                <w:szCs w:val="14"/>
              </w:rPr>
              <w:t>15,283,302</w:t>
            </w:r>
          </w:p>
        </w:tc>
      </w:tr>
      <w:tr w:rsidR="000E5288" w:rsidRPr="00247299" w:rsidTr="000E5288">
        <w:trPr>
          <w:trHeight w:hRule="exact" w:val="230"/>
          <w:jc w:val="center"/>
        </w:trPr>
        <w:tc>
          <w:tcPr>
            <w:tcW w:w="3569" w:type="dxa"/>
            <w:tcBorders>
              <w:top w:val="nil"/>
              <w:left w:val="nil"/>
              <w:bottom w:val="nil"/>
              <w:right w:val="nil"/>
            </w:tcBorders>
            <w:shd w:val="clear" w:color="auto" w:fill="auto"/>
            <w:noWrap/>
            <w:tcMar>
              <w:left w:w="86" w:type="dxa"/>
              <w:right w:w="29" w:type="dxa"/>
            </w:tcMar>
            <w:vAlign w:val="center"/>
            <w:hideMark/>
          </w:tcPr>
          <w:p w:rsidR="000E5288" w:rsidRPr="00AC5C7D" w:rsidRDefault="000E5288" w:rsidP="009C5044">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43" w:type="dxa"/>
              <w:right w:w="43" w:type="dxa"/>
            </w:tcMar>
            <w:vAlign w:val="center"/>
            <w:hideMark/>
          </w:tcPr>
          <w:p w:rsidR="000E5288" w:rsidRPr="0018778B" w:rsidRDefault="000E5288" w:rsidP="0005375B">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20"/>
              </w:rPr>
            </w:pP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20"/>
              </w:rPr>
            </w:pP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20"/>
              </w:rPr>
            </w:pP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20"/>
              </w:rPr>
            </w:pP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20"/>
              </w:rPr>
            </w:pPr>
          </w:p>
        </w:tc>
      </w:tr>
      <w:tr w:rsidR="000E5288" w:rsidRPr="00247299" w:rsidTr="000E5288">
        <w:trPr>
          <w:trHeight w:hRule="exact" w:val="230"/>
          <w:jc w:val="center"/>
        </w:trPr>
        <w:tc>
          <w:tcPr>
            <w:tcW w:w="3569" w:type="dxa"/>
            <w:tcBorders>
              <w:top w:val="nil"/>
              <w:left w:val="nil"/>
              <w:bottom w:val="nil"/>
              <w:right w:val="nil"/>
            </w:tcBorders>
            <w:shd w:val="clear" w:color="auto" w:fill="auto"/>
            <w:noWrap/>
            <w:tcMar>
              <w:left w:w="86" w:type="dxa"/>
              <w:right w:w="29" w:type="dxa"/>
            </w:tcMar>
            <w:vAlign w:val="center"/>
            <w:hideMark/>
          </w:tcPr>
          <w:p w:rsidR="000E5288" w:rsidRPr="00AC5C7D" w:rsidRDefault="000E5288" w:rsidP="009C5044">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43" w:type="dxa"/>
              <w:right w:w="43" w:type="dxa"/>
            </w:tcMar>
            <w:vAlign w:val="center"/>
            <w:hideMark/>
          </w:tcPr>
          <w:p w:rsidR="000E5288" w:rsidRPr="0018778B" w:rsidRDefault="000E5288" w:rsidP="0005375B">
            <w:pPr>
              <w:jc w:val="right"/>
              <w:rPr>
                <w:sz w:val="14"/>
                <w:szCs w:val="14"/>
              </w:rPr>
            </w:pPr>
            <w:r w:rsidRPr="0018778B">
              <w:rPr>
                <w:sz w:val="14"/>
                <w:szCs w:val="14"/>
              </w:rPr>
              <w:t>30,482</w:t>
            </w:r>
          </w:p>
        </w:tc>
        <w:tc>
          <w:tcPr>
            <w:tcW w:w="821" w:type="dxa"/>
            <w:tcBorders>
              <w:top w:val="nil"/>
              <w:left w:val="nil"/>
              <w:bottom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50,463</w:t>
            </w:r>
          </w:p>
        </w:tc>
        <w:tc>
          <w:tcPr>
            <w:tcW w:w="83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43,999</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39,898</w:t>
            </w:r>
          </w:p>
        </w:tc>
        <w:tc>
          <w:tcPr>
            <w:tcW w:w="808"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47,710</w:t>
            </w:r>
          </w:p>
        </w:tc>
        <w:tc>
          <w:tcPr>
            <w:tcW w:w="812"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50,387</w:t>
            </w:r>
          </w:p>
        </w:tc>
        <w:tc>
          <w:tcPr>
            <w:tcW w:w="81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25,056</w:t>
            </w:r>
          </w:p>
        </w:tc>
        <w:tc>
          <w:tcPr>
            <w:tcW w:w="900" w:type="dxa"/>
            <w:tcBorders>
              <w:top w:val="nil"/>
              <w:left w:val="nil"/>
              <w:bottom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41,669</w:t>
            </w:r>
          </w:p>
        </w:tc>
        <w:tc>
          <w:tcPr>
            <w:tcW w:w="779" w:type="dxa"/>
            <w:tcBorders>
              <w:top w:val="nil"/>
              <w:left w:val="nil"/>
              <w:bottom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52,064</w:t>
            </w:r>
          </w:p>
        </w:tc>
      </w:tr>
      <w:tr w:rsidR="000E5288" w:rsidRPr="00247299" w:rsidTr="000E5288">
        <w:trPr>
          <w:trHeight w:hRule="exact" w:val="230"/>
          <w:jc w:val="center"/>
        </w:trPr>
        <w:tc>
          <w:tcPr>
            <w:tcW w:w="3569" w:type="dxa"/>
            <w:tcBorders>
              <w:top w:val="nil"/>
              <w:left w:val="nil"/>
              <w:right w:val="nil"/>
            </w:tcBorders>
            <w:shd w:val="clear" w:color="auto" w:fill="auto"/>
            <w:noWrap/>
            <w:tcMar>
              <w:left w:w="86" w:type="dxa"/>
              <w:right w:w="29" w:type="dxa"/>
            </w:tcMar>
            <w:vAlign w:val="center"/>
            <w:hideMark/>
          </w:tcPr>
          <w:p w:rsidR="000E5288" w:rsidRPr="00AC5C7D" w:rsidRDefault="000E5288" w:rsidP="009C5044">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43" w:type="dxa"/>
              <w:right w:w="43" w:type="dxa"/>
            </w:tcMar>
            <w:vAlign w:val="center"/>
            <w:hideMark/>
          </w:tcPr>
          <w:p w:rsidR="000E5288" w:rsidRPr="0018778B" w:rsidRDefault="000E5288" w:rsidP="0005375B">
            <w:pPr>
              <w:jc w:val="right"/>
              <w:rPr>
                <w:sz w:val="14"/>
                <w:szCs w:val="14"/>
              </w:rPr>
            </w:pPr>
            <w:r w:rsidRPr="0018778B">
              <w:rPr>
                <w:sz w:val="14"/>
                <w:szCs w:val="14"/>
              </w:rPr>
              <w:t>2,614,243</w:t>
            </w:r>
          </w:p>
        </w:tc>
        <w:tc>
          <w:tcPr>
            <w:tcW w:w="821" w:type="dxa"/>
            <w:tcBorders>
              <w:top w:val="nil"/>
              <w:left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3,711,754</w:t>
            </w:r>
          </w:p>
        </w:tc>
        <w:tc>
          <w:tcPr>
            <w:tcW w:w="832" w:type="dxa"/>
            <w:tcBorders>
              <w:top w:val="nil"/>
              <w:left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3,252,336</w:t>
            </w:r>
          </w:p>
        </w:tc>
        <w:tc>
          <w:tcPr>
            <w:tcW w:w="810" w:type="dxa"/>
            <w:tcBorders>
              <w:top w:val="nil"/>
              <w:left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3,455,137</w:t>
            </w:r>
          </w:p>
        </w:tc>
        <w:tc>
          <w:tcPr>
            <w:tcW w:w="808" w:type="dxa"/>
            <w:tcBorders>
              <w:top w:val="nil"/>
              <w:left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4,462,595</w:t>
            </w:r>
          </w:p>
        </w:tc>
        <w:tc>
          <w:tcPr>
            <w:tcW w:w="812" w:type="dxa"/>
            <w:tcBorders>
              <w:top w:val="nil"/>
              <w:left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4,535,468</w:t>
            </w:r>
          </w:p>
        </w:tc>
        <w:tc>
          <w:tcPr>
            <w:tcW w:w="810" w:type="dxa"/>
            <w:tcBorders>
              <w:top w:val="nil"/>
              <w:left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3,740,720</w:t>
            </w:r>
          </w:p>
        </w:tc>
        <w:tc>
          <w:tcPr>
            <w:tcW w:w="900" w:type="dxa"/>
            <w:tcBorders>
              <w:top w:val="nil"/>
              <w:left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4,270,555</w:t>
            </w:r>
          </w:p>
        </w:tc>
        <w:tc>
          <w:tcPr>
            <w:tcW w:w="779" w:type="dxa"/>
            <w:tcBorders>
              <w:top w:val="nil"/>
              <w:left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3,442,616</w:t>
            </w:r>
          </w:p>
        </w:tc>
      </w:tr>
      <w:tr w:rsidR="000E5288" w:rsidRPr="00247299" w:rsidTr="000E5288">
        <w:trPr>
          <w:trHeight w:hRule="exact" w:val="230"/>
          <w:jc w:val="center"/>
        </w:trPr>
        <w:tc>
          <w:tcPr>
            <w:tcW w:w="3569" w:type="dxa"/>
            <w:tcBorders>
              <w:top w:val="nil"/>
              <w:left w:val="nil"/>
              <w:right w:val="nil"/>
            </w:tcBorders>
            <w:shd w:val="clear" w:color="auto" w:fill="auto"/>
            <w:noWrap/>
            <w:tcMar>
              <w:left w:w="86" w:type="dxa"/>
              <w:right w:w="29" w:type="dxa"/>
            </w:tcMar>
            <w:vAlign w:val="center"/>
            <w:hideMark/>
          </w:tcPr>
          <w:p w:rsidR="000E5288" w:rsidRPr="00B53708" w:rsidRDefault="000E5288" w:rsidP="009C5044">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43" w:type="dxa"/>
              <w:right w:w="43" w:type="dxa"/>
            </w:tcMar>
            <w:vAlign w:val="center"/>
            <w:hideMark/>
          </w:tcPr>
          <w:p w:rsidR="000E5288" w:rsidRPr="0018778B" w:rsidRDefault="000E5288" w:rsidP="0005375B">
            <w:pPr>
              <w:jc w:val="right"/>
              <w:rPr>
                <w:sz w:val="14"/>
                <w:szCs w:val="14"/>
              </w:rPr>
            </w:pPr>
            <w:r w:rsidRPr="0018778B">
              <w:rPr>
                <w:sz w:val="14"/>
                <w:szCs w:val="14"/>
              </w:rPr>
              <w:t>7,117,041</w:t>
            </w:r>
          </w:p>
        </w:tc>
        <w:tc>
          <w:tcPr>
            <w:tcW w:w="821" w:type="dxa"/>
            <w:tcBorders>
              <w:top w:val="nil"/>
              <w:left w:val="nil"/>
              <w:right w:val="nil"/>
            </w:tcBorders>
            <w:shd w:val="clear" w:color="auto" w:fill="auto"/>
            <w:tcMar>
              <w:left w:w="43" w:type="dxa"/>
              <w:right w:w="43" w:type="dxa"/>
            </w:tcMar>
            <w:vAlign w:val="center"/>
            <w:hideMark/>
          </w:tcPr>
          <w:p w:rsidR="000E5288" w:rsidRDefault="000E5288" w:rsidP="005D6F97">
            <w:pPr>
              <w:jc w:val="right"/>
              <w:rPr>
                <w:sz w:val="14"/>
                <w:szCs w:val="14"/>
              </w:rPr>
            </w:pPr>
            <w:r>
              <w:rPr>
                <w:sz w:val="14"/>
                <w:szCs w:val="14"/>
              </w:rPr>
              <w:t>8,163,028</w:t>
            </w:r>
          </w:p>
        </w:tc>
        <w:tc>
          <w:tcPr>
            <w:tcW w:w="832" w:type="dxa"/>
            <w:tcBorders>
              <w:top w:val="nil"/>
              <w:left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7,759,430</w:t>
            </w:r>
          </w:p>
        </w:tc>
        <w:tc>
          <w:tcPr>
            <w:tcW w:w="810" w:type="dxa"/>
            <w:tcBorders>
              <w:top w:val="nil"/>
              <w:left w:val="nil"/>
              <w:right w:val="nil"/>
            </w:tcBorders>
            <w:shd w:val="clear" w:color="auto" w:fill="auto"/>
            <w:tcMar>
              <w:left w:w="43" w:type="dxa"/>
              <w:right w:w="43" w:type="dxa"/>
            </w:tcMar>
            <w:vAlign w:val="center"/>
            <w:hideMark/>
          </w:tcPr>
          <w:p w:rsidR="000E5288" w:rsidRDefault="000E5288" w:rsidP="000E5288">
            <w:pPr>
              <w:jc w:val="right"/>
              <w:rPr>
                <w:sz w:val="14"/>
                <w:szCs w:val="14"/>
              </w:rPr>
            </w:pPr>
            <w:r>
              <w:rPr>
                <w:sz w:val="14"/>
                <w:szCs w:val="14"/>
              </w:rPr>
              <w:t>7,811,714</w:t>
            </w:r>
          </w:p>
        </w:tc>
        <w:tc>
          <w:tcPr>
            <w:tcW w:w="808" w:type="dxa"/>
            <w:tcBorders>
              <w:top w:val="nil"/>
              <w:left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8,571,457</w:t>
            </w:r>
          </w:p>
        </w:tc>
        <w:tc>
          <w:tcPr>
            <w:tcW w:w="812" w:type="dxa"/>
            <w:tcBorders>
              <w:top w:val="nil"/>
              <w:left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8,494,803</w:t>
            </w:r>
          </w:p>
        </w:tc>
        <w:tc>
          <w:tcPr>
            <w:tcW w:w="810" w:type="dxa"/>
            <w:tcBorders>
              <w:top w:val="nil"/>
              <w:left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8,497,555</w:t>
            </w:r>
          </w:p>
        </w:tc>
        <w:tc>
          <w:tcPr>
            <w:tcW w:w="900" w:type="dxa"/>
            <w:tcBorders>
              <w:top w:val="nil"/>
              <w:left w:val="nil"/>
              <w:right w:val="nil"/>
            </w:tcBorders>
            <w:shd w:val="clear" w:color="auto" w:fill="auto"/>
            <w:tcMar>
              <w:left w:w="43" w:type="dxa"/>
              <w:right w:w="43" w:type="dxa"/>
            </w:tcMar>
            <w:vAlign w:val="center"/>
            <w:hideMark/>
          </w:tcPr>
          <w:p w:rsidR="000E5288" w:rsidRDefault="000E5288" w:rsidP="003370AC">
            <w:pPr>
              <w:jc w:val="right"/>
              <w:rPr>
                <w:sz w:val="14"/>
                <w:szCs w:val="14"/>
              </w:rPr>
            </w:pPr>
            <w:r>
              <w:rPr>
                <w:sz w:val="14"/>
                <w:szCs w:val="14"/>
              </w:rPr>
              <w:t>8,547,349</w:t>
            </w:r>
          </w:p>
        </w:tc>
        <w:tc>
          <w:tcPr>
            <w:tcW w:w="779" w:type="dxa"/>
            <w:tcBorders>
              <w:top w:val="nil"/>
              <w:left w:val="nil"/>
              <w:right w:val="nil"/>
            </w:tcBorders>
            <w:shd w:val="clear" w:color="auto" w:fill="auto"/>
            <w:noWrap/>
            <w:tcMar>
              <w:left w:w="43" w:type="dxa"/>
              <w:right w:w="43" w:type="dxa"/>
            </w:tcMar>
            <w:vAlign w:val="center"/>
            <w:hideMark/>
          </w:tcPr>
          <w:p w:rsidR="000E5288" w:rsidRDefault="000E5288" w:rsidP="000E5288">
            <w:pPr>
              <w:jc w:val="right"/>
              <w:rPr>
                <w:sz w:val="14"/>
                <w:szCs w:val="14"/>
              </w:rPr>
            </w:pPr>
            <w:r>
              <w:rPr>
                <w:sz w:val="14"/>
                <w:szCs w:val="14"/>
              </w:rPr>
              <w:t>8,976,557</w:t>
            </w:r>
          </w:p>
        </w:tc>
      </w:tr>
      <w:tr w:rsidR="000E5288" w:rsidRPr="00247299" w:rsidTr="000E5288">
        <w:trPr>
          <w:trHeight w:hRule="exact" w:val="230"/>
          <w:jc w:val="center"/>
        </w:trPr>
        <w:tc>
          <w:tcPr>
            <w:tcW w:w="3569" w:type="dxa"/>
            <w:tcBorders>
              <w:top w:val="nil"/>
              <w:left w:val="nil"/>
              <w:right w:val="nil"/>
            </w:tcBorders>
            <w:shd w:val="clear" w:color="auto" w:fill="auto"/>
            <w:noWrap/>
            <w:tcMar>
              <w:left w:w="86" w:type="dxa"/>
              <w:right w:w="29" w:type="dxa"/>
            </w:tcMar>
            <w:vAlign w:val="center"/>
            <w:hideMark/>
          </w:tcPr>
          <w:p w:rsidR="000E5288" w:rsidRPr="0018778B" w:rsidRDefault="000E5288" w:rsidP="009C5044">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43" w:type="dxa"/>
              <w:right w:w="43" w:type="dxa"/>
            </w:tcMar>
            <w:vAlign w:val="center"/>
            <w:hideMark/>
          </w:tcPr>
          <w:p w:rsidR="000E5288" w:rsidRPr="0018778B" w:rsidRDefault="000E5288" w:rsidP="0005375B">
            <w:pPr>
              <w:jc w:val="right"/>
              <w:rPr>
                <w:i/>
                <w:iCs/>
                <w:sz w:val="14"/>
                <w:szCs w:val="14"/>
              </w:rPr>
            </w:pPr>
            <w:r w:rsidRPr="0018778B">
              <w:rPr>
                <w:i/>
                <w:iCs/>
                <w:sz w:val="14"/>
                <w:szCs w:val="14"/>
              </w:rPr>
              <w:t>1,411,761</w:t>
            </w:r>
          </w:p>
        </w:tc>
        <w:tc>
          <w:tcPr>
            <w:tcW w:w="821" w:type="dxa"/>
            <w:tcBorders>
              <w:top w:val="nil"/>
              <w:left w:val="nil"/>
              <w:right w:val="nil"/>
            </w:tcBorders>
            <w:shd w:val="clear" w:color="auto" w:fill="auto"/>
            <w:tcMar>
              <w:left w:w="43" w:type="dxa"/>
              <w:right w:w="43" w:type="dxa"/>
            </w:tcMar>
            <w:vAlign w:val="center"/>
            <w:hideMark/>
          </w:tcPr>
          <w:p w:rsidR="000E5288" w:rsidRDefault="000E5288" w:rsidP="005D6F97">
            <w:pPr>
              <w:jc w:val="right"/>
              <w:rPr>
                <w:i/>
                <w:iCs/>
                <w:sz w:val="14"/>
                <w:szCs w:val="14"/>
              </w:rPr>
            </w:pPr>
            <w:r>
              <w:rPr>
                <w:i/>
                <w:iCs/>
                <w:sz w:val="14"/>
                <w:szCs w:val="14"/>
              </w:rPr>
              <w:t>2,299,646</w:t>
            </w:r>
          </w:p>
        </w:tc>
        <w:tc>
          <w:tcPr>
            <w:tcW w:w="832" w:type="dxa"/>
            <w:tcBorders>
              <w:top w:val="nil"/>
              <w:left w:val="nil"/>
              <w:right w:val="nil"/>
            </w:tcBorders>
            <w:shd w:val="clear" w:color="auto" w:fill="auto"/>
            <w:tcMar>
              <w:left w:w="43" w:type="dxa"/>
              <w:right w:w="43" w:type="dxa"/>
            </w:tcMar>
            <w:vAlign w:val="center"/>
            <w:hideMark/>
          </w:tcPr>
          <w:p w:rsidR="000E5288" w:rsidRDefault="000E5288" w:rsidP="003370AC">
            <w:pPr>
              <w:jc w:val="right"/>
              <w:rPr>
                <w:i/>
                <w:iCs/>
                <w:sz w:val="14"/>
                <w:szCs w:val="14"/>
              </w:rPr>
            </w:pPr>
            <w:r>
              <w:rPr>
                <w:i/>
                <w:iCs/>
                <w:sz w:val="14"/>
                <w:szCs w:val="14"/>
              </w:rPr>
              <w:t>2,349,529</w:t>
            </w:r>
          </w:p>
        </w:tc>
        <w:tc>
          <w:tcPr>
            <w:tcW w:w="810" w:type="dxa"/>
            <w:tcBorders>
              <w:top w:val="nil"/>
              <w:left w:val="nil"/>
              <w:right w:val="nil"/>
            </w:tcBorders>
            <w:shd w:val="clear" w:color="auto" w:fill="auto"/>
            <w:tcMar>
              <w:left w:w="43" w:type="dxa"/>
              <w:right w:w="43" w:type="dxa"/>
            </w:tcMar>
            <w:vAlign w:val="center"/>
            <w:hideMark/>
          </w:tcPr>
          <w:p w:rsidR="000E5288" w:rsidRDefault="000E5288" w:rsidP="000E5288">
            <w:pPr>
              <w:jc w:val="right"/>
              <w:rPr>
                <w:i/>
                <w:iCs/>
                <w:sz w:val="14"/>
                <w:szCs w:val="14"/>
              </w:rPr>
            </w:pPr>
            <w:r>
              <w:rPr>
                <w:i/>
                <w:iCs/>
                <w:sz w:val="14"/>
                <w:szCs w:val="14"/>
              </w:rPr>
              <w:t>2,203,934</w:t>
            </w:r>
          </w:p>
        </w:tc>
        <w:tc>
          <w:tcPr>
            <w:tcW w:w="808" w:type="dxa"/>
            <w:tcBorders>
              <w:top w:val="nil"/>
              <w:left w:val="nil"/>
              <w:right w:val="nil"/>
            </w:tcBorders>
            <w:shd w:val="clear" w:color="auto" w:fill="auto"/>
            <w:tcMar>
              <w:left w:w="43" w:type="dxa"/>
              <w:right w:w="43" w:type="dxa"/>
            </w:tcMar>
            <w:vAlign w:val="center"/>
            <w:hideMark/>
          </w:tcPr>
          <w:p w:rsidR="000E5288" w:rsidRDefault="000E5288" w:rsidP="003370AC">
            <w:pPr>
              <w:jc w:val="right"/>
              <w:rPr>
                <w:i/>
                <w:iCs/>
                <w:sz w:val="14"/>
                <w:szCs w:val="14"/>
              </w:rPr>
            </w:pPr>
            <w:r>
              <w:rPr>
                <w:i/>
                <w:iCs/>
                <w:sz w:val="14"/>
                <w:szCs w:val="14"/>
              </w:rPr>
              <w:t>2,420,594</w:t>
            </w:r>
          </w:p>
        </w:tc>
        <w:tc>
          <w:tcPr>
            <w:tcW w:w="812" w:type="dxa"/>
            <w:tcBorders>
              <w:top w:val="nil"/>
              <w:left w:val="nil"/>
              <w:right w:val="nil"/>
            </w:tcBorders>
            <w:shd w:val="clear" w:color="auto" w:fill="auto"/>
            <w:tcMar>
              <w:left w:w="43" w:type="dxa"/>
              <w:right w:w="43" w:type="dxa"/>
            </w:tcMar>
            <w:vAlign w:val="center"/>
            <w:hideMark/>
          </w:tcPr>
          <w:p w:rsidR="000E5288" w:rsidRDefault="000E5288" w:rsidP="003370AC">
            <w:pPr>
              <w:jc w:val="right"/>
              <w:rPr>
                <w:i/>
                <w:iCs/>
                <w:sz w:val="14"/>
                <w:szCs w:val="14"/>
              </w:rPr>
            </w:pPr>
            <w:r>
              <w:rPr>
                <w:i/>
                <w:iCs/>
                <w:sz w:val="14"/>
                <w:szCs w:val="14"/>
              </w:rPr>
              <w:t>2,296,993</w:t>
            </w:r>
          </w:p>
        </w:tc>
        <w:tc>
          <w:tcPr>
            <w:tcW w:w="810" w:type="dxa"/>
            <w:tcBorders>
              <w:top w:val="nil"/>
              <w:left w:val="nil"/>
              <w:right w:val="nil"/>
            </w:tcBorders>
            <w:shd w:val="clear" w:color="auto" w:fill="auto"/>
            <w:tcMar>
              <w:left w:w="43" w:type="dxa"/>
              <w:right w:w="43" w:type="dxa"/>
            </w:tcMar>
            <w:vAlign w:val="center"/>
            <w:hideMark/>
          </w:tcPr>
          <w:p w:rsidR="000E5288" w:rsidRDefault="000E5288" w:rsidP="003370AC">
            <w:pPr>
              <w:jc w:val="right"/>
              <w:rPr>
                <w:i/>
                <w:iCs/>
                <w:sz w:val="14"/>
                <w:szCs w:val="14"/>
              </w:rPr>
            </w:pPr>
            <w:r>
              <w:rPr>
                <w:i/>
                <w:iCs/>
                <w:sz w:val="14"/>
                <w:szCs w:val="14"/>
              </w:rPr>
              <w:t>3,227,980</w:t>
            </w:r>
          </w:p>
        </w:tc>
        <w:tc>
          <w:tcPr>
            <w:tcW w:w="900" w:type="dxa"/>
            <w:tcBorders>
              <w:top w:val="nil"/>
              <w:left w:val="nil"/>
              <w:right w:val="nil"/>
            </w:tcBorders>
            <w:shd w:val="clear" w:color="auto" w:fill="auto"/>
            <w:tcMar>
              <w:left w:w="43" w:type="dxa"/>
              <w:right w:w="43" w:type="dxa"/>
            </w:tcMar>
            <w:vAlign w:val="center"/>
            <w:hideMark/>
          </w:tcPr>
          <w:p w:rsidR="000E5288" w:rsidRDefault="000E5288" w:rsidP="003370AC">
            <w:pPr>
              <w:jc w:val="right"/>
              <w:rPr>
                <w:i/>
                <w:iCs/>
                <w:sz w:val="14"/>
                <w:szCs w:val="14"/>
              </w:rPr>
            </w:pPr>
            <w:r>
              <w:rPr>
                <w:i/>
                <w:iCs/>
                <w:sz w:val="14"/>
                <w:szCs w:val="14"/>
              </w:rPr>
              <w:t>2,744,489</w:t>
            </w:r>
          </w:p>
        </w:tc>
        <w:tc>
          <w:tcPr>
            <w:tcW w:w="779" w:type="dxa"/>
            <w:tcBorders>
              <w:top w:val="nil"/>
              <w:left w:val="nil"/>
              <w:right w:val="nil"/>
            </w:tcBorders>
            <w:shd w:val="clear" w:color="auto" w:fill="auto"/>
            <w:noWrap/>
            <w:tcMar>
              <w:left w:w="43" w:type="dxa"/>
              <w:right w:w="43" w:type="dxa"/>
            </w:tcMar>
            <w:vAlign w:val="center"/>
            <w:hideMark/>
          </w:tcPr>
          <w:p w:rsidR="000E5288" w:rsidRDefault="000E5288" w:rsidP="000E5288">
            <w:pPr>
              <w:jc w:val="right"/>
              <w:rPr>
                <w:i/>
                <w:iCs/>
                <w:sz w:val="14"/>
                <w:szCs w:val="14"/>
              </w:rPr>
            </w:pPr>
            <w:r>
              <w:rPr>
                <w:i/>
                <w:iCs/>
                <w:sz w:val="14"/>
                <w:szCs w:val="14"/>
              </w:rPr>
              <w:t>4,459,514</w:t>
            </w:r>
          </w:p>
        </w:tc>
      </w:tr>
      <w:tr w:rsidR="000E5288" w:rsidRPr="00247299" w:rsidTr="000E5288">
        <w:trPr>
          <w:trHeight w:hRule="exact" w:val="230"/>
          <w:jc w:val="center"/>
        </w:trPr>
        <w:tc>
          <w:tcPr>
            <w:tcW w:w="3569" w:type="dxa"/>
            <w:tcBorders>
              <w:left w:val="nil"/>
              <w:bottom w:val="single" w:sz="12" w:space="0" w:color="auto"/>
              <w:right w:val="nil"/>
            </w:tcBorders>
            <w:shd w:val="clear" w:color="auto" w:fill="auto"/>
            <w:noWrap/>
            <w:tcMar>
              <w:left w:w="86" w:type="dxa"/>
              <w:right w:w="29" w:type="dxa"/>
            </w:tcMar>
            <w:vAlign w:val="center"/>
            <w:hideMark/>
          </w:tcPr>
          <w:p w:rsidR="000E5288" w:rsidRPr="0018778B" w:rsidRDefault="000E5288" w:rsidP="009C5044">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43" w:type="dxa"/>
              <w:right w:w="43" w:type="dxa"/>
            </w:tcMar>
            <w:vAlign w:val="center"/>
            <w:hideMark/>
          </w:tcPr>
          <w:p w:rsidR="000E5288" w:rsidRPr="0018778B" w:rsidRDefault="000E5288" w:rsidP="0005375B">
            <w:pPr>
              <w:jc w:val="right"/>
              <w:rPr>
                <w:i/>
                <w:iCs/>
                <w:sz w:val="14"/>
                <w:szCs w:val="14"/>
              </w:rPr>
            </w:pPr>
            <w:r w:rsidRPr="0018778B">
              <w:rPr>
                <w:i/>
                <w:iCs/>
                <w:sz w:val="14"/>
                <w:szCs w:val="14"/>
              </w:rPr>
              <w:t>5,705,281</w:t>
            </w:r>
          </w:p>
        </w:tc>
        <w:tc>
          <w:tcPr>
            <w:tcW w:w="821" w:type="dxa"/>
            <w:tcBorders>
              <w:left w:val="nil"/>
              <w:bottom w:val="single" w:sz="12" w:space="0" w:color="auto"/>
              <w:right w:val="nil"/>
            </w:tcBorders>
            <w:shd w:val="clear" w:color="auto" w:fill="auto"/>
            <w:tcMar>
              <w:left w:w="43" w:type="dxa"/>
              <w:right w:w="43" w:type="dxa"/>
            </w:tcMar>
            <w:vAlign w:val="center"/>
            <w:hideMark/>
          </w:tcPr>
          <w:p w:rsidR="000E5288" w:rsidRDefault="000E5288" w:rsidP="005D6F97">
            <w:pPr>
              <w:jc w:val="right"/>
              <w:rPr>
                <w:i/>
                <w:iCs/>
                <w:sz w:val="14"/>
                <w:szCs w:val="14"/>
              </w:rPr>
            </w:pPr>
            <w:r>
              <w:rPr>
                <w:i/>
                <w:iCs/>
                <w:sz w:val="14"/>
                <w:szCs w:val="14"/>
              </w:rPr>
              <w:t>5,863,382</w:t>
            </w:r>
          </w:p>
        </w:tc>
        <w:tc>
          <w:tcPr>
            <w:tcW w:w="832" w:type="dxa"/>
            <w:tcBorders>
              <w:left w:val="nil"/>
              <w:bottom w:val="single" w:sz="12" w:space="0" w:color="auto"/>
              <w:right w:val="nil"/>
            </w:tcBorders>
            <w:shd w:val="clear" w:color="auto" w:fill="auto"/>
            <w:tcMar>
              <w:left w:w="43" w:type="dxa"/>
              <w:right w:w="43" w:type="dxa"/>
            </w:tcMar>
            <w:vAlign w:val="center"/>
            <w:hideMark/>
          </w:tcPr>
          <w:p w:rsidR="000E5288" w:rsidRDefault="000E5288" w:rsidP="003370AC">
            <w:pPr>
              <w:jc w:val="right"/>
              <w:rPr>
                <w:i/>
                <w:iCs/>
                <w:sz w:val="14"/>
                <w:szCs w:val="14"/>
              </w:rPr>
            </w:pPr>
            <w:r>
              <w:rPr>
                <w:i/>
                <w:iCs/>
                <w:sz w:val="14"/>
                <w:szCs w:val="14"/>
              </w:rPr>
              <w:t>5,409,901</w:t>
            </w:r>
          </w:p>
        </w:tc>
        <w:tc>
          <w:tcPr>
            <w:tcW w:w="810" w:type="dxa"/>
            <w:tcBorders>
              <w:left w:val="nil"/>
              <w:bottom w:val="single" w:sz="12" w:space="0" w:color="auto"/>
              <w:right w:val="nil"/>
            </w:tcBorders>
            <w:shd w:val="clear" w:color="auto" w:fill="auto"/>
            <w:tcMar>
              <w:left w:w="43" w:type="dxa"/>
              <w:right w:w="43" w:type="dxa"/>
            </w:tcMar>
            <w:vAlign w:val="center"/>
            <w:hideMark/>
          </w:tcPr>
          <w:p w:rsidR="000E5288" w:rsidRDefault="000E5288" w:rsidP="000E5288">
            <w:pPr>
              <w:jc w:val="right"/>
              <w:rPr>
                <w:i/>
                <w:iCs/>
                <w:sz w:val="14"/>
                <w:szCs w:val="14"/>
              </w:rPr>
            </w:pPr>
            <w:r>
              <w:rPr>
                <w:i/>
                <w:iCs/>
                <w:sz w:val="14"/>
                <w:szCs w:val="14"/>
              </w:rPr>
              <w:t>5,607,780</w:t>
            </w:r>
          </w:p>
        </w:tc>
        <w:tc>
          <w:tcPr>
            <w:tcW w:w="808" w:type="dxa"/>
            <w:tcBorders>
              <w:left w:val="nil"/>
              <w:bottom w:val="single" w:sz="12" w:space="0" w:color="auto"/>
              <w:right w:val="nil"/>
            </w:tcBorders>
            <w:shd w:val="clear" w:color="auto" w:fill="auto"/>
            <w:tcMar>
              <w:left w:w="43" w:type="dxa"/>
              <w:right w:w="43" w:type="dxa"/>
            </w:tcMar>
            <w:vAlign w:val="center"/>
            <w:hideMark/>
          </w:tcPr>
          <w:p w:rsidR="000E5288" w:rsidRDefault="000E5288" w:rsidP="003370AC">
            <w:pPr>
              <w:jc w:val="right"/>
              <w:rPr>
                <w:i/>
                <w:iCs/>
                <w:sz w:val="14"/>
                <w:szCs w:val="14"/>
              </w:rPr>
            </w:pPr>
            <w:r>
              <w:rPr>
                <w:i/>
                <w:iCs/>
                <w:sz w:val="14"/>
                <w:szCs w:val="14"/>
              </w:rPr>
              <w:t>6,150,863</w:t>
            </w:r>
          </w:p>
        </w:tc>
        <w:tc>
          <w:tcPr>
            <w:tcW w:w="812" w:type="dxa"/>
            <w:tcBorders>
              <w:left w:val="nil"/>
              <w:bottom w:val="single" w:sz="12" w:space="0" w:color="auto"/>
              <w:right w:val="nil"/>
            </w:tcBorders>
            <w:shd w:val="clear" w:color="auto" w:fill="auto"/>
            <w:tcMar>
              <w:left w:w="43" w:type="dxa"/>
              <w:right w:w="43" w:type="dxa"/>
            </w:tcMar>
            <w:vAlign w:val="center"/>
            <w:hideMark/>
          </w:tcPr>
          <w:p w:rsidR="000E5288" w:rsidRDefault="000E5288" w:rsidP="003370AC">
            <w:pPr>
              <w:jc w:val="right"/>
              <w:rPr>
                <w:i/>
                <w:iCs/>
                <w:sz w:val="14"/>
                <w:szCs w:val="14"/>
              </w:rPr>
            </w:pPr>
            <w:r>
              <w:rPr>
                <w:i/>
                <w:iCs/>
                <w:sz w:val="14"/>
                <w:szCs w:val="14"/>
              </w:rPr>
              <w:t>6,197,810</w:t>
            </w:r>
          </w:p>
        </w:tc>
        <w:tc>
          <w:tcPr>
            <w:tcW w:w="810" w:type="dxa"/>
            <w:tcBorders>
              <w:left w:val="nil"/>
              <w:bottom w:val="single" w:sz="12" w:space="0" w:color="auto"/>
              <w:right w:val="nil"/>
            </w:tcBorders>
            <w:shd w:val="clear" w:color="auto" w:fill="auto"/>
            <w:tcMar>
              <w:left w:w="43" w:type="dxa"/>
              <w:right w:w="43" w:type="dxa"/>
            </w:tcMar>
            <w:vAlign w:val="center"/>
            <w:hideMark/>
          </w:tcPr>
          <w:p w:rsidR="000E5288" w:rsidRDefault="000E5288" w:rsidP="003370AC">
            <w:pPr>
              <w:jc w:val="right"/>
              <w:rPr>
                <w:i/>
                <w:iCs/>
                <w:sz w:val="14"/>
                <w:szCs w:val="14"/>
              </w:rPr>
            </w:pPr>
            <w:r>
              <w:rPr>
                <w:i/>
                <w:iCs/>
                <w:sz w:val="14"/>
                <w:szCs w:val="14"/>
              </w:rPr>
              <w:t>5,269,576</w:t>
            </w:r>
          </w:p>
        </w:tc>
        <w:tc>
          <w:tcPr>
            <w:tcW w:w="900" w:type="dxa"/>
            <w:tcBorders>
              <w:left w:val="nil"/>
              <w:bottom w:val="single" w:sz="12" w:space="0" w:color="auto"/>
              <w:right w:val="nil"/>
            </w:tcBorders>
            <w:shd w:val="clear" w:color="auto" w:fill="auto"/>
            <w:tcMar>
              <w:left w:w="43" w:type="dxa"/>
              <w:right w:w="43" w:type="dxa"/>
            </w:tcMar>
            <w:vAlign w:val="center"/>
            <w:hideMark/>
          </w:tcPr>
          <w:p w:rsidR="000E5288" w:rsidRDefault="000E5288" w:rsidP="003370AC">
            <w:pPr>
              <w:jc w:val="right"/>
              <w:rPr>
                <w:i/>
                <w:iCs/>
                <w:sz w:val="14"/>
                <w:szCs w:val="14"/>
              </w:rPr>
            </w:pPr>
            <w:r>
              <w:rPr>
                <w:i/>
                <w:iCs/>
                <w:sz w:val="14"/>
                <w:szCs w:val="14"/>
              </w:rPr>
              <w:t>5,802,860</w:t>
            </w:r>
          </w:p>
        </w:tc>
        <w:tc>
          <w:tcPr>
            <w:tcW w:w="779" w:type="dxa"/>
            <w:tcBorders>
              <w:left w:val="nil"/>
              <w:bottom w:val="single" w:sz="12" w:space="0" w:color="auto"/>
              <w:right w:val="nil"/>
            </w:tcBorders>
            <w:shd w:val="clear" w:color="auto" w:fill="auto"/>
            <w:noWrap/>
            <w:tcMar>
              <w:left w:w="43" w:type="dxa"/>
              <w:right w:w="43" w:type="dxa"/>
            </w:tcMar>
            <w:vAlign w:val="center"/>
            <w:hideMark/>
          </w:tcPr>
          <w:p w:rsidR="000E5288" w:rsidRDefault="000E5288" w:rsidP="000E5288">
            <w:pPr>
              <w:jc w:val="right"/>
              <w:rPr>
                <w:i/>
                <w:iCs/>
                <w:sz w:val="14"/>
                <w:szCs w:val="14"/>
              </w:rPr>
            </w:pPr>
            <w:r>
              <w:rPr>
                <w:i/>
                <w:iCs/>
                <w:sz w:val="14"/>
                <w:szCs w:val="14"/>
              </w:rPr>
              <w:t>4,517,043</w:t>
            </w:r>
          </w:p>
        </w:tc>
      </w:tr>
      <w:tr w:rsidR="003370AC" w:rsidRPr="00247299" w:rsidTr="008E70CB">
        <w:trPr>
          <w:trHeight w:hRule="exact" w:val="174"/>
          <w:jc w:val="center"/>
        </w:trPr>
        <w:tc>
          <w:tcPr>
            <w:tcW w:w="10918" w:type="dxa"/>
            <w:gridSpan w:val="10"/>
            <w:tcBorders>
              <w:top w:val="single" w:sz="12" w:space="0" w:color="auto"/>
              <w:left w:val="nil"/>
              <w:right w:val="nil"/>
            </w:tcBorders>
            <w:shd w:val="clear" w:color="auto" w:fill="auto"/>
            <w:noWrap/>
            <w:vAlign w:val="bottom"/>
            <w:hideMark/>
          </w:tcPr>
          <w:p w:rsidR="003370AC" w:rsidRPr="00247299" w:rsidRDefault="003370AC" w:rsidP="009C5044">
            <w:pPr>
              <w:jc w:val="right"/>
              <w:rPr>
                <w:color w:val="auto"/>
                <w:sz w:val="14"/>
                <w:szCs w:val="14"/>
              </w:rPr>
            </w:pPr>
            <w:r>
              <w:rPr>
                <w:sz w:val="14"/>
                <w:szCs w:val="14"/>
              </w:rPr>
              <w:t>Source: Statistics &amp; Data Warehouse Department SBP</w:t>
            </w:r>
            <w:r w:rsidRPr="00247299">
              <w:rPr>
                <w:color w:val="auto"/>
                <w:sz w:val="14"/>
                <w:szCs w:val="14"/>
              </w:rPr>
              <w:t> </w:t>
            </w:r>
          </w:p>
          <w:p w:rsidR="003370AC" w:rsidRPr="00247299" w:rsidRDefault="003370AC" w:rsidP="009C5044">
            <w:pPr>
              <w:jc w:val="right"/>
              <w:rPr>
                <w:rFonts w:ascii="Calibri" w:hAnsi="Calibri"/>
                <w:sz w:val="22"/>
                <w:szCs w:val="22"/>
              </w:rPr>
            </w:pPr>
            <w:r w:rsidRPr="00247299">
              <w:rPr>
                <w:i/>
                <w:iCs/>
                <w:color w:val="auto"/>
                <w:sz w:val="14"/>
                <w:szCs w:val="14"/>
              </w:rPr>
              <w:t> </w:t>
            </w:r>
          </w:p>
        </w:tc>
      </w:tr>
      <w:tr w:rsidR="003370AC" w:rsidRPr="00247299" w:rsidTr="00491725">
        <w:trPr>
          <w:trHeight w:val="819"/>
          <w:jc w:val="center"/>
        </w:trPr>
        <w:tc>
          <w:tcPr>
            <w:tcW w:w="10918" w:type="dxa"/>
            <w:gridSpan w:val="10"/>
            <w:tcBorders>
              <w:top w:val="nil"/>
              <w:left w:val="nil"/>
              <w:bottom w:val="nil"/>
              <w:right w:val="nil"/>
            </w:tcBorders>
            <w:shd w:val="clear" w:color="auto" w:fill="auto"/>
            <w:hideMark/>
          </w:tcPr>
          <w:p w:rsidR="003370AC" w:rsidRDefault="003370AC" w:rsidP="009C5044">
            <w:pPr>
              <w:ind w:left="162" w:hanging="180"/>
              <w:jc w:val="left"/>
              <w:rPr>
                <w:color w:val="auto"/>
                <w:sz w:val="14"/>
                <w:szCs w:val="14"/>
              </w:rPr>
            </w:pPr>
            <w:r w:rsidRPr="007114E7">
              <w:rPr>
                <w:color w:val="auto"/>
                <w:sz w:val="14"/>
                <w:szCs w:val="14"/>
              </w:rPr>
              <w:t>1. Excluding IMF A/c Nos. 1 &amp; 2, SAF loan account, counterpart funds, deposits of foreign central banks, foreign governments, international organizations and deposit money banks.</w:t>
            </w:r>
          </w:p>
          <w:p w:rsidR="003370AC" w:rsidRDefault="003370AC" w:rsidP="009C5044">
            <w:pPr>
              <w:ind w:left="162" w:hanging="180"/>
              <w:jc w:val="left"/>
              <w:rPr>
                <w:color w:val="auto"/>
                <w:sz w:val="14"/>
                <w:szCs w:val="14"/>
              </w:rPr>
            </w:pPr>
            <w:r w:rsidRPr="007114E7">
              <w:rPr>
                <w:color w:val="auto"/>
                <w:sz w:val="14"/>
                <w:szCs w:val="14"/>
              </w:rPr>
              <w:t>Note:-</w:t>
            </w:r>
          </w:p>
          <w:p w:rsidR="003370AC" w:rsidRDefault="003370AC" w:rsidP="009C5044">
            <w:pPr>
              <w:ind w:left="162" w:hanging="180"/>
              <w:jc w:val="left"/>
              <w:rPr>
                <w:color w:val="auto"/>
                <w:sz w:val="14"/>
                <w:szCs w:val="14"/>
              </w:rPr>
            </w:pPr>
            <w:proofErr w:type="spellStart"/>
            <w:r w:rsidRPr="007114E7">
              <w:rPr>
                <w:color w:val="auto"/>
                <w:sz w:val="14"/>
                <w:szCs w:val="14"/>
              </w:rPr>
              <w:t>i</w:t>
            </w:r>
            <w:proofErr w:type="spellEnd"/>
            <w:r w:rsidRPr="007114E7">
              <w:rPr>
                <w:color w:val="auto"/>
                <w:sz w:val="14"/>
                <w:szCs w:val="14"/>
              </w:rPr>
              <w:t xml:space="preserve"> </w:t>
            </w:r>
            <w:proofErr w:type="gramStart"/>
            <w:r w:rsidRPr="007114E7">
              <w:rPr>
                <w:color w:val="auto"/>
                <w:sz w:val="14"/>
                <w:szCs w:val="14"/>
              </w:rPr>
              <w:t>-  Data</w:t>
            </w:r>
            <w:proofErr w:type="gramEnd"/>
            <w:r w:rsidRPr="007114E7">
              <w:rPr>
                <w:color w:val="auto"/>
                <w:sz w:val="14"/>
                <w:szCs w:val="14"/>
              </w:rPr>
              <w:t xml:space="preserve"> is based on weekly returns. The quarterly data covers the period up to the last working day of the month and others months data up to the last working day of last week.</w:t>
            </w:r>
          </w:p>
          <w:p w:rsidR="003370AC" w:rsidRDefault="003370AC" w:rsidP="009C5044">
            <w:pPr>
              <w:ind w:left="162" w:hanging="180"/>
              <w:jc w:val="left"/>
              <w:rPr>
                <w:color w:val="auto"/>
                <w:sz w:val="14"/>
                <w:szCs w:val="14"/>
              </w:rPr>
            </w:pPr>
            <w:r w:rsidRPr="007114E7">
              <w:rPr>
                <w:color w:val="auto"/>
                <w:sz w:val="14"/>
                <w:szCs w:val="14"/>
              </w:rPr>
              <w:t>ii-  Data from 30-June 2013 onward is revised on account of reclassification of SBP accounts</w:t>
            </w:r>
          </w:p>
          <w:p w:rsidR="003370AC" w:rsidRDefault="003370AC" w:rsidP="009C5044">
            <w:pPr>
              <w:ind w:left="162" w:hanging="180"/>
              <w:jc w:val="left"/>
              <w:rPr>
                <w:color w:val="auto"/>
                <w:sz w:val="14"/>
                <w:szCs w:val="14"/>
              </w:rPr>
            </w:pPr>
            <w:r w:rsidRPr="007114E7">
              <w:rPr>
                <w:color w:val="auto"/>
                <w:sz w:val="14"/>
                <w:szCs w:val="14"/>
              </w:rPr>
              <w:t>iii- Data for Credit to Private Sector &amp; Credit to Public Sector Enterprises(PSEs) is revised from Jul-16 to Feb-17</w:t>
            </w:r>
          </w:p>
          <w:p w:rsidR="003370AC" w:rsidRDefault="003370AC" w:rsidP="009C5044">
            <w:pPr>
              <w:ind w:left="162" w:hanging="180"/>
              <w:jc w:val="left"/>
              <w:rPr>
                <w:color w:val="auto"/>
                <w:sz w:val="14"/>
                <w:szCs w:val="14"/>
              </w:rPr>
            </w:pPr>
            <w:r w:rsidRPr="007114E7">
              <w:rPr>
                <w:color w:val="auto"/>
                <w:sz w:val="14"/>
                <w:szCs w:val="14"/>
              </w:rPr>
              <w:t xml:space="preserve">* </w:t>
            </w:r>
            <w:proofErr w:type="spellStart"/>
            <w:r w:rsidRPr="007114E7">
              <w:rPr>
                <w:color w:val="auto"/>
                <w:sz w:val="14"/>
                <w:szCs w:val="14"/>
              </w:rPr>
              <w:t>Note:Islamic</w:t>
            </w:r>
            <w:proofErr w:type="spellEnd"/>
            <w:r w:rsidRPr="007114E7">
              <w:rPr>
                <w:color w:val="auto"/>
                <w:sz w:val="14"/>
                <w:szCs w:val="14"/>
              </w:rPr>
              <w:t xml:space="preserve"> Financings, Advances (against </w:t>
            </w:r>
            <w:proofErr w:type="spellStart"/>
            <w:r w:rsidRPr="007114E7">
              <w:rPr>
                <w:color w:val="auto"/>
                <w:sz w:val="14"/>
                <w:szCs w:val="14"/>
              </w:rPr>
              <w:t>Murabaha</w:t>
            </w:r>
            <w:proofErr w:type="spellEnd"/>
            <w:r w:rsidRPr="007114E7">
              <w:rPr>
                <w:color w:val="auto"/>
                <w:sz w:val="14"/>
                <w:szCs w:val="14"/>
              </w:rPr>
              <w:t xml:space="preserve"> etc), Inventories  and any Other related item(s) pertaining to Islamic Financing  previously reported under Other Assets has been reclassified as credit to private </w:t>
            </w:r>
            <w:proofErr w:type="spellStart"/>
            <w:r w:rsidRPr="007114E7">
              <w:rPr>
                <w:color w:val="auto"/>
                <w:sz w:val="14"/>
                <w:szCs w:val="14"/>
              </w:rPr>
              <w:t>sector.Details</w:t>
            </w:r>
            <w:proofErr w:type="spellEnd"/>
            <w:r w:rsidRPr="007114E7">
              <w:rPr>
                <w:color w:val="auto"/>
                <w:sz w:val="14"/>
                <w:szCs w:val="14"/>
              </w:rPr>
              <w:t xml:space="preserve"> of</w:t>
            </w:r>
            <w:r>
              <w:rPr>
                <w:color w:val="auto"/>
                <w:sz w:val="14"/>
                <w:szCs w:val="14"/>
              </w:rPr>
              <w:t xml:space="preserve"> </w:t>
            </w:r>
            <w:r w:rsidRPr="007114E7">
              <w:rPr>
                <w:color w:val="auto"/>
                <w:sz w:val="14"/>
                <w:szCs w:val="14"/>
              </w:rPr>
              <w:t>reclassifications/revisions are available in revision study on SBP website at:</w:t>
            </w:r>
            <w:r>
              <w:t xml:space="preserve"> </w:t>
            </w:r>
            <w:hyperlink r:id="rId14" w:history="1">
              <w:r w:rsidRPr="0058677E">
                <w:rPr>
                  <w:rStyle w:val="Hyperlink"/>
                  <w:sz w:val="14"/>
                  <w:szCs w:val="14"/>
                </w:rPr>
                <w:t>http://www.sbp.org.pk/ecodata/RSMS.pdf</w:t>
              </w:r>
            </w:hyperlink>
          </w:p>
          <w:p w:rsidR="003370AC" w:rsidRPr="004B7881" w:rsidRDefault="003370AC" w:rsidP="009C5044">
            <w:pPr>
              <w:ind w:left="162" w:hanging="180"/>
              <w:jc w:val="left"/>
              <w:rPr>
                <w:color w:val="auto"/>
                <w:sz w:val="14"/>
                <w:szCs w:val="14"/>
              </w:rPr>
            </w:pPr>
            <w:r w:rsidRPr="00A276A4">
              <w:rPr>
                <w:color w:val="auto"/>
                <w:sz w:val="14"/>
                <w:szCs w:val="14"/>
              </w:rPr>
              <w:t>**Includes investment of Rs. 100,149 million in Pakistan Security Printing Corporation (PSPC)</w:t>
            </w:r>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CE7FA4" w:rsidRDefault="00CE7FA4" w:rsidP="0069571C">
      <w:pPr>
        <w:jc w:val="left"/>
        <w:rPr>
          <w:color w:val="auto"/>
        </w:rPr>
      </w:pPr>
    </w:p>
    <w:p w:rsidR="000A5CDF" w:rsidRDefault="000A5CDF" w:rsidP="0069571C">
      <w:pPr>
        <w:jc w:val="left"/>
        <w:rPr>
          <w:color w:val="auto"/>
        </w:rPr>
      </w:pPr>
    </w:p>
    <w:p w:rsidR="000A5CDF" w:rsidRDefault="000A5CDF" w:rsidP="0069571C">
      <w:pPr>
        <w:jc w:val="left"/>
        <w:rPr>
          <w:color w:val="auto"/>
        </w:rPr>
      </w:pPr>
    </w:p>
    <w:tbl>
      <w:tblPr>
        <w:tblW w:w="5044" w:type="pct"/>
        <w:jc w:val="center"/>
        <w:tblLook w:val="04A0"/>
      </w:tblPr>
      <w:tblGrid>
        <w:gridCol w:w="5039"/>
        <w:gridCol w:w="1097"/>
        <w:gridCol w:w="1099"/>
        <w:gridCol w:w="1208"/>
        <w:gridCol w:w="1217"/>
      </w:tblGrid>
      <w:tr w:rsidR="00601FB0" w:rsidRPr="00D5469A" w:rsidTr="00B06C4E">
        <w:trPr>
          <w:trHeight w:val="522"/>
          <w:jc w:val="center"/>
        </w:trPr>
        <w:tc>
          <w:tcPr>
            <w:tcW w:w="5000" w:type="pct"/>
            <w:gridSpan w:val="5"/>
            <w:tcBorders>
              <w:top w:val="nil"/>
              <w:left w:val="nil"/>
              <w:bottom w:val="nil"/>
              <w:right w:val="nil"/>
            </w:tcBorders>
            <w:shd w:val="clear" w:color="auto" w:fill="auto"/>
            <w:vAlign w:val="center"/>
            <w:hideMark/>
          </w:tcPr>
          <w:p w:rsidR="00601FB0" w:rsidRPr="00D5469A" w:rsidRDefault="00601FB0"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601FB0" w:rsidRPr="00D5469A" w:rsidTr="00B06C4E">
        <w:trPr>
          <w:trHeight w:val="189"/>
          <w:jc w:val="center"/>
        </w:trPr>
        <w:tc>
          <w:tcPr>
            <w:tcW w:w="5000" w:type="pct"/>
            <w:gridSpan w:val="5"/>
            <w:tcBorders>
              <w:top w:val="nil"/>
              <w:left w:val="nil"/>
              <w:bottom w:val="nil"/>
              <w:right w:val="nil"/>
            </w:tcBorders>
            <w:shd w:val="clear" w:color="auto" w:fill="auto"/>
            <w:vAlign w:val="center"/>
            <w:hideMark/>
          </w:tcPr>
          <w:p w:rsidR="00601FB0" w:rsidRPr="00D5469A" w:rsidRDefault="00601FB0" w:rsidP="00601FB0">
            <w:pPr>
              <w:rPr>
                <w:b/>
                <w:bCs/>
                <w:color w:val="auto"/>
                <w:sz w:val="28"/>
                <w:szCs w:val="28"/>
              </w:rPr>
            </w:pPr>
          </w:p>
        </w:tc>
      </w:tr>
      <w:tr w:rsidR="00601FB0" w:rsidRPr="00D5469A" w:rsidTr="00B06C4E">
        <w:trPr>
          <w:trHeight w:val="27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601FB0" w:rsidRPr="00D5469A" w:rsidRDefault="00601FB0" w:rsidP="00601FB0">
            <w:pPr>
              <w:jc w:val="right"/>
              <w:rPr>
                <w:color w:val="auto"/>
                <w:sz w:val="14"/>
                <w:szCs w:val="14"/>
              </w:rPr>
            </w:pPr>
            <w:r w:rsidRPr="00D5469A">
              <w:rPr>
                <w:color w:val="auto"/>
                <w:sz w:val="14"/>
                <w:szCs w:val="14"/>
              </w:rPr>
              <w:t xml:space="preserve">              (Million Rupees)                                                                                                                                                                                </w:t>
            </w:r>
          </w:p>
        </w:tc>
      </w:tr>
      <w:tr w:rsidR="00601FB0" w:rsidRPr="00D5469A" w:rsidTr="00E74233">
        <w:trPr>
          <w:cantSplit/>
          <w:trHeight w:hRule="exact" w:val="390"/>
          <w:jc w:val="center"/>
        </w:trPr>
        <w:tc>
          <w:tcPr>
            <w:tcW w:w="2608" w:type="pct"/>
            <w:vMerge w:val="restart"/>
            <w:tcBorders>
              <w:top w:val="nil"/>
              <w:left w:val="nil"/>
              <w:bottom w:val="single" w:sz="12" w:space="0" w:color="000000"/>
              <w:right w:val="single" w:sz="4" w:space="0" w:color="auto"/>
            </w:tcBorders>
            <w:shd w:val="clear" w:color="auto" w:fill="auto"/>
            <w:vAlign w:val="center"/>
            <w:hideMark/>
          </w:tcPr>
          <w:p w:rsidR="00601FB0" w:rsidRPr="00D5469A" w:rsidRDefault="00601FB0"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601FB0" w:rsidRPr="00D5469A" w:rsidRDefault="00601FB0" w:rsidP="00601FB0">
            <w:pPr>
              <w:rPr>
                <w:b/>
                <w:bCs/>
                <w:color w:val="auto"/>
                <w:sz w:val="18"/>
                <w:szCs w:val="18"/>
              </w:rPr>
            </w:pPr>
            <w:r w:rsidRPr="00D5469A">
              <w:rPr>
                <w:b/>
                <w:bCs/>
                <w:color w:val="auto"/>
                <w:sz w:val="18"/>
                <w:szCs w:val="18"/>
              </w:rPr>
              <w:t>Stocks</w:t>
            </w:r>
          </w:p>
        </w:tc>
        <w:tc>
          <w:tcPr>
            <w:tcW w:w="1255" w:type="pct"/>
            <w:gridSpan w:val="2"/>
            <w:tcBorders>
              <w:top w:val="single" w:sz="12" w:space="0" w:color="auto"/>
              <w:left w:val="single" w:sz="4" w:space="0" w:color="auto"/>
              <w:bottom w:val="single" w:sz="4" w:space="0" w:color="auto"/>
              <w:right w:val="nil"/>
            </w:tcBorders>
            <w:shd w:val="clear" w:color="auto" w:fill="auto"/>
            <w:vAlign w:val="center"/>
            <w:hideMark/>
          </w:tcPr>
          <w:p w:rsidR="00601FB0" w:rsidRPr="00D5469A" w:rsidRDefault="00601FB0" w:rsidP="00601FB0">
            <w:pPr>
              <w:rPr>
                <w:b/>
                <w:bCs/>
                <w:color w:val="auto"/>
                <w:sz w:val="18"/>
                <w:szCs w:val="18"/>
              </w:rPr>
            </w:pPr>
            <w:r w:rsidRPr="00D5469A">
              <w:rPr>
                <w:b/>
                <w:bCs/>
                <w:color w:val="auto"/>
                <w:sz w:val="18"/>
                <w:szCs w:val="18"/>
              </w:rPr>
              <w:t>Monetary Impact During</w:t>
            </w:r>
          </w:p>
        </w:tc>
      </w:tr>
      <w:tr w:rsidR="00601FB0" w:rsidRPr="00D5469A" w:rsidTr="00E74233">
        <w:trPr>
          <w:trHeight w:hRule="exact" w:val="624"/>
          <w:jc w:val="center"/>
        </w:trPr>
        <w:tc>
          <w:tcPr>
            <w:tcW w:w="2608" w:type="pct"/>
            <w:vMerge/>
            <w:tcBorders>
              <w:top w:val="nil"/>
              <w:left w:val="nil"/>
              <w:bottom w:val="single" w:sz="12" w:space="0" w:color="000000"/>
              <w:right w:val="single" w:sz="4" w:space="0" w:color="auto"/>
            </w:tcBorders>
            <w:shd w:val="clear" w:color="auto" w:fill="auto"/>
            <w:vAlign w:val="center"/>
            <w:hideMark/>
          </w:tcPr>
          <w:p w:rsidR="00601FB0" w:rsidRPr="00D5469A" w:rsidRDefault="00601FB0"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601FB0" w:rsidRPr="006619BF" w:rsidRDefault="006B2881" w:rsidP="008E70CB">
            <w:pPr>
              <w:rPr>
                <w:b/>
                <w:bCs/>
                <w:color w:val="auto"/>
                <w:szCs w:val="16"/>
              </w:rPr>
            </w:pPr>
            <w:r w:rsidRPr="006619BF">
              <w:rPr>
                <w:b/>
                <w:bCs/>
                <w:color w:val="auto"/>
                <w:szCs w:val="16"/>
              </w:rPr>
              <w:t>30-Jun-17</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601FB0" w:rsidRPr="006619BF" w:rsidRDefault="006B2881" w:rsidP="00601FB0">
            <w:pPr>
              <w:rPr>
                <w:b/>
                <w:bCs/>
                <w:color w:val="auto"/>
                <w:szCs w:val="16"/>
              </w:rPr>
            </w:pPr>
            <w:r w:rsidRPr="006619BF">
              <w:rPr>
                <w:b/>
                <w:bCs/>
                <w:color w:val="auto"/>
                <w:szCs w:val="16"/>
              </w:rPr>
              <w:t>30-Jun-16</w:t>
            </w:r>
          </w:p>
        </w:tc>
        <w:tc>
          <w:tcPr>
            <w:tcW w:w="625" w:type="pct"/>
            <w:tcBorders>
              <w:top w:val="nil"/>
              <w:left w:val="single" w:sz="4" w:space="0" w:color="auto"/>
              <w:bottom w:val="single" w:sz="12" w:space="0" w:color="auto"/>
              <w:right w:val="single" w:sz="4" w:space="0" w:color="auto"/>
            </w:tcBorders>
            <w:shd w:val="clear" w:color="auto" w:fill="auto"/>
            <w:vAlign w:val="center"/>
            <w:hideMark/>
          </w:tcPr>
          <w:p w:rsidR="00601FB0" w:rsidRPr="006619BF" w:rsidRDefault="00601FB0" w:rsidP="00601FB0">
            <w:pPr>
              <w:rPr>
                <w:b/>
                <w:bCs/>
                <w:color w:val="auto"/>
                <w:szCs w:val="16"/>
              </w:rPr>
            </w:pPr>
            <w:r w:rsidRPr="006619BF">
              <w:rPr>
                <w:b/>
                <w:bCs/>
                <w:color w:val="auto"/>
                <w:szCs w:val="16"/>
              </w:rPr>
              <w:t>1</w:t>
            </w:r>
            <w:r w:rsidRPr="006619BF">
              <w:rPr>
                <w:b/>
                <w:bCs/>
                <w:color w:val="auto"/>
                <w:szCs w:val="16"/>
                <w:vertAlign w:val="superscript"/>
              </w:rPr>
              <w:t>st</w:t>
            </w:r>
            <w:r w:rsidRPr="006619BF">
              <w:rPr>
                <w:b/>
                <w:bCs/>
                <w:color w:val="auto"/>
                <w:szCs w:val="16"/>
              </w:rPr>
              <w:t xml:space="preserve"> Jul 1</w:t>
            </w:r>
            <w:r w:rsidR="0005319E" w:rsidRPr="006619BF">
              <w:rPr>
                <w:b/>
                <w:bCs/>
                <w:color w:val="auto"/>
                <w:szCs w:val="16"/>
              </w:rPr>
              <w:t>7</w:t>
            </w:r>
          </w:p>
          <w:p w:rsidR="00601FB0" w:rsidRPr="006619BF" w:rsidRDefault="00601FB0" w:rsidP="00601FB0">
            <w:pPr>
              <w:rPr>
                <w:b/>
                <w:bCs/>
                <w:color w:val="auto"/>
                <w:szCs w:val="16"/>
              </w:rPr>
            </w:pPr>
            <w:r w:rsidRPr="006619BF">
              <w:rPr>
                <w:b/>
                <w:bCs/>
                <w:color w:val="auto"/>
                <w:szCs w:val="16"/>
              </w:rPr>
              <w:t>to</w:t>
            </w:r>
          </w:p>
          <w:p w:rsidR="00601FB0" w:rsidRPr="006619BF" w:rsidRDefault="008E70CB" w:rsidP="008E70CB">
            <w:pPr>
              <w:rPr>
                <w:b/>
                <w:bCs/>
                <w:color w:val="auto"/>
                <w:szCs w:val="16"/>
              </w:rPr>
            </w:pPr>
            <w:r>
              <w:rPr>
                <w:b/>
                <w:bCs/>
                <w:color w:val="auto"/>
                <w:szCs w:val="16"/>
              </w:rPr>
              <w:t>3</w:t>
            </w:r>
            <w:r w:rsidR="000E0278">
              <w:rPr>
                <w:b/>
                <w:bCs/>
                <w:color w:val="auto"/>
                <w:szCs w:val="16"/>
              </w:rPr>
              <w:t>1</w:t>
            </w:r>
            <w:r w:rsidR="000E0278">
              <w:rPr>
                <w:b/>
                <w:bCs/>
                <w:color w:val="auto"/>
                <w:szCs w:val="16"/>
                <w:vertAlign w:val="superscript"/>
              </w:rPr>
              <w:t>st</w:t>
            </w:r>
            <w:r w:rsidR="00601FB0" w:rsidRPr="006619BF">
              <w:rPr>
                <w:b/>
                <w:bCs/>
                <w:color w:val="auto"/>
                <w:szCs w:val="16"/>
              </w:rPr>
              <w:t xml:space="preserve"> </w:t>
            </w:r>
            <w:r w:rsidR="000E0278">
              <w:rPr>
                <w:b/>
                <w:bCs/>
                <w:color w:val="auto"/>
                <w:szCs w:val="16"/>
              </w:rPr>
              <w:t>Mar</w:t>
            </w:r>
            <w:r w:rsidR="00601FB0" w:rsidRPr="006619BF">
              <w:rPr>
                <w:b/>
                <w:bCs/>
                <w:color w:val="auto"/>
                <w:szCs w:val="16"/>
              </w:rPr>
              <w:t xml:space="preserve"> </w:t>
            </w:r>
            <w:r w:rsidR="005D6F97">
              <w:rPr>
                <w:b/>
                <w:bCs/>
                <w:color w:val="auto"/>
                <w:szCs w:val="16"/>
              </w:rPr>
              <w:t>18</w:t>
            </w:r>
          </w:p>
        </w:tc>
        <w:tc>
          <w:tcPr>
            <w:tcW w:w="630" w:type="pct"/>
            <w:tcBorders>
              <w:top w:val="nil"/>
              <w:left w:val="single" w:sz="4" w:space="0" w:color="auto"/>
              <w:bottom w:val="single" w:sz="12" w:space="0" w:color="auto"/>
              <w:right w:val="nil"/>
            </w:tcBorders>
            <w:shd w:val="clear" w:color="auto" w:fill="auto"/>
            <w:vAlign w:val="center"/>
            <w:hideMark/>
          </w:tcPr>
          <w:p w:rsidR="00601FB0" w:rsidRPr="006619BF" w:rsidRDefault="00601FB0" w:rsidP="00601FB0">
            <w:pPr>
              <w:rPr>
                <w:b/>
                <w:bCs/>
                <w:color w:val="auto"/>
                <w:szCs w:val="16"/>
              </w:rPr>
            </w:pPr>
            <w:r w:rsidRPr="006619BF">
              <w:rPr>
                <w:b/>
                <w:bCs/>
                <w:color w:val="auto"/>
                <w:szCs w:val="16"/>
              </w:rPr>
              <w:t>1</w:t>
            </w:r>
            <w:r w:rsidRPr="006619BF">
              <w:rPr>
                <w:b/>
                <w:bCs/>
                <w:color w:val="auto"/>
                <w:szCs w:val="16"/>
                <w:vertAlign w:val="superscript"/>
              </w:rPr>
              <w:t>st</w:t>
            </w:r>
            <w:r w:rsidRPr="006619BF">
              <w:rPr>
                <w:b/>
                <w:bCs/>
                <w:color w:val="auto"/>
                <w:szCs w:val="16"/>
              </w:rPr>
              <w:t xml:space="preserve"> Jul 1</w:t>
            </w:r>
            <w:r w:rsidR="0005319E" w:rsidRPr="006619BF">
              <w:rPr>
                <w:b/>
                <w:bCs/>
                <w:color w:val="auto"/>
                <w:szCs w:val="16"/>
              </w:rPr>
              <w:t>6</w:t>
            </w:r>
          </w:p>
          <w:p w:rsidR="00601FB0" w:rsidRPr="006619BF" w:rsidRDefault="00601FB0" w:rsidP="00601FB0">
            <w:pPr>
              <w:rPr>
                <w:b/>
                <w:bCs/>
                <w:color w:val="auto"/>
                <w:szCs w:val="16"/>
              </w:rPr>
            </w:pPr>
            <w:r w:rsidRPr="006619BF">
              <w:rPr>
                <w:b/>
                <w:bCs/>
                <w:color w:val="auto"/>
                <w:szCs w:val="16"/>
              </w:rPr>
              <w:t>to</w:t>
            </w:r>
          </w:p>
          <w:p w:rsidR="00601FB0" w:rsidRPr="006619BF" w:rsidRDefault="000E0278" w:rsidP="000E0278">
            <w:pPr>
              <w:rPr>
                <w:b/>
                <w:bCs/>
                <w:color w:val="auto"/>
                <w:szCs w:val="16"/>
              </w:rPr>
            </w:pPr>
            <w:r>
              <w:rPr>
                <w:b/>
                <w:bCs/>
                <w:color w:val="auto"/>
                <w:szCs w:val="16"/>
              </w:rPr>
              <w:t>31</w:t>
            </w:r>
            <w:r>
              <w:rPr>
                <w:b/>
                <w:bCs/>
                <w:color w:val="auto"/>
                <w:szCs w:val="16"/>
                <w:vertAlign w:val="superscript"/>
              </w:rPr>
              <w:t>st</w:t>
            </w:r>
            <w:r w:rsidR="00712E51" w:rsidRPr="006619BF">
              <w:rPr>
                <w:b/>
                <w:bCs/>
                <w:color w:val="auto"/>
                <w:szCs w:val="16"/>
              </w:rPr>
              <w:t xml:space="preserve"> </w:t>
            </w:r>
            <w:r>
              <w:rPr>
                <w:b/>
                <w:bCs/>
                <w:color w:val="auto"/>
                <w:szCs w:val="16"/>
              </w:rPr>
              <w:t>Mar</w:t>
            </w:r>
            <w:r w:rsidR="00712E51" w:rsidRPr="006619BF">
              <w:rPr>
                <w:b/>
                <w:bCs/>
                <w:color w:val="auto"/>
                <w:szCs w:val="16"/>
              </w:rPr>
              <w:t xml:space="preserve"> </w:t>
            </w:r>
            <w:r w:rsidR="00601FB0" w:rsidRPr="006619BF">
              <w:rPr>
                <w:b/>
                <w:bCs/>
                <w:color w:val="auto"/>
                <w:szCs w:val="16"/>
              </w:rPr>
              <w:t>1</w:t>
            </w:r>
            <w:r w:rsidR="005D6F97">
              <w:rPr>
                <w:b/>
                <w:bCs/>
                <w:color w:val="auto"/>
                <w:szCs w:val="16"/>
              </w:rPr>
              <w:t>7</w:t>
            </w:r>
          </w:p>
        </w:tc>
      </w:tr>
      <w:tr w:rsidR="00601FB0" w:rsidRPr="00D5469A" w:rsidTr="00B06C4E">
        <w:trPr>
          <w:trHeight w:val="204"/>
          <w:jc w:val="center"/>
        </w:trPr>
        <w:tc>
          <w:tcPr>
            <w:tcW w:w="2608" w:type="pct"/>
            <w:tcBorders>
              <w:top w:val="nil"/>
              <w:left w:val="nil"/>
              <w:bottom w:val="nil"/>
              <w:right w:val="nil"/>
            </w:tcBorders>
            <w:shd w:val="clear" w:color="auto" w:fill="auto"/>
            <w:vAlign w:val="bottom"/>
            <w:hideMark/>
          </w:tcPr>
          <w:p w:rsidR="00601FB0" w:rsidRPr="00D5469A" w:rsidRDefault="00601FB0"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c>
          <w:tcPr>
            <w:tcW w:w="625" w:type="pct"/>
            <w:tcBorders>
              <w:top w:val="single" w:sz="12" w:space="0" w:color="auto"/>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c>
          <w:tcPr>
            <w:tcW w:w="630" w:type="pct"/>
            <w:tcBorders>
              <w:top w:val="single" w:sz="12" w:space="0" w:color="auto"/>
              <w:left w:val="nil"/>
              <w:bottom w:val="nil"/>
              <w:right w:val="nil"/>
            </w:tcBorders>
            <w:shd w:val="clear" w:color="auto" w:fill="auto"/>
            <w:vAlign w:val="bottom"/>
            <w:hideMark/>
          </w:tcPr>
          <w:p w:rsidR="00601FB0" w:rsidRPr="00D5469A" w:rsidRDefault="00601FB0" w:rsidP="00601FB0">
            <w:pPr>
              <w:jc w:val="right"/>
              <w:rPr>
                <w:b/>
                <w:bCs/>
                <w:color w:val="auto"/>
                <w:sz w:val="18"/>
                <w:szCs w:val="18"/>
              </w:rPr>
            </w:pPr>
          </w:p>
        </w:tc>
      </w:tr>
      <w:tr w:rsidR="00C62A4E" w:rsidRPr="00D5469A" w:rsidTr="00C62A4E">
        <w:trPr>
          <w:trHeight w:val="288"/>
          <w:jc w:val="center"/>
        </w:trPr>
        <w:tc>
          <w:tcPr>
            <w:tcW w:w="2608" w:type="pct"/>
            <w:tcBorders>
              <w:top w:val="nil"/>
              <w:left w:val="nil"/>
              <w:bottom w:val="nil"/>
              <w:right w:val="nil"/>
            </w:tcBorders>
            <w:shd w:val="clear" w:color="auto" w:fill="auto"/>
            <w:vAlign w:val="center"/>
            <w:hideMark/>
          </w:tcPr>
          <w:p w:rsidR="00C62A4E" w:rsidRPr="00D5469A" w:rsidRDefault="00C62A4E" w:rsidP="00601FB0">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C62A4E" w:rsidRDefault="00C62A4E" w:rsidP="005D6F97">
            <w:pPr>
              <w:jc w:val="right"/>
              <w:rPr>
                <w:b/>
                <w:bCs/>
                <w:szCs w:val="16"/>
              </w:rPr>
            </w:pPr>
            <w:r>
              <w:rPr>
                <w:b/>
                <w:bCs/>
                <w:szCs w:val="16"/>
              </w:rPr>
              <w:t>9,072,023</w:t>
            </w:r>
          </w:p>
        </w:tc>
        <w:tc>
          <w:tcPr>
            <w:tcW w:w="569" w:type="pct"/>
            <w:tcBorders>
              <w:top w:val="nil"/>
              <w:left w:val="nil"/>
              <w:bottom w:val="nil"/>
              <w:right w:val="nil"/>
            </w:tcBorders>
            <w:shd w:val="clear" w:color="auto" w:fill="auto"/>
            <w:vAlign w:val="center"/>
            <w:hideMark/>
          </w:tcPr>
          <w:p w:rsidR="00C62A4E" w:rsidRDefault="00C62A4E" w:rsidP="005D6F97">
            <w:pPr>
              <w:jc w:val="right"/>
              <w:rPr>
                <w:b/>
                <w:bCs/>
                <w:szCs w:val="16"/>
              </w:rPr>
            </w:pPr>
            <w:r>
              <w:rPr>
                <w:b/>
                <w:bCs/>
                <w:szCs w:val="16"/>
              </w:rPr>
              <w:t>8,000,332</w:t>
            </w:r>
          </w:p>
        </w:tc>
        <w:tc>
          <w:tcPr>
            <w:tcW w:w="625" w:type="pct"/>
            <w:tcBorders>
              <w:top w:val="nil"/>
              <w:left w:val="nil"/>
              <w:bottom w:val="nil"/>
              <w:right w:val="nil"/>
            </w:tcBorders>
            <w:shd w:val="clear" w:color="auto" w:fill="auto"/>
            <w:vAlign w:val="center"/>
            <w:hideMark/>
          </w:tcPr>
          <w:p w:rsidR="00C62A4E" w:rsidRDefault="00C62A4E" w:rsidP="00C62A4E">
            <w:pPr>
              <w:jc w:val="right"/>
              <w:rPr>
                <w:b/>
                <w:bCs/>
                <w:szCs w:val="16"/>
              </w:rPr>
            </w:pPr>
            <w:r>
              <w:rPr>
                <w:b/>
                <w:bCs/>
                <w:szCs w:val="16"/>
              </w:rPr>
              <w:t>959,550</w:t>
            </w:r>
          </w:p>
        </w:tc>
        <w:tc>
          <w:tcPr>
            <w:tcW w:w="630" w:type="pct"/>
            <w:tcBorders>
              <w:top w:val="nil"/>
              <w:left w:val="nil"/>
              <w:bottom w:val="nil"/>
              <w:right w:val="nil"/>
            </w:tcBorders>
            <w:shd w:val="clear" w:color="auto" w:fill="auto"/>
            <w:vAlign w:val="center"/>
            <w:hideMark/>
          </w:tcPr>
          <w:p w:rsidR="00C62A4E" w:rsidRDefault="00C62A4E" w:rsidP="00C62A4E">
            <w:pPr>
              <w:jc w:val="right"/>
              <w:rPr>
                <w:b/>
                <w:bCs/>
                <w:szCs w:val="16"/>
              </w:rPr>
            </w:pPr>
            <w:r>
              <w:rPr>
                <w:b/>
                <w:bCs/>
                <w:szCs w:val="16"/>
              </w:rPr>
              <w:t>930,650</w:t>
            </w:r>
          </w:p>
        </w:tc>
      </w:tr>
      <w:tr w:rsidR="00C62A4E" w:rsidRPr="00D5469A" w:rsidTr="00C62A4E">
        <w:trPr>
          <w:trHeight w:val="288"/>
          <w:jc w:val="center"/>
        </w:trPr>
        <w:tc>
          <w:tcPr>
            <w:tcW w:w="2608" w:type="pct"/>
            <w:tcBorders>
              <w:top w:val="nil"/>
              <w:left w:val="nil"/>
              <w:bottom w:val="nil"/>
              <w:right w:val="nil"/>
            </w:tcBorders>
            <w:shd w:val="clear" w:color="auto" w:fill="auto"/>
            <w:vAlign w:val="center"/>
            <w:hideMark/>
          </w:tcPr>
          <w:p w:rsidR="00C62A4E" w:rsidRPr="00D5469A" w:rsidRDefault="00C62A4E" w:rsidP="00601FB0">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C62A4E" w:rsidRDefault="00C62A4E" w:rsidP="005D6F97">
            <w:pPr>
              <w:jc w:val="right"/>
              <w:rPr>
                <w:szCs w:val="16"/>
              </w:rPr>
            </w:pPr>
            <w:r>
              <w:rPr>
                <w:szCs w:val="16"/>
              </w:rPr>
              <w:t>6,631,399</w:t>
            </w:r>
          </w:p>
        </w:tc>
        <w:tc>
          <w:tcPr>
            <w:tcW w:w="569" w:type="pct"/>
            <w:tcBorders>
              <w:top w:val="nil"/>
              <w:left w:val="nil"/>
              <w:bottom w:val="nil"/>
              <w:right w:val="nil"/>
            </w:tcBorders>
            <w:shd w:val="clear" w:color="auto" w:fill="auto"/>
            <w:vAlign w:val="center"/>
            <w:hideMark/>
          </w:tcPr>
          <w:p w:rsidR="00C62A4E" w:rsidRDefault="00C62A4E" w:rsidP="005D6F97">
            <w:pPr>
              <w:jc w:val="right"/>
              <w:rPr>
                <w:szCs w:val="16"/>
              </w:rPr>
            </w:pPr>
            <w:r>
              <w:rPr>
                <w:szCs w:val="16"/>
              </w:rPr>
              <w:t>6,270,024</w:t>
            </w:r>
          </w:p>
        </w:tc>
        <w:tc>
          <w:tcPr>
            <w:tcW w:w="625" w:type="pct"/>
            <w:tcBorders>
              <w:top w:val="nil"/>
              <w:left w:val="nil"/>
              <w:bottom w:val="nil"/>
              <w:right w:val="nil"/>
            </w:tcBorders>
            <w:shd w:val="clear" w:color="auto" w:fill="auto"/>
            <w:vAlign w:val="center"/>
            <w:hideMark/>
          </w:tcPr>
          <w:p w:rsidR="00C62A4E" w:rsidRDefault="00C62A4E" w:rsidP="00C62A4E">
            <w:pPr>
              <w:jc w:val="right"/>
              <w:rPr>
                <w:szCs w:val="16"/>
              </w:rPr>
            </w:pPr>
            <w:r>
              <w:rPr>
                <w:szCs w:val="16"/>
              </w:rPr>
              <w:t>(1,349,538)</w:t>
            </w:r>
          </w:p>
        </w:tc>
        <w:tc>
          <w:tcPr>
            <w:tcW w:w="630" w:type="pct"/>
            <w:tcBorders>
              <w:top w:val="nil"/>
              <w:left w:val="nil"/>
              <w:bottom w:val="nil"/>
              <w:right w:val="nil"/>
            </w:tcBorders>
            <w:shd w:val="clear" w:color="auto" w:fill="auto"/>
            <w:vAlign w:val="center"/>
            <w:hideMark/>
          </w:tcPr>
          <w:p w:rsidR="00C62A4E" w:rsidRDefault="00C62A4E" w:rsidP="00C62A4E">
            <w:pPr>
              <w:jc w:val="right"/>
              <w:rPr>
                <w:szCs w:val="16"/>
              </w:rPr>
            </w:pPr>
            <w:r>
              <w:rPr>
                <w:szCs w:val="16"/>
              </w:rPr>
              <w:t>16,408</w:t>
            </w:r>
          </w:p>
        </w:tc>
      </w:tr>
      <w:tr w:rsidR="00C62A4E" w:rsidRPr="00D5469A" w:rsidTr="00C62A4E">
        <w:trPr>
          <w:trHeight w:val="288"/>
          <w:jc w:val="center"/>
        </w:trPr>
        <w:tc>
          <w:tcPr>
            <w:tcW w:w="2608" w:type="pct"/>
            <w:tcBorders>
              <w:top w:val="nil"/>
              <w:left w:val="nil"/>
              <w:bottom w:val="nil"/>
              <w:right w:val="nil"/>
            </w:tcBorders>
            <w:shd w:val="clear" w:color="auto" w:fill="auto"/>
            <w:vAlign w:val="center"/>
            <w:hideMark/>
          </w:tcPr>
          <w:p w:rsidR="00C62A4E" w:rsidRPr="00D5469A" w:rsidRDefault="00C62A4E" w:rsidP="00601FB0">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C62A4E" w:rsidRDefault="00C62A4E" w:rsidP="005D6F97">
            <w:pPr>
              <w:jc w:val="right"/>
              <w:rPr>
                <w:szCs w:val="16"/>
              </w:rPr>
            </w:pPr>
            <w:r>
              <w:rPr>
                <w:szCs w:val="16"/>
              </w:rPr>
              <w:t>7,515,195</w:t>
            </w:r>
          </w:p>
        </w:tc>
        <w:tc>
          <w:tcPr>
            <w:tcW w:w="569" w:type="pct"/>
            <w:tcBorders>
              <w:top w:val="nil"/>
              <w:left w:val="nil"/>
              <w:bottom w:val="nil"/>
              <w:right w:val="nil"/>
            </w:tcBorders>
            <w:shd w:val="clear" w:color="auto" w:fill="auto"/>
            <w:vAlign w:val="center"/>
            <w:hideMark/>
          </w:tcPr>
          <w:p w:rsidR="00C62A4E" w:rsidRDefault="00C62A4E" w:rsidP="005D6F97">
            <w:pPr>
              <w:jc w:val="right"/>
              <w:rPr>
                <w:szCs w:val="16"/>
              </w:rPr>
            </w:pPr>
            <w:r>
              <w:rPr>
                <w:szCs w:val="16"/>
              </w:rPr>
              <w:t>6,986,797</w:t>
            </w:r>
          </w:p>
        </w:tc>
        <w:tc>
          <w:tcPr>
            <w:tcW w:w="625" w:type="pct"/>
            <w:tcBorders>
              <w:top w:val="nil"/>
              <w:left w:val="nil"/>
              <w:bottom w:val="nil"/>
              <w:right w:val="nil"/>
            </w:tcBorders>
            <w:shd w:val="clear" w:color="auto" w:fill="auto"/>
            <w:vAlign w:val="center"/>
            <w:hideMark/>
          </w:tcPr>
          <w:p w:rsidR="00C62A4E" w:rsidRDefault="00C62A4E" w:rsidP="00C62A4E">
            <w:pPr>
              <w:jc w:val="right"/>
              <w:rPr>
                <w:szCs w:val="16"/>
              </w:rPr>
            </w:pPr>
            <w:r>
              <w:rPr>
                <w:szCs w:val="16"/>
              </w:rPr>
              <w:t>(1,215,877)</w:t>
            </w:r>
          </w:p>
        </w:tc>
        <w:tc>
          <w:tcPr>
            <w:tcW w:w="630" w:type="pct"/>
            <w:tcBorders>
              <w:top w:val="nil"/>
              <w:left w:val="nil"/>
              <w:bottom w:val="nil"/>
              <w:right w:val="nil"/>
            </w:tcBorders>
            <w:shd w:val="clear" w:color="auto" w:fill="auto"/>
            <w:vAlign w:val="center"/>
            <w:hideMark/>
          </w:tcPr>
          <w:p w:rsidR="00C62A4E" w:rsidRDefault="00C62A4E" w:rsidP="00C62A4E">
            <w:pPr>
              <w:jc w:val="right"/>
              <w:rPr>
                <w:szCs w:val="16"/>
              </w:rPr>
            </w:pPr>
            <w:r>
              <w:rPr>
                <w:szCs w:val="16"/>
              </w:rPr>
              <w:t>82,858</w:t>
            </w:r>
          </w:p>
        </w:tc>
      </w:tr>
      <w:tr w:rsidR="00C62A4E" w:rsidRPr="00D5469A" w:rsidTr="00C62A4E">
        <w:trPr>
          <w:trHeight w:val="288"/>
          <w:jc w:val="center"/>
        </w:trPr>
        <w:tc>
          <w:tcPr>
            <w:tcW w:w="2608" w:type="pct"/>
            <w:tcBorders>
              <w:top w:val="nil"/>
              <w:left w:val="nil"/>
              <w:bottom w:val="nil"/>
              <w:right w:val="nil"/>
            </w:tcBorders>
            <w:shd w:val="clear" w:color="auto" w:fill="auto"/>
            <w:vAlign w:val="center"/>
            <w:hideMark/>
          </w:tcPr>
          <w:p w:rsidR="00C62A4E" w:rsidRPr="00D5469A" w:rsidRDefault="00C62A4E" w:rsidP="005375F3">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C62A4E" w:rsidRDefault="00C62A4E" w:rsidP="005D6F97">
            <w:pPr>
              <w:jc w:val="right"/>
              <w:rPr>
                <w:sz w:val="20"/>
              </w:rPr>
            </w:pPr>
          </w:p>
        </w:tc>
        <w:tc>
          <w:tcPr>
            <w:tcW w:w="569" w:type="pct"/>
            <w:tcBorders>
              <w:top w:val="nil"/>
              <w:left w:val="nil"/>
              <w:bottom w:val="nil"/>
              <w:right w:val="nil"/>
            </w:tcBorders>
            <w:shd w:val="clear" w:color="auto" w:fill="auto"/>
            <w:vAlign w:val="center"/>
            <w:hideMark/>
          </w:tcPr>
          <w:p w:rsidR="00C62A4E" w:rsidRDefault="00C62A4E" w:rsidP="005D6F97">
            <w:pPr>
              <w:jc w:val="right"/>
              <w:rPr>
                <w:sz w:val="20"/>
              </w:rPr>
            </w:pPr>
          </w:p>
        </w:tc>
        <w:tc>
          <w:tcPr>
            <w:tcW w:w="625" w:type="pct"/>
            <w:tcBorders>
              <w:top w:val="nil"/>
              <w:left w:val="nil"/>
              <w:bottom w:val="nil"/>
              <w:right w:val="nil"/>
            </w:tcBorders>
            <w:shd w:val="clear" w:color="auto" w:fill="auto"/>
            <w:vAlign w:val="center"/>
            <w:hideMark/>
          </w:tcPr>
          <w:p w:rsidR="00C62A4E" w:rsidRDefault="00C62A4E" w:rsidP="00C62A4E">
            <w:pPr>
              <w:jc w:val="right"/>
              <w:rPr>
                <w:sz w:val="20"/>
              </w:rPr>
            </w:pPr>
          </w:p>
        </w:tc>
        <w:tc>
          <w:tcPr>
            <w:tcW w:w="630" w:type="pct"/>
            <w:tcBorders>
              <w:top w:val="nil"/>
              <w:left w:val="nil"/>
              <w:bottom w:val="nil"/>
              <w:right w:val="nil"/>
            </w:tcBorders>
            <w:shd w:val="clear" w:color="auto" w:fill="auto"/>
            <w:vAlign w:val="center"/>
            <w:hideMark/>
          </w:tcPr>
          <w:p w:rsidR="00C62A4E" w:rsidRDefault="00C62A4E" w:rsidP="00C62A4E">
            <w:pPr>
              <w:jc w:val="right"/>
              <w:rPr>
                <w:sz w:val="20"/>
              </w:rPr>
            </w:pPr>
          </w:p>
        </w:tc>
      </w:tr>
      <w:tr w:rsidR="00C62A4E" w:rsidRPr="00D5469A" w:rsidTr="00C62A4E">
        <w:trPr>
          <w:trHeight w:val="288"/>
          <w:jc w:val="center"/>
        </w:trPr>
        <w:tc>
          <w:tcPr>
            <w:tcW w:w="2608" w:type="pct"/>
            <w:tcBorders>
              <w:top w:val="nil"/>
              <w:left w:val="nil"/>
              <w:bottom w:val="nil"/>
              <w:right w:val="nil"/>
            </w:tcBorders>
            <w:shd w:val="clear" w:color="auto" w:fill="auto"/>
            <w:vAlign w:val="center"/>
            <w:hideMark/>
          </w:tcPr>
          <w:p w:rsidR="00C62A4E" w:rsidRPr="00D5469A" w:rsidRDefault="00C62A4E" w:rsidP="005375F3">
            <w:pPr>
              <w:ind w:firstLineChars="200" w:firstLine="360"/>
              <w:jc w:val="left"/>
              <w:rPr>
                <w:color w:val="auto"/>
                <w:sz w:val="18"/>
                <w:szCs w:val="18"/>
              </w:rPr>
            </w:pPr>
            <w:r>
              <w:rPr>
                <w:color w:val="auto"/>
                <w:sz w:val="18"/>
                <w:szCs w:val="18"/>
              </w:rPr>
              <w:t xml:space="preserve"> </w:t>
            </w: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C62A4E" w:rsidRDefault="00C62A4E" w:rsidP="005D6F97">
            <w:pPr>
              <w:jc w:val="right"/>
              <w:rPr>
                <w:szCs w:val="16"/>
              </w:rPr>
            </w:pPr>
            <w:r>
              <w:rPr>
                <w:szCs w:val="16"/>
              </w:rPr>
              <w:t>883,796</w:t>
            </w:r>
          </w:p>
        </w:tc>
        <w:tc>
          <w:tcPr>
            <w:tcW w:w="569" w:type="pct"/>
            <w:tcBorders>
              <w:top w:val="nil"/>
              <w:left w:val="nil"/>
              <w:bottom w:val="nil"/>
              <w:right w:val="nil"/>
            </w:tcBorders>
            <w:shd w:val="clear" w:color="auto" w:fill="auto"/>
            <w:vAlign w:val="center"/>
            <w:hideMark/>
          </w:tcPr>
          <w:p w:rsidR="00C62A4E" w:rsidRDefault="00C62A4E" w:rsidP="005D6F97">
            <w:pPr>
              <w:jc w:val="right"/>
              <w:rPr>
                <w:szCs w:val="16"/>
              </w:rPr>
            </w:pPr>
            <w:r>
              <w:rPr>
                <w:szCs w:val="16"/>
              </w:rPr>
              <w:t>716,773</w:t>
            </w:r>
          </w:p>
        </w:tc>
        <w:tc>
          <w:tcPr>
            <w:tcW w:w="625" w:type="pct"/>
            <w:tcBorders>
              <w:top w:val="nil"/>
              <w:left w:val="nil"/>
              <w:bottom w:val="nil"/>
              <w:right w:val="nil"/>
            </w:tcBorders>
            <w:shd w:val="clear" w:color="auto" w:fill="auto"/>
            <w:vAlign w:val="center"/>
            <w:hideMark/>
          </w:tcPr>
          <w:p w:rsidR="00C62A4E" w:rsidRDefault="00C62A4E" w:rsidP="00C62A4E">
            <w:pPr>
              <w:jc w:val="right"/>
              <w:rPr>
                <w:szCs w:val="16"/>
              </w:rPr>
            </w:pPr>
            <w:r>
              <w:rPr>
                <w:szCs w:val="16"/>
              </w:rPr>
              <w:t>133,662</w:t>
            </w:r>
          </w:p>
        </w:tc>
        <w:tc>
          <w:tcPr>
            <w:tcW w:w="630" w:type="pct"/>
            <w:tcBorders>
              <w:top w:val="nil"/>
              <w:left w:val="nil"/>
              <w:bottom w:val="nil"/>
              <w:right w:val="nil"/>
            </w:tcBorders>
            <w:shd w:val="clear" w:color="auto" w:fill="auto"/>
            <w:vAlign w:val="center"/>
            <w:hideMark/>
          </w:tcPr>
          <w:p w:rsidR="00C62A4E" w:rsidRDefault="00C62A4E" w:rsidP="00C62A4E">
            <w:pPr>
              <w:jc w:val="right"/>
              <w:rPr>
                <w:szCs w:val="16"/>
              </w:rPr>
            </w:pPr>
            <w:r>
              <w:rPr>
                <w:szCs w:val="16"/>
              </w:rPr>
              <w:t>66,450</w:t>
            </w:r>
          </w:p>
        </w:tc>
      </w:tr>
      <w:tr w:rsidR="00C62A4E" w:rsidRPr="00D5469A" w:rsidTr="00C62A4E">
        <w:trPr>
          <w:trHeight w:val="288"/>
          <w:jc w:val="center"/>
        </w:trPr>
        <w:tc>
          <w:tcPr>
            <w:tcW w:w="2608" w:type="pct"/>
            <w:tcBorders>
              <w:top w:val="nil"/>
              <w:left w:val="nil"/>
              <w:bottom w:val="nil"/>
              <w:right w:val="nil"/>
            </w:tcBorders>
            <w:shd w:val="clear" w:color="auto" w:fill="auto"/>
            <w:vAlign w:val="center"/>
            <w:hideMark/>
          </w:tcPr>
          <w:p w:rsidR="00C62A4E" w:rsidRPr="00D5469A" w:rsidRDefault="00C62A4E" w:rsidP="00856071">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C62A4E" w:rsidRDefault="00C62A4E" w:rsidP="005D6F97">
            <w:pPr>
              <w:jc w:val="right"/>
              <w:rPr>
                <w:szCs w:val="16"/>
              </w:rPr>
            </w:pPr>
            <w:r>
              <w:rPr>
                <w:szCs w:val="16"/>
              </w:rPr>
              <w:t>2,440,624</w:t>
            </w:r>
          </w:p>
        </w:tc>
        <w:tc>
          <w:tcPr>
            <w:tcW w:w="569" w:type="pct"/>
            <w:tcBorders>
              <w:top w:val="nil"/>
              <w:left w:val="nil"/>
              <w:bottom w:val="nil"/>
              <w:right w:val="nil"/>
            </w:tcBorders>
            <w:shd w:val="clear" w:color="auto" w:fill="auto"/>
            <w:vAlign w:val="center"/>
            <w:hideMark/>
          </w:tcPr>
          <w:p w:rsidR="00C62A4E" w:rsidRDefault="00C62A4E" w:rsidP="005D6F97">
            <w:pPr>
              <w:jc w:val="right"/>
              <w:rPr>
                <w:szCs w:val="16"/>
              </w:rPr>
            </w:pPr>
            <w:r>
              <w:rPr>
                <w:szCs w:val="16"/>
              </w:rPr>
              <w:t>1,730,308</w:t>
            </w:r>
          </w:p>
        </w:tc>
        <w:tc>
          <w:tcPr>
            <w:tcW w:w="625" w:type="pct"/>
            <w:tcBorders>
              <w:top w:val="nil"/>
              <w:left w:val="nil"/>
              <w:bottom w:val="nil"/>
              <w:right w:val="nil"/>
            </w:tcBorders>
            <w:shd w:val="clear" w:color="auto" w:fill="auto"/>
            <w:vAlign w:val="center"/>
            <w:hideMark/>
          </w:tcPr>
          <w:p w:rsidR="00C62A4E" w:rsidRDefault="00C62A4E" w:rsidP="00C62A4E">
            <w:pPr>
              <w:jc w:val="right"/>
              <w:rPr>
                <w:szCs w:val="16"/>
              </w:rPr>
            </w:pPr>
            <w:r>
              <w:rPr>
                <w:szCs w:val="16"/>
              </w:rPr>
              <w:t>2,309,088</w:t>
            </w:r>
          </w:p>
        </w:tc>
        <w:tc>
          <w:tcPr>
            <w:tcW w:w="630" w:type="pct"/>
            <w:tcBorders>
              <w:top w:val="nil"/>
              <w:left w:val="nil"/>
              <w:bottom w:val="nil"/>
              <w:right w:val="nil"/>
            </w:tcBorders>
            <w:shd w:val="clear" w:color="auto" w:fill="auto"/>
            <w:vAlign w:val="center"/>
            <w:hideMark/>
          </w:tcPr>
          <w:p w:rsidR="00C62A4E" w:rsidRDefault="00C62A4E" w:rsidP="00C62A4E">
            <w:pPr>
              <w:jc w:val="right"/>
              <w:rPr>
                <w:szCs w:val="16"/>
              </w:rPr>
            </w:pPr>
            <w:r>
              <w:rPr>
                <w:szCs w:val="16"/>
              </w:rPr>
              <w:t>914,242</w:t>
            </w:r>
          </w:p>
        </w:tc>
      </w:tr>
      <w:tr w:rsidR="00C62A4E" w:rsidRPr="00D5469A" w:rsidTr="00C62A4E">
        <w:trPr>
          <w:trHeight w:val="288"/>
          <w:jc w:val="center"/>
        </w:trPr>
        <w:tc>
          <w:tcPr>
            <w:tcW w:w="2608" w:type="pct"/>
            <w:tcBorders>
              <w:top w:val="nil"/>
              <w:left w:val="nil"/>
              <w:bottom w:val="nil"/>
              <w:right w:val="nil"/>
            </w:tcBorders>
            <w:shd w:val="clear" w:color="auto" w:fill="auto"/>
            <w:vAlign w:val="center"/>
            <w:hideMark/>
          </w:tcPr>
          <w:p w:rsidR="00C62A4E" w:rsidRPr="00D5469A" w:rsidRDefault="00C62A4E" w:rsidP="00856071">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C62A4E" w:rsidRDefault="00C62A4E" w:rsidP="005D6F97">
            <w:pPr>
              <w:jc w:val="right"/>
              <w:rPr>
                <w:szCs w:val="16"/>
              </w:rPr>
            </w:pPr>
            <w:r>
              <w:rPr>
                <w:szCs w:val="16"/>
              </w:rPr>
              <w:t>2,522,194</w:t>
            </w:r>
          </w:p>
        </w:tc>
        <w:tc>
          <w:tcPr>
            <w:tcW w:w="569" w:type="pct"/>
            <w:tcBorders>
              <w:top w:val="nil"/>
              <w:left w:val="nil"/>
              <w:bottom w:val="nil"/>
              <w:right w:val="nil"/>
            </w:tcBorders>
            <w:shd w:val="clear" w:color="auto" w:fill="auto"/>
            <w:noWrap/>
            <w:vAlign w:val="center"/>
            <w:hideMark/>
          </w:tcPr>
          <w:p w:rsidR="00C62A4E" w:rsidRDefault="00C62A4E" w:rsidP="005D6F97">
            <w:pPr>
              <w:jc w:val="right"/>
              <w:rPr>
                <w:szCs w:val="16"/>
              </w:rPr>
            </w:pPr>
            <w:r>
              <w:rPr>
                <w:szCs w:val="16"/>
              </w:rPr>
              <w:t>2,050,839</w:t>
            </w:r>
          </w:p>
        </w:tc>
        <w:tc>
          <w:tcPr>
            <w:tcW w:w="625" w:type="pct"/>
            <w:tcBorders>
              <w:top w:val="nil"/>
              <w:left w:val="nil"/>
              <w:bottom w:val="nil"/>
              <w:right w:val="nil"/>
            </w:tcBorders>
            <w:shd w:val="clear" w:color="auto" w:fill="auto"/>
            <w:noWrap/>
            <w:vAlign w:val="center"/>
            <w:hideMark/>
          </w:tcPr>
          <w:p w:rsidR="00C62A4E" w:rsidRDefault="00C62A4E" w:rsidP="00C62A4E">
            <w:pPr>
              <w:jc w:val="right"/>
              <w:rPr>
                <w:szCs w:val="16"/>
              </w:rPr>
            </w:pPr>
            <w:r>
              <w:rPr>
                <w:szCs w:val="16"/>
              </w:rPr>
              <w:t>2,233,301</w:t>
            </w:r>
          </w:p>
        </w:tc>
        <w:tc>
          <w:tcPr>
            <w:tcW w:w="630" w:type="pct"/>
            <w:tcBorders>
              <w:top w:val="nil"/>
              <w:left w:val="nil"/>
              <w:bottom w:val="nil"/>
              <w:right w:val="nil"/>
            </w:tcBorders>
            <w:shd w:val="clear" w:color="auto" w:fill="auto"/>
            <w:noWrap/>
            <w:vAlign w:val="center"/>
            <w:hideMark/>
          </w:tcPr>
          <w:p w:rsidR="00C62A4E" w:rsidRDefault="00C62A4E" w:rsidP="00C62A4E">
            <w:pPr>
              <w:jc w:val="right"/>
              <w:rPr>
                <w:szCs w:val="16"/>
              </w:rPr>
            </w:pPr>
            <w:r>
              <w:rPr>
                <w:szCs w:val="16"/>
              </w:rPr>
              <w:t>744,036</w:t>
            </w:r>
          </w:p>
        </w:tc>
      </w:tr>
      <w:tr w:rsidR="00C62A4E" w:rsidRPr="00D5469A" w:rsidTr="00C62A4E">
        <w:trPr>
          <w:trHeight w:val="288"/>
          <w:jc w:val="center"/>
        </w:trPr>
        <w:tc>
          <w:tcPr>
            <w:tcW w:w="2608" w:type="pct"/>
            <w:tcBorders>
              <w:top w:val="nil"/>
              <w:left w:val="nil"/>
              <w:bottom w:val="nil"/>
              <w:right w:val="nil"/>
            </w:tcBorders>
            <w:shd w:val="clear" w:color="auto" w:fill="auto"/>
            <w:vAlign w:val="center"/>
            <w:hideMark/>
          </w:tcPr>
          <w:p w:rsidR="00C62A4E" w:rsidRPr="00D5469A" w:rsidRDefault="00C62A4E" w:rsidP="00856071">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noWrap/>
            <w:vAlign w:val="center"/>
            <w:hideMark/>
          </w:tcPr>
          <w:p w:rsidR="00C62A4E" w:rsidRDefault="00C62A4E" w:rsidP="005D6F97">
            <w:pPr>
              <w:jc w:val="right"/>
              <w:rPr>
                <w:sz w:val="20"/>
              </w:rPr>
            </w:pPr>
          </w:p>
        </w:tc>
        <w:tc>
          <w:tcPr>
            <w:tcW w:w="569" w:type="pct"/>
            <w:tcBorders>
              <w:top w:val="nil"/>
              <w:left w:val="nil"/>
              <w:bottom w:val="nil"/>
              <w:right w:val="nil"/>
            </w:tcBorders>
            <w:shd w:val="clear" w:color="auto" w:fill="auto"/>
            <w:noWrap/>
            <w:vAlign w:val="center"/>
            <w:hideMark/>
          </w:tcPr>
          <w:p w:rsidR="00C62A4E" w:rsidRDefault="00C62A4E" w:rsidP="005D6F97">
            <w:pPr>
              <w:jc w:val="right"/>
              <w:rPr>
                <w:sz w:val="20"/>
              </w:rPr>
            </w:pPr>
          </w:p>
        </w:tc>
        <w:tc>
          <w:tcPr>
            <w:tcW w:w="625" w:type="pct"/>
            <w:tcBorders>
              <w:top w:val="nil"/>
              <w:left w:val="nil"/>
              <w:bottom w:val="nil"/>
              <w:right w:val="nil"/>
            </w:tcBorders>
            <w:shd w:val="clear" w:color="auto" w:fill="auto"/>
            <w:noWrap/>
            <w:vAlign w:val="center"/>
            <w:hideMark/>
          </w:tcPr>
          <w:p w:rsidR="00C62A4E" w:rsidRDefault="00C62A4E" w:rsidP="00C62A4E">
            <w:pPr>
              <w:jc w:val="right"/>
              <w:rPr>
                <w:sz w:val="20"/>
              </w:rPr>
            </w:pPr>
          </w:p>
        </w:tc>
        <w:tc>
          <w:tcPr>
            <w:tcW w:w="630" w:type="pct"/>
            <w:tcBorders>
              <w:top w:val="nil"/>
              <w:left w:val="nil"/>
              <w:bottom w:val="nil"/>
              <w:right w:val="nil"/>
            </w:tcBorders>
            <w:shd w:val="clear" w:color="auto" w:fill="auto"/>
            <w:noWrap/>
            <w:vAlign w:val="center"/>
            <w:hideMark/>
          </w:tcPr>
          <w:p w:rsidR="00C62A4E" w:rsidRDefault="00C62A4E" w:rsidP="00C62A4E">
            <w:pPr>
              <w:jc w:val="right"/>
              <w:rPr>
                <w:sz w:val="20"/>
              </w:rPr>
            </w:pPr>
          </w:p>
        </w:tc>
      </w:tr>
      <w:tr w:rsidR="00C62A4E" w:rsidRPr="00D5469A" w:rsidTr="00C62A4E">
        <w:trPr>
          <w:trHeight w:val="288"/>
          <w:jc w:val="center"/>
        </w:trPr>
        <w:tc>
          <w:tcPr>
            <w:tcW w:w="2608" w:type="pct"/>
            <w:tcBorders>
              <w:top w:val="nil"/>
              <w:left w:val="nil"/>
              <w:bottom w:val="nil"/>
              <w:right w:val="nil"/>
            </w:tcBorders>
            <w:shd w:val="clear" w:color="auto" w:fill="auto"/>
            <w:vAlign w:val="center"/>
            <w:hideMark/>
          </w:tcPr>
          <w:p w:rsidR="00C62A4E" w:rsidRPr="00D5469A" w:rsidRDefault="00C62A4E" w:rsidP="0085607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C62A4E" w:rsidRDefault="00C62A4E" w:rsidP="005D6F97">
            <w:pPr>
              <w:jc w:val="right"/>
              <w:rPr>
                <w:sz w:val="20"/>
              </w:rPr>
            </w:pPr>
          </w:p>
        </w:tc>
        <w:tc>
          <w:tcPr>
            <w:tcW w:w="569" w:type="pct"/>
            <w:tcBorders>
              <w:top w:val="nil"/>
              <w:left w:val="nil"/>
              <w:bottom w:val="nil"/>
              <w:right w:val="nil"/>
            </w:tcBorders>
            <w:shd w:val="clear" w:color="auto" w:fill="auto"/>
            <w:vAlign w:val="center"/>
            <w:hideMark/>
          </w:tcPr>
          <w:p w:rsidR="00C62A4E" w:rsidRDefault="00C62A4E" w:rsidP="005D6F97">
            <w:pPr>
              <w:jc w:val="right"/>
              <w:rPr>
                <w:sz w:val="20"/>
              </w:rPr>
            </w:pPr>
          </w:p>
        </w:tc>
        <w:tc>
          <w:tcPr>
            <w:tcW w:w="625" w:type="pct"/>
            <w:tcBorders>
              <w:top w:val="nil"/>
              <w:left w:val="nil"/>
              <w:bottom w:val="nil"/>
              <w:right w:val="nil"/>
            </w:tcBorders>
            <w:shd w:val="clear" w:color="auto" w:fill="auto"/>
            <w:vAlign w:val="center"/>
            <w:hideMark/>
          </w:tcPr>
          <w:p w:rsidR="00C62A4E" w:rsidRDefault="00C62A4E" w:rsidP="00C62A4E">
            <w:pPr>
              <w:jc w:val="right"/>
              <w:rPr>
                <w:sz w:val="20"/>
              </w:rPr>
            </w:pPr>
          </w:p>
        </w:tc>
        <w:tc>
          <w:tcPr>
            <w:tcW w:w="630" w:type="pct"/>
            <w:tcBorders>
              <w:top w:val="nil"/>
              <w:left w:val="nil"/>
              <w:bottom w:val="nil"/>
              <w:right w:val="nil"/>
            </w:tcBorders>
            <w:shd w:val="clear" w:color="auto" w:fill="auto"/>
            <w:vAlign w:val="center"/>
            <w:hideMark/>
          </w:tcPr>
          <w:p w:rsidR="00C62A4E" w:rsidRDefault="00C62A4E" w:rsidP="00C62A4E">
            <w:pPr>
              <w:jc w:val="right"/>
              <w:rPr>
                <w:sz w:val="20"/>
              </w:rPr>
            </w:pPr>
          </w:p>
        </w:tc>
      </w:tr>
      <w:tr w:rsidR="00C62A4E" w:rsidRPr="00D5469A" w:rsidTr="00C62A4E">
        <w:trPr>
          <w:trHeight w:val="288"/>
          <w:jc w:val="center"/>
        </w:trPr>
        <w:tc>
          <w:tcPr>
            <w:tcW w:w="2608" w:type="pct"/>
            <w:tcBorders>
              <w:top w:val="nil"/>
              <w:left w:val="nil"/>
              <w:bottom w:val="nil"/>
              <w:right w:val="nil"/>
            </w:tcBorders>
            <w:shd w:val="clear" w:color="auto" w:fill="auto"/>
            <w:vAlign w:val="center"/>
            <w:hideMark/>
          </w:tcPr>
          <w:p w:rsidR="00C62A4E" w:rsidRPr="00D5469A" w:rsidRDefault="00C62A4E" w:rsidP="00856071">
            <w:pPr>
              <w:ind w:firstLineChars="200" w:firstLine="360"/>
              <w:jc w:val="left"/>
              <w:rPr>
                <w:color w:val="auto"/>
                <w:sz w:val="18"/>
                <w:szCs w:val="18"/>
              </w:rPr>
            </w:pPr>
            <w:r>
              <w:rPr>
                <w:color w:val="auto"/>
                <w:sz w:val="18"/>
                <w:szCs w:val="18"/>
              </w:rPr>
              <w:t>Govt.</w:t>
            </w:r>
            <w:r w:rsidRPr="00D5469A">
              <w:rPr>
                <w:color w:val="auto"/>
                <w:sz w:val="18"/>
                <w:szCs w:val="18"/>
              </w:rPr>
              <w:t xml:space="preserve"> Deposits</w:t>
            </w:r>
            <w:r>
              <w:rPr>
                <w:color w:val="auto"/>
                <w:sz w:val="18"/>
                <w:szCs w:val="18"/>
              </w:rPr>
              <w:t xml:space="preserve"> (Ex.</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and Privatization Fund)</w:t>
            </w:r>
          </w:p>
        </w:tc>
        <w:tc>
          <w:tcPr>
            <w:tcW w:w="568" w:type="pct"/>
            <w:tcBorders>
              <w:top w:val="nil"/>
              <w:left w:val="nil"/>
              <w:bottom w:val="nil"/>
              <w:right w:val="nil"/>
            </w:tcBorders>
            <w:shd w:val="clear" w:color="auto" w:fill="auto"/>
            <w:vAlign w:val="center"/>
            <w:hideMark/>
          </w:tcPr>
          <w:p w:rsidR="00C62A4E" w:rsidRDefault="00C62A4E" w:rsidP="005D6F97">
            <w:pPr>
              <w:jc w:val="right"/>
              <w:rPr>
                <w:szCs w:val="16"/>
              </w:rPr>
            </w:pPr>
            <w:r>
              <w:rPr>
                <w:szCs w:val="16"/>
              </w:rPr>
              <w:t>91,238</w:t>
            </w:r>
          </w:p>
        </w:tc>
        <w:tc>
          <w:tcPr>
            <w:tcW w:w="569" w:type="pct"/>
            <w:tcBorders>
              <w:top w:val="nil"/>
              <w:left w:val="nil"/>
              <w:bottom w:val="nil"/>
              <w:right w:val="nil"/>
            </w:tcBorders>
            <w:shd w:val="clear" w:color="auto" w:fill="auto"/>
            <w:vAlign w:val="center"/>
            <w:hideMark/>
          </w:tcPr>
          <w:p w:rsidR="00C62A4E" w:rsidRDefault="00C62A4E" w:rsidP="005D6F97">
            <w:pPr>
              <w:jc w:val="right"/>
              <w:rPr>
                <w:szCs w:val="16"/>
              </w:rPr>
            </w:pPr>
            <w:r>
              <w:rPr>
                <w:szCs w:val="16"/>
              </w:rPr>
              <w:t>329,211</w:t>
            </w:r>
          </w:p>
        </w:tc>
        <w:tc>
          <w:tcPr>
            <w:tcW w:w="625" w:type="pct"/>
            <w:tcBorders>
              <w:top w:val="nil"/>
              <w:left w:val="nil"/>
              <w:bottom w:val="nil"/>
              <w:right w:val="nil"/>
            </w:tcBorders>
            <w:shd w:val="clear" w:color="auto" w:fill="auto"/>
            <w:vAlign w:val="center"/>
            <w:hideMark/>
          </w:tcPr>
          <w:p w:rsidR="00C62A4E" w:rsidRDefault="00C62A4E" w:rsidP="00C62A4E">
            <w:pPr>
              <w:jc w:val="right"/>
              <w:rPr>
                <w:szCs w:val="16"/>
              </w:rPr>
            </w:pPr>
            <w:r>
              <w:rPr>
                <w:szCs w:val="16"/>
              </w:rPr>
              <w:t>(75,890)</w:t>
            </w:r>
          </w:p>
        </w:tc>
        <w:tc>
          <w:tcPr>
            <w:tcW w:w="630" w:type="pct"/>
            <w:tcBorders>
              <w:top w:val="nil"/>
              <w:left w:val="nil"/>
              <w:bottom w:val="nil"/>
              <w:right w:val="nil"/>
            </w:tcBorders>
            <w:shd w:val="clear" w:color="auto" w:fill="auto"/>
            <w:vAlign w:val="center"/>
            <w:hideMark/>
          </w:tcPr>
          <w:p w:rsidR="00C62A4E" w:rsidRDefault="00C62A4E" w:rsidP="00C62A4E">
            <w:pPr>
              <w:jc w:val="right"/>
              <w:rPr>
                <w:szCs w:val="16"/>
              </w:rPr>
            </w:pPr>
            <w:r>
              <w:rPr>
                <w:szCs w:val="16"/>
              </w:rPr>
              <w:t>(169,752)</w:t>
            </w:r>
          </w:p>
        </w:tc>
      </w:tr>
      <w:tr w:rsidR="00C62A4E" w:rsidRPr="00D5469A" w:rsidTr="00C62A4E">
        <w:trPr>
          <w:trHeight w:val="288"/>
          <w:jc w:val="center"/>
        </w:trPr>
        <w:tc>
          <w:tcPr>
            <w:tcW w:w="2608" w:type="pct"/>
            <w:tcBorders>
              <w:top w:val="nil"/>
              <w:left w:val="nil"/>
              <w:bottom w:val="nil"/>
              <w:right w:val="nil"/>
            </w:tcBorders>
            <w:shd w:val="clear" w:color="auto" w:fill="auto"/>
            <w:vAlign w:val="center"/>
            <w:hideMark/>
          </w:tcPr>
          <w:p w:rsidR="00C62A4E" w:rsidRPr="00D5469A" w:rsidRDefault="00C62A4E" w:rsidP="00856071">
            <w:pPr>
              <w:ind w:firstLineChars="200" w:firstLine="360"/>
              <w:jc w:val="left"/>
              <w:rPr>
                <w:color w:val="auto"/>
                <w:sz w:val="18"/>
                <w:szCs w:val="18"/>
              </w:rPr>
            </w:pPr>
            <w:r w:rsidRPr="00D5469A">
              <w:rPr>
                <w:color w:val="auto"/>
                <w:sz w:val="18"/>
                <w:szCs w:val="18"/>
              </w:rPr>
              <w:t>Others</w:t>
            </w:r>
          </w:p>
        </w:tc>
        <w:tc>
          <w:tcPr>
            <w:tcW w:w="568" w:type="pct"/>
            <w:tcBorders>
              <w:top w:val="nil"/>
              <w:left w:val="nil"/>
              <w:bottom w:val="nil"/>
              <w:right w:val="nil"/>
            </w:tcBorders>
            <w:shd w:val="clear" w:color="auto" w:fill="auto"/>
            <w:vAlign w:val="center"/>
            <w:hideMark/>
          </w:tcPr>
          <w:p w:rsidR="00C62A4E" w:rsidRDefault="00C62A4E" w:rsidP="005D6F97">
            <w:pPr>
              <w:jc w:val="right"/>
              <w:rPr>
                <w:szCs w:val="16"/>
              </w:rPr>
            </w:pPr>
            <w:r>
              <w:rPr>
                <w:szCs w:val="16"/>
              </w:rPr>
              <w:t>(9,668)</w:t>
            </w:r>
          </w:p>
        </w:tc>
        <w:tc>
          <w:tcPr>
            <w:tcW w:w="569" w:type="pct"/>
            <w:tcBorders>
              <w:top w:val="nil"/>
              <w:left w:val="nil"/>
              <w:bottom w:val="nil"/>
              <w:right w:val="nil"/>
            </w:tcBorders>
            <w:shd w:val="clear" w:color="auto" w:fill="auto"/>
            <w:vAlign w:val="center"/>
            <w:hideMark/>
          </w:tcPr>
          <w:p w:rsidR="00C62A4E" w:rsidRDefault="00C62A4E" w:rsidP="005D6F97">
            <w:pPr>
              <w:jc w:val="right"/>
              <w:rPr>
                <w:szCs w:val="16"/>
              </w:rPr>
            </w:pPr>
            <w:r>
              <w:rPr>
                <w:szCs w:val="16"/>
              </w:rPr>
              <w:t>(8,681)</w:t>
            </w:r>
          </w:p>
        </w:tc>
        <w:tc>
          <w:tcPr>
            <w:tcW w:w="625" w:type="pct"/>
            <w:tcBorders>
              <w:top w:val="nil"/>
              <w:left w:val="nil"/>
              <w:bottom w:val="nil"/>
              <w:right w:val="nil"/>
            </w:tcBorders>
            <w:shd w:val="clear" w:color="auto" w:fill="auto"/>
            <w:vAlign w:val="center"/>
            <w:hideMark/>
          </w:tcPr>
          <w:p w:rsidR="00C62A4E" w:rsidRDefault="00C62A4E" w:rsidP="00C62A4E">
            <w:pPr>
              <w:jc w:val="right"/>
              <w:rPr>
                <w:szCs w:val="16"/>
              </w:rPr>
            </w:pPr>
            <w:r>
              <w:rPr>
                <w:szCs w:val="16"/>
              </w:rPr>
              <w:t>103</w:t>
            </w:r>
          </w:p>
        </w:tc>
        <w:tc>
          <w:tcPr>
            <w:tcW w:w="630" w:type="pct"/>
            <w:tcBorders>
              <w:top w:val="nil"/>
              <w:left w:val="nil"/>
              <w:bottom w:val="nil"/>
              <w:right w:val="nil"/>
            </w:tcBorders>
            <w:shd w:val="clear" w:color="auto" w:fill="auto"/>
            <w:vAlign w:val="center"/>
            <w:hideMark/>
          </w:tcPr>
          <w:p w:rsidR="00C62A4E" w:rsidRDefault="00C62A4E" w:rsidP="00C62A4E">
            <w:pPr>
              <w:jc w:val="right"/>
              <w:rPr>
                <w:szCs w:val="16"/>
              </w:rPr>
            </w:pPr>
            <w:r>
              <w:rPr>
                <w:szCs w:val="16"/>
              </w:rPr>
              <w:t>(454)</w:t>
            </w:r>
          </w:p>
        </w:tc>
      </w:tr>
      <w:tr w:rsidR="00C62A4E" w:rsidRPr="00D5469A" w:rsidTr="00C62A4E">
        <w:trPr>
          <w:trHeight w:val="288"/>
          <w:jc w:val="center"/>
        </w:trPr>
        <w:tc>
          <w:tcPr>
            <w:tcW w:w="2608" w:type="pct"/>
            <w:tcBorders>
              <w:top w:val="nil"/>
              <w:left w:val="nil"/>
              <w:bottom w:val="nil"/>
              <w:right w:val="nil"/>
            </w:tcBorders>
            <w:shd w:val="clear" w:color="auto" w:fill="auto"/>
            <w:vAlign w:val="center"/>
            <w:hideMark/>
          </w:tcPr>
          <w:p w:rsidR="00C62A4E" w:rsidRPr="00D5469A" w:rsidRDefault="00C62A4E" w:rsidP="00856071">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C62A4E" w:rsidRDefault="00C62A4E" w:rsidP="005D6F97">
            <w:pPr>
              <w:jc w:val="right"/>
              <w:rPr>
                <w:b/>
                <w:bCs/>
                <w:szCs w:val="16"/>
              </w:rPr>
            </w:pPr>
            <w:r>
              <w:rPr>
                <w:b/>
                <w:bCs/>
                <w:szCs w:val="16"/>
              </w:rPr>
              <w:t>(789,950)</w:t>
            </w:r>
          </w:p>
        </w:tc>
        <w:tc>
          <w:tcPr>
            <w:tcW w:w="569" w:type="pct"/>
            <w:tcBorders>
              <w:top w:val="nil"/>
              <w:left w:val="nil"/>
              <w:bottom w:val="nil"/>
              <w:right w:val="nil"/>
            </w:tcBorders>
            <w:shd w:val="clear" w:color="auto" w:fill="auto"/>
            <w:vAlign w:val="center"/>
            <w:hideMark/>
          </w:tcPr>
          <w:p w:rsidR="00C62A4E" w:rsidRDefault="00C62A4E" w:rsidP="005D6F97">
            <w:pPr>
              <w:jc w:val="right"/>
              <w:rPr>
                <w:b/>
                <w:bCs/>
                <w:szCs w:val="16"/>
              </w:rPr>
            </w:pPr>
            <w:r>
              <w:rPr>
                <w:b/>
                <w:bCs/>
                <w:szCs w:val="16"/>
              </w:rPr>
              <w:t>(805,518)</w:t>
            </w:r>
          </w:p>
        </w:tc>
        <w:tc>
          <w:tcPr>
            <w:tcW w:w="625" w:type="pct"/>
            <w:tcBorders>
              <w:top w:val="nil"/>
              <w:left w:val="nil"/>
              <w:bottom w:val="nil"/>
              <w:right w:val="nil"/>
            </w:tcBorders>
            <w:shd w:val="clear" w:color="auto" w:fill="auto"/>
            <w:vAlign w:val="center"/>
            <w:hideMark/>
          </w:tcPr>
          <w:p w:rsidR="00C62A4E" w:rsidRDefault="00C62A4E" w:rsidP="00C62A4E">
            <w:pPr>
              <w:jc w:val="right"/>
              <w:rPr>
                <w:b/>
                <w:bCs/>
                <w:szCs w:val="16"/>
              </w:rPr>
            </w:pPr>
            <w:r>
              <w:rPr>
                <w:b/>
                <w:bCs/>
                <w:szCs w:val="16"/>
              </w:rPr>
              <w:t>(188,968)</w:t>
            </w:r>
          </w:p>
        </w:tc>
        <w:tc>
          <w:tcPr>
            <w:tcW w:w="630" w:type="pct"/>
            <w:tcBorders>
              <w:top w:val="nil"/>
              <w:left w:val="nil"/>
              <w:bottom w:val="nil"/>
              <w:right w:val="nil"/>
            </w:tcBorders>
            <w:shd w:val="clear" w:color="auto" w:fill="auto"/>
            <w:vAlign w:val="center"/>
            <w:hideMark/>
          </w:tcPr>
          <w:p w:rsidR="00C62A4E" w:rsidRDefault="00C62A4E" w:rsidP="00C62A4E">
            <w:pPr>
              <w:jc w:val="right"/>
              <w:rPr>
                <w:b/>
                <w:bCs/>
                <w:szCs w:val="16"/>
              </w:rPr>
            </w:pPr>
            <w:r>
              <w:rPr>
                <w:b/>
                <w:bCs/>
                <w:szCs w:val="16"/>
              </w:rPr>
              <w:t>(226,607)</w:t>
            </w:r>
          </w:p>
        </w:tc>
      </w:tr>
      <w:tr w:rsidR="00C62A4E" w:rsidRPr="00D5469A" w:rsidTr="00C62A4E">
        <w:trPr>
          <w:trHeight w:val="288"/>
          <w:jc w:val="center"/>
        </w:trPr>
        <w:tc>
          <w:tcPr>
            <w:tcW w:w="2608" w:type="pct"/>
            <w:tcBorders>
              <w:top w:val="nil"/>
              <w:left w:val="nil"/>
              <w:bottom w:val="nil"/>
              <w:right w:val="nil"/>
            </w:tcBorders>
            <w:shd w:val="clear" w:color="auto" w:fill="auto"/>
            <w:vAlign w:val="center"/>
            <w:hideMark/>
          </w:tcPr>
          <w:p w:rsidR="00C62A4E" w:rsidRPr="00D5469A" w:rsidRDefault="00C62A4E" w:rsidP="00856071">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C62A4E" w:rsidRDefault="00C62A4E" w:rsidP="005D6F97">
            <w:pPr>
              <w:jc w:val="right"/>
              <w:rPr>
                <w:szCs w:val="16"/>
              </w:rPr>
            </w:pPr>
            <w:r>
              <w:rPr>
                <w:szCs w:val="16"/>
              </w:rPr>
              <w:t>(699,434)</w:t>
            </w:r>
          </w:p>
        </w:tc>
        <w:tc>
          <w:tcPr>
            <w:tcW w:w="569" w:type="pct"/>
            <w:tcBorders>
              <w:top w:val="nil"/>
              <w:left w:val="nil"/>
              <w:bottom w:val="nil"/>
              <w:right w:val="nil"/>
            </w:tcBorders>
            <w:shd w:val="clear" w:color="auto" w:fill="auto"/>
            <w:vAlign w:val="center"/>
            <w:hideMark/>
          </w:tcPr>
          <w:p w:rsidR="00C62A4E" w:rsidRDefault="00C62A4E" w:rsidP="005D6F97">
            <w:pPr>
              <w:jc w:val="right"/>
              <w:rPr>
                <w:szCs w:val="16"/>
              </w:rPr>
            </w:pPr>
            <w:r>
              <w:rPr>
                <w:szCs w:val="16"/>
              </w:rPr>
              <w:t>(517,453)</w:t>
            </w:r>
          </w:p>
        </w:tc>
        <w:tc>
          <w:tcPr>
            <w:tcW w:w="625" w:type="pct"/>
            <w:tcBorders>
              <w:top w:val="nil"/>
              <w:left w:val="nil"/>
              <w:bottom w:val="nil"/>
              <w:right w:val="nil"/>
            </w:tcBorders>
            <w:shd w:val="clear" w:color="auto" w:fill="auto"/>
            <w:vAlign w:val="center"/>
            <w:hideMark/>
          </w:tcPr>
          <w:p w:rsidR="00C62A4E" w:rsidRDefault="00C62A4E" w:rsidP="00C62A4E">
            <w:pPr>
              <w:jc w:val="right"/>
              <w:rPr>
                <w:szCs w:val="16"/>
              </w:rPr>
            </w:pPr>
            <w:r>
              <w:rPr>
                <w:szCs w:val="16"/>
              </w:rPr>
              <w:t>(41,348)</w:t>
            </w:r>
          </w:p>
        </w:tc>
        <w:tc>
          <w:tcPr>
            <w:tcW w:w="630" w:type="pct"/>
            <w:tcBorders>
              <w:top w:val="nil"/>
              <w:left w:val="nil"/>
              <w:bottom w:val="nil"/>
              <w:right w:val="nil"/>
            </w:tcBorders>
            <w:shd w:val="clear" w:color="auto" w:fill="auto"/>
            <w:vAlign w:val="center"/>
            <w:hideMark/>
          </w:tcPr>
          <w:p w:rsidR="00C62A4E" w:rsidRDefault="00C62A4E" w:rsidP="00C62A4E">
            <w:pPr>
              <w:jc w:val="right"/>
              <w:rPr>
                <w:szCs w:val="16"/>
              </w:rPr>
            </w:pPr>
            <w:r>
              <w:rPr>
                <w:szCs w:val="16"/>
              </w:rPr>
              <w:t>(113,953)</w:t>
            </w:r>
          </w:p>
        </w:tc>
      </w:tr>
      <w:tr w:rsidR="00C62A4E" w:rsidRPr="00D5469A" w:rsidTr="00C62A4E">
        <w:trPr>
          <w:trHeight w:val="288"/>
          <w:jc w:val="center"/>
        </w:trPr>
        <w:tc>
          <w:tcPr>
            <w:tcW w:w="2608" w:type="pct"/>
            <w:tcBorders>
              <w:top w:val="nil"/>
              <w:left w:val="nil"/>
              <w:bottom w:val="nil"/>
              <w:right w:val="nil"/>
            </w:tcBorders>
            <w:shd w:val="clear" w:color="auto" w:fill="auto"/>
            <w:vAlign w:val="center"/>
            <w:hideMark/>
          </w:tcPr>
          <w:p w:rsidR="00C62A4E" w:rsidRPr="00D5469A" w:rsidRDefault="00C62A4E" w:rsidP="00856071">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C62A4E" w:rsidRDefault="00C62A4E" w:rsidP="005D6F97">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C62A4E" w:rsidRDefault="00C62A4E" w:rsidP="005D6F97">
            <w:pPr>
              <w:jc w:val="right"/>
              <w:rPr>
                <w:szCs w:val="16"/>
              </w:rPr>
            </w:pPr>
            <w:r>
              <w:rPr>
                <w:szCs w:val="16"/>
              </w:rPr>
              <w:t>1,024</w:t>
            </w:r>
          </w:p>
        </w:tc>
        <w:tc>
          <w:tcPr>
            <w:tcW w:w="625" w:type="pct"/>
            <w:tcBorders>
              <w:top w:val="nil"/>
              <w:left w:val="nil"/>
              <w:bottom w:val="nil"/>
              <w:right w:val="nil"/>
            </w:tcBorders>
            <w:shd w:val="clear" w:color="auto" w:fill="auto"/>
            <w:vAlign w:val="center"/>
            <w:hideMark/>
          </w:tcPr>
          <w:p w:rsidR="00C62A4E" w:rsidRDefault="00C62A4E" w:rsidP="00C62A4E">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C62A4E" w:rsidRDefault="00C62A4E" w:rsidP="00C62A4E">
            <w:pPr>
              <w:jc w:val="right"/>
              <w:rPr>
                <w:szCs w:val="16"/>
              </w:rPr>
            </w:pPr>
            <w:r>
              <w:rPr>
                <w:szCs w:val="16"/>
              </w:rPr>
              <w:t>-</w:t>
            </w:r>
          </w:p>
        </w:tc>
      </w:tr>
      <w:tr w:rsidR="00C62A4E" w:rsidRPr="00D5469A" w:rsidTr="00C62A4E">
        <w:trPr>
          <w:trHeight w:val="288"/>
          <w:jc w:val="center"/>
        </w:trPr>
        <w:tc>
          <w:tcPr>
            <w:tcW w:w="2608" w:type="pct"/>
            <w:tcBorders>
              <w:top w:val="nil"/>
              <w:left w:val="nil"/>
              <w:bottom w:val="nil"/>
              <w:right w:val="nil"/>
            </w:tcBorders>
            <w:shd w:val="clear" w:color="auto" w:fill="auto"/>
            <w:vAlign w:val="center"/>
            <w:hideMark/>
          </w:tcPr>
          <w:p w:rsidR="00C62A4E" w:rsidRPr="00D5469A" w:rsidRDefault="00C62A4E" w:rsidP="007F4F45">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C62A4E" w:rsidRDefault="00C62A4E" w:rsidP="005D6F97">
            <w:pPr>
              <w:jc w:val="right"/>
              <w:rPr>
                <w:sz w:val="20"/>
              </w:rPr>
            </w:pPr>
          </w:p>
        </w:tc>
        <w:tc>
          <w:tcPr>
            <w:tcW w:w="569" w:type="pct"/>
            <w:tcBorders>
              <w:top w:val="nil"/>
              <w:left w:val="nil"/>
              <w:bottom w:val="nil"/>
              <w:right w:val="nil"/>
            </w:tcBorders>
            <w:shd w:val="clear" w:color="auto" w:fill="auto"/>
            <w:vAlign w:val="center"/>
            <w:hideMark/>
          </w:tcPr>
          <w:p w:rsidR="00C62A4E" w:rsidRDefault="00C62A4E" w:rsidP="005D6F97">
            <w:pPr>
              <w:jc w:val="right"/>
              <w:rPr>
                <w:sz w:val="20"/>
              </w:rPr>
            </w:pPr>
          </w:p>
        </w:tc>
        <w:tc>
          <w:tcPr>
            <w:tcW w:w="625" w:type="pct"/>
            <w:tcBorders>
              <w:top w:val="nil"/>
              <w:left w:val="nil"/>
              <w:bottom w:val="nil"/>
              <w:right w:val="nil"/>
            </w:tcBorders>
            <w:shd w:val="clear" w:color="auto" w:fill="auto"/>
            <w:vAlign w:val="center"/>
            <w:hideMark/>
          </w:tcPr>
          <w:p w:rsidR="00C62A4E" w:rsidRDefault="00C62A4E" w:rsidP="00C62A4E">
            <w:pPr>
              <w:jc w:val="right"/>
              <w:rPr>
                <w:sz w:val="20"/>
              </w:rPr>
            </w:pPr>
          </w:p>
        </w:tc>
        <w:tc>
          <w:tcPr>
            <w:tcW w:w="630" w:type="pct"/>
            <w:tcBorders>
              <w:top w:val="nil"/>
              <w:left w:val="nil"/>
              <w:bottom w:val="nil"/>
              <w:right w:val="nil"/>
            </w:tcBorders>
            <w:shd w:val="clear" w:color="auto" w:fill="auto"/>
            <w:vAlign w:val="center"/>
            <w:hideMark/>
          </w:tcPr>
          <w:p w:rsidR="00C62A4E" w:rsidRDefault="00C62A4E" w:rsidP="00C62A4E">
            <w:pPr>
              <w:jc w:val="right"/>
              <w:rPr>
                <w:sz w:val="20"/>
              </w:rPr>
            </w:pPr>
          </w:p>
        </w:tc>
      </w:tr>
      <w:tr w:rsidR="00C62A4E" w:rsidRPr="00D5469A" w:rsidTr="00C62A4E">
        <w:trPr>
          <w:trHeight w:val="288"/>
          <w:jc w:val="center"/>
        </w:trPr>
        <w:tc>
          <w:tcPr>
            <w:tcW w:w="2608" w:type="pct"/>
            <w:tcBorders>
              <w:top w:val="nil"/>
              <w:left w:val="nil"/>
              <w:bottom w:val="nil"/>
              <w:right w:val="nil"/>
            </w:tcBorders>
            <w:shd w:val="clear" w:color="auto" w:fill="auto"/>
            <w:vAlign w:val="center"/>
            <w:hideMark/>
          </w:tcPr>
          <w:p w:rsidR="00C62A4E" w:rsidRPr="00D5469A" w:rsidRDefault="00C62A4E" w:rsidP="00856071">
            <w:pPr>
              <w:ind w:firstLineChars="200" w:firstLine="360"/>
              <w:jc w:val="left"/>
              <w:rPr>
                <w:color w:val="auto"/>
                <w:sz w:val="18"/>
                <w:szCs w:val="18"/>
              </w:rPr>
            </w:pP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C62A4E" w:rsidRDefault="00C62A4E" w:rsidP="005D6F97">
            <w:pPr>
              <w:jc w:val="right"/>
              <w:rPr>
                <w:szCs w:val="16"/>
              </w:rPr>
            </w:pPr>
            <w:r>
              <w:rPr>
                <w:szCs w:val="16"/>
              </w:rPr>
              <w:t>700,458</w:t>
            </w:r>
          </w:p>
        </w:tc>
        <w:tc>
          <w:tcPr>
            <w:tcW w:w="569" w:type="pct"/>
            <w:tcBorders>
              <w:top w:val="nil"/>
              <w:left w:val="nil"/>
              <w:bottom w:val="nil"/>
              <w:right w:val="nil"/>
            </w:tcBorders>
            <w:shd w:val="clear" w:color="auto" w:fill="auto"/>
            <w:vAlign w:val="center"/>
            <w:hideMark/>
          </w:tcPr>
          <w:p w:rsidR="00C62A4E" w:rsidRDefault="00C62A4E" w:rsidP="005D6F97">
            <w:pPr>
              <w:jc w:val="right"/>
              <w:rPr>
                <w:szCs w:val="16"/>
              </w:rPr>
            </w:pPr>
            <w:r>
              <w:rPr>
                <w:szCs w:val="16"/>
              </w:rPr>
              <w:t>518,477</w:t>
            </w:r>
          </w:p>
        </w:tc>
        <w:tc>
          <w:tcPr>
            <w:tcW w:w="625" w:type="pct"/>
            <w:tcBorders>
              <w:top w:val="nil"/>
              <w:left w:val="nil"/>
              <w:bottom w:val="nil"/>
              <w:right w:val="nil"/>
            </w:tcBorders>
            <w:shd w:val="clear" w:color="auto" w:fill="auto"/>
            <w:vAlign w:val="center"/>
            <w:hideMark/>
          </w:tcPr>
          <w:p w:rsidR="00C62A4E" w:rsidRDefault="00C62A4E" w:rsidP="00C62A4E">
            <w:pPr>
              <w:jc w:val="right"/>
              <w:rPr>
                <w:szCs w:val="16"/>
              </w:rPr>
            </w:pPr>
            <w:r>
              <w:rPr>
                <w:szCs w:val="16"/>
              </w:rPr>
              <w:t>41,348</w:t>
            </w:r>
          </w:p>
        </w:tc>
        <w:tc>
          <w:tcPr>
            <w:tcW w:w="630" w:type="pct"/>
            <w:tcBorders>
              <w:top w:val="nil"/>
              <w:left w:val="nil"/>
              <w:bottom w:val="nil"/>
              <w:right w:val="nil"/>
            </w:tcBorders>
            <w:shd w:val="clear" w:color="auto" w:fill="auto"/>
            <w:vAlign w:val="center"/>
            <w:hideMark/>
          </w:tcPr>
          <w:p w:rsidR="00C62A4E" w:rsidRDefault="00C62A4E" w:rsidP="00C62A4E">
            <w:pPr>
              <w:jc w:val="right"/>
              <w:rPr>
                <w:szCs w:val="16"/>
              </w:rPr>
            </w:pPr>
            <w:r>
              <w:rPr>
                <w:szCs w:val="16"/>
              </w:rPr>
              <w:t>113,953</w:t>
            </w:r>
          </w:p>
        </w:tc>
      </w:tr>
      <w:tr w:rsidR="00C62A4E" w:rsidRPr="00D5469A" w:rsidTr="00C62A4E">
        <w:trPr>
          <w:trHeight w:val="288"/>
          <w:jc w:val="center"/>
        </w:trPr>
        <w:tc>
          <w:tcPr>
            <w:tcW w:w="2608" w:type="pct"/>
            <w:tcBorders>
              <w:top w:val="nil"/>
              <w:left w:val="nil"/>
              <w:bottom w:val="nil"/>
              <w:right w:val="nil"/>
            </w:tcBorders>
            <w:shd w:val="clear" w:color="auto" w:fill="auto"/>
            <w:vAlign w:val="center"/>
            <w:hideMark/>
          </w:tcPr>
          <w:p w:rsidR="00C62A4E" w:rsidRPr="00D5469A" w:rsidRDefault="00C62A4E" w:rsidP="00856071">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C62A4E" w:rsidRDefault="00C62A4E" w:rsidP="005D6F97">
            <w:pPr>
              <w:jc w:val="right"/>
              <w:rPr>
                <w:szCs w:val="16"/>
              </w:rPr>
            </w:pPr>
            <w:r>
              <w:rPr>
                <w:szCs w:val="16"/>
              </w:rPr>
              <w:t>(90,515)</w:t>
            </w:r>
          </w:p>
        </w:tc>
        <w:tc>
          <w:tcPr>
            <w:tcW w:w="569" w:type="pct"/>
            <w:tcBorders>
              <w:top w:val="nil"/>
              <w:left w:val="nil"/>
              <w:bottom w:val="nil"/>
              <w:right w:val="nil"/>
            </w:tcBorders>
            <w:shd w:val="clear" w:color="auto" w:fill="auto"/>
            <w:vAlign w:val="center"/>
            <w:hideMark/>
          </w:tcPr>
          <w:p w:rsidR="00C62A4E" w:rsidRDefault="00C62A4E" w:rsidP="005D6F97">
            <w:pPr>
              <w:jc w:val="right"/>
              <w:rPr>
                <w:szCs w:val="16"/>
              </w:rPr>
            </w:pPr>
            <w:r>
              <w:rPr>
                <w:szCs w:val="16"/>
              </w:rPr>
              <w:t>(288,065)</w:t>
            </w:r>
          </w:p>
        </w:tc>
        <w:tc>
          <w:tcPr>
            <w:tcW w:w="625" w:type="pct"/>
            <w:tcBorders>
              <w:top w:val="nil"/>
              <w:left w:val="nil"/>
              <w:bottom w:val="nil"/>
              <w:right w:val="nil"/>
            </w:tcBorders>
            <w:shd w:val="clear" w:color="auto" w:fill="auto"/>
            <w:vAlign w:val="center"/>
            <w:hideMark/>
          </w:tcPr>
          <w:p w:rsidR="00C62A4E" w:rsidRDefault="00C62A4E" w:rsidP="00C62A4E">
            <w:pPr>
              <w:jc w:val="right"/>
              <w:rPr>
                <w:szCs w:val="16"/>
              </w:rPr>
            </w:pPr>
            <w:r>
              <w:rPr>
                <w:szCs w:val="16"/>
              </w:rPr>
              <w:t>(147,619)</w:t>
            </w:r>
          </w:p>
        </w:tc>
        <w:tc>
          <w:tcPr>
            <w:tcW w:w="630" w:type="pct"/>
            <w:tcBorders>
              <w:top w:val="nil"/>
              <w:left w:val="nil"/>
              <w:bottom w:val="nil"/>
              <w:right w:val="nil"/>
            </w:tcBorders>
            <w:shd w:val="clear" w:color="auto" w:fill="auto"/>
            <w:vAlign w:val="center"/>
            <w:hideMark/>
          </w:tcPr>
          <w:p w:rsidR="00C62A4E" w:rsidRDefault="00C62A4E" w:rsidP="00C62A4E">
            <w:pPr>
              <w:jc w:val="right"/>
              <w:rPr>
                <w:szCs w:val="16"/>
              </w:rPr>
            </w:pPr>
            <w:r>
              <w:rPr>
                <w:szCs w:val="16"/>
              </w:rPr>
              <w:t>(112,653)</w:t>
            </w:r>
          </w:p>
        </w:tc>
      </w:tr>
      <w:tr w:rsidR="00C62A4E" w:rsidRPr="00D5469A" w:rsidTr="00C62A4E">
        <w:trPr>
          <w:trHeight w:val="288"/>
          <w:jc w:val="center"/>
        </w:trPr>
        <w:tc>
          <w:tcPr>
            <w:tcW w:w="2608" w:type="pct"/>
            <w:tcBorders>
              <w:top w:val="nil"/>
              <w:left w:val="nil"/>
              <w:bottom w:val="nil"/>
              <w:right w:val="nil"/>
            </w:tcBorders>
            <w:shd w:val="clear" w:color="auto" w:fill="auto"/>
            <w:vAlign w:val="center"/>
            <w:hideMark/>
          </w:tcPr>
          <w:p w:rsidR="00C62A4E" w:rsidRPr="00D5469A" w:rsidRDefault="00C62A4E" w:rsidP="00856071">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C62A4E" w:rsidRDefault="00C62A4E" w:rsidP="005D6F97">
            <w:pPr>
              <w:jc w:val="right"/>
              <w:rPr>
                <w:szCs w:val="16"/>
              </w:rPr>
            </w:pPr>
          </w:p>
        </w:tc>
        <w:tc>
          <w:tcPr>
            <w:tcW w:w="569" w:type="pct"/>
            <w:tcBorders>
              <w:top w:val="nil"/>
              <w:left w:val="nil"/>
              <w:bottom w:val="nil"/>
              <w:right w:val="nil"/>
            </w:tcBorders>
            <w:shd w:val="clear" w:color="auto" w:fill="auto"/>
            <w:noWrap/>
            <w:vAlign w:val="center"/>
            <w:hideMark/>
          </w:tcPr>
          <w:p w:rsidR="00C62A4E" w:rsidRDefault="00C62A4E" w:rsidP="005D6F97">
            <w:pPr>
              <w:jc w:val="right"/>
              <w:rPr>
                <w:szCs w:val="16"/>
              </w:rPr>
            </w:pPr>
          </w:p>
        </w:tc>
        <w:tc>
          <w:tcPr>
            <w:tcW w:w="625" w:type="pct"/>
            <w:tcBorders>
              <w:top w:val="nil"/>
              <w:left w:val="nil"/>
              <w:bottom w:val="nil"/>
              <w:right w:val="nil"/>
            </w:tcBorders>
            <w:shd w:val="clear" w:color="auto" w:fill="auto"/>
            <w:noWrap/>
            <w:vAlign w:val="center"/>
            <w:hideMark/>
          </w:tcPr>
          <w:p w:rsidR="00C62A4E" w:rsidRDefault="00C62A4E" w:rsidP="00C62A4E">
            <w:pPr>
              <w:jc w:val="right"/>
              <w:rPr>
                <w:sz w:val="20"/>
              </w:rPr>
            </w:pPr>
          </w:p>
        </w:tc>
        <w:tc>
          <w:tcPr>
            <w:tcW w:w="630" w:type="pct"/>
            <w:tcBorders>
              <w:top w:val="nil"/>
              <w:left w:val="nil"/>
              <w:bottom w:val="nil"/>
              <w:right w:val="nil"/>
            </w:tcBorders>
            <w:shd w:val="clear" w:color="auto" w:fill="auto"/>
            <w:noWrap/>
            <w:vAlign w:val="center"/>
            <w:hideMark/>
          </w:tcPr>
          <w:p w:rsidR="00C62A4E" w:rsidRDefault="00C62A4E" w:rsidP="00C62A4E">
            <w:pPr>
              <w:jc w:val="right"/>
              <w:rPr>
                <w:sz w:val="20"/>
              </w:rPr>
            </w:pPr>
          </w:p>
        </w:tc>
      </w:tr>
      <w:tr w:rsidR="00C62A4E" w:rsidRPr="00D5469A" w:rsidTr="00C62A4E">
        <w:trPr>
          <w:trHeight w:val="288"/>
          <w:jc w:val="center"/>
        </w:trPr>
        <w:tc>
          <w:tcPr>
            <w:tcW w:w="2608" w:type="pct"/>
            <w:tcBorders>
              <w:top w:val="nil"/>
              <w:left w:val="nil"/>
              <w:bottom w:val="nil"/>
              <w:right w:val="nil"/>
            </w:tcBorders>
            <w:shd w:val="clear" w:color="auto" w:fill="auto"/>
            <w:vAlign w:val="center"/>
            <w:hideMark/>
          </w:tcPr>
          <w:p w:rsidR="00C62A4E" w:rsidRPr="00D5469A" w:rsidRDefault="00C62A4E" w:rsidP="00856071">
            <w:pPr>
              <w:ind w:firstLineChars="200" w:firstLine="360"/>
              <w:jc w:val="left"/>
              <w:rPr>
                <w:color w:val="auto"/>
                <w:sz w:val="18"/>
                <w:szCs w:val="18"/>
              </w:rPr>
            </w:pPr>
            <w:r w:rsidRPr="00D5469A">
              <w:rPr>
                <w:color w:val="auto"/>
                <w:sz w:val="18"/>
                <w:szCs w:val="18"/>
              </w:rPr>
              <w:t xml:space="preserve">Debtor Balances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vAlign w:val="center"/>
            <w:hideMark/>
          </w:tcPr>
          <w:p w:rsidR="00C62A4E" w:rsidRDefault="00C62A4E" w:rsidP="005D6F97">
            <w:pPr>
              <w:jc w:val="right"/>
              <w:rPr>
                <w:szCs w:val="16"/>
              </w:rPr>
            </w:pPr>
            <w:r>
              <w:rPr>
                <w:szCs w:val="16"/>
              </w:rPr>
              <w:t>7,279</w:t>
            </w:r>
          </w:p>
        </w:tc>
        <w:tc>
          <w:tcPr>
            <w:tcW w:w="569" w:type="pct"/>
            <w:tcBorders>
              <w:top w:val="nil"/>
              <w:left w:val="nil"/>
              <w:bottom w:val="nil"/>
              <w:right w:val="nil"/>
            </w:tcBorders>
            <w:shd w:val="clear" w:color="auto" w:fill="auto"/>
            <w:vAlign w:val="center"/>
            <w:hideMark/>
          </w:tcPr>
          <w:p w:rsidR="00C62A4E" w:rsidRDefault="00C62A4E" w:rsidP="005D6F97">
            <w:pPr>
              <w:jc w:val="right"/>
              <w:rPr>
                <w:szCs w:val="16"/>
              </w:rPr>
            </w:pPr>
            <w:r>
              <w:rPr>
                <w:szCs w:val="16"/>
              </w:rPr>
              <w:t>955</w:t>
            </w:r>
          </w:p>
        </w:tc>
        <w:tc>
          <w:tcPr>
            <w:tcW w:w="625" w:type="pct"/>
            <w:tcBorders>
              <w:top w:val="nil"/>
              <w:left w:val="nil"/>
              <w:bottom w:val="nil"/>
              <w:right w:val="nil"/>
            </w:tcBorders>
            <w:shd w:val="clear" w:color="auto" w:fill="auto"/>
            <w:vAlign w:val="center"/>
            <w:hideMark/>
          </w:tcPr>
          <w:p w:rsidR="00C62A4E" w:rsidRDefault="00C62A4E" w:rsidP="00C62A4E">
            <w:pPr>
              <w:jc w:val="right"/>
              <w:rPr>
                <w:szCs w:val="16"/>
              </w:rPr>
            </w:pPr>
            <w:r>
              <w:rPr>
                <w:szCs w:val="16"/>
              </w:rPr>
              <w:t>(3,380)</w:t>
            </w:r>
          </w:p>
        </w:tc>
        <w:tc>
          <w:tcPr>
            <w:tcW w:w="630" w:type="pct"/>
            <w:tcBorders>
              <w:top w:val="nil"/>
              <w:left w:val="nil"/>
              <w:bottom w:val="nil"/>
              <w:right w:val="nil"/>
            </w:tcBorders>
            <w:shd w:val="clear" w:color="auto" w:fill="auto"/>
            <w:vAlign w:val="center"/>
            <w:hideMark/>
          </w:tcPr>
          <w:p w:rsidR="00C62A4E" w:rsidRDefault="00C62A4E" w:rsidP="00C62A4E">
            <w:pPr>
              <w:jc w:val="right"/>
              <w:rPr>
                <w:szCs w:val="16"/>
              </w:rPr>
            </w:pPr>
            <w:r>
              <w:rPr>
                <w:szCs w:val="16"/>
              </w:rPr>
              <w:t>3,123</w:t>
            </w:r>
          </w:p>
        </w:tc>
      </w:tr>
      <w:tr w:rsidR="00C62A4E" w:rsidRPr="00D5469A" w:rsidTr="00C62A4E">
        <w:trPr>
          <w:trHeight w:val="288"/>
          <w:jc w:val="center"/>
        </w:trPr>
        <w:tc>
          <w:tcPr>
            <w:tcW w:w="2608" w:type="pct"/>
            <w:tcBorders>
              <w:top w:val="nil"/>
              <w:left w:val="nil"/>
              <w:bottom w:val="nil"/>
              <w:right w:val="nil"/>
            </w:tcBorders>
            <w:shd w:val="clear" w:color="auto" w:fill="auto"/>
            <w:vAlign w:val="center"/>
            <w:hideMark/>
          </w:tcPr>
          <w:p w:rsidR="00C62A4E" w:rsidRPr="00D5469A" w:rsidRDefault="00C62A4E" w:rsidP="00193AD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C62A4E" w:rsidRDefault="00C62A4E" w:rsidP="005D6F97">
            <w:pPr>
              <w:jc w:val="right"/>
              <w:rPr>
                <w:sz w:val="20"/>
              </w:rPr>
            </w:pPr>
          </w:p>
        </w:tc>
        <w:tc>
          <w:tcPr>
            <w:tcW w:w="569" w:type="pct"/>
            <w:tcBorders>
              <w:top w:val="nil"/>
              <w:left w:val="nil"/>
              <w:bottom w:val="nil"/>
              <w:right w:val="nil"/>
            </w:tcBorders>
            <w:shd w:val="clear" w:color="auto" w:fill="auto"/>
            <w:noWrap/>
            <w:vAlign w:val="center"/>
            <w:hideMark/>
          </w:tcPr>
          <w:p w:rsidR="00C62A4E" w:rsidRDefault="00C62A4E" w:rsidP="005D6F97">
            <w:pPr>
              <w:jc w:val="right"/>
              <w:rPr>
                <w:sz w:val="20"/>
              </w:rPr>
            </w:pPr>
          </w:p>
        </w:tc>
        <w:tc>
          <w:tcPr>
            <w:tcW w:w="625" w:type="pct"/>
            <w:tcBorders>
              <w:top w:val="nil"/>
              <w:left w:val="nil"/>
              <w:bottom w:val="nil"/>
              <w:right w:val="nil"/>
            </w:tcBorders>
            <w:shd w:val="clear" w:color="auto" w:fill="auto"/>
            <w:noWrap/>
            <w:vAlign w:val="center"/>
            <w:hideMark/>
          </w:tcPr>
          <w:p w:rsidR="00C62A4E" w:rsidRDefault="00C62A4E" w:rsidP="00C62A4E">
            <w:pPr>
              <w:jc w:val="right"/>
              <w:rPr>
                <w:sz w:val="20"/>
              </w:rPr>
            </w:pPr>
          </w:p>
        </w:tc>
        <w:tc>
          <w:tcPr>
            <w:tcW w:w="630" w:type="pct"/>
            <w:tcBorders>
              <w:top w:val="nil"/>
              <w:left w:val="nil"/>
              <w:bottom w:val="nil"/>
              <w:right w:val="nil"/>
            </w:tcBorders>
            <w:shd w:val="clear" w:color="auto" w:fill="auto"/>
            <w:noWrap/>
            <w:vAlign w:val="center"/>
            <w:hideMark/>
          </w:tcPr>
          <w:p w:rsidR="00C62A4E" w:rsidRDefault="00C62A4E" w:rsidP="00C62A4E">
            <w:pPr>
              <w:jc w:val="right"/>
              <w:rPr>
                <w:sz w:val="20"/>
              </w:rPr>
            </w:pPr>
          </w:p>
        </w:tc>
      </w:tr>
      <w:tr w:rsidR="00C62A4E" w:rsidRPr="00D5469A" w:rsidTr="00C62A4E">
        <w:trPr>
          <w:trHeight w:val="288"/>
          <w:jc w:val="center"/>
        </w:trPr>
        <w:tc>
          <w:tcPr>
            <w:tcW w:w="2608" w:type="pct"/>
            <w:tcBorders>
              <w:top w:val="nil"/>
              <w:left w:val="nil"/>
              <w:bottom w:val="single" w:sz="12" w:space="0" w:color="auto"/>
              <w:right w:val="nil"/>
            </w:tcBorders>
            <w:shd w:val="clear" w:color="auto" w:fill="auto"/>
            <w:vAlign w:val="center"/>
            <w:hideMark/>
          </w:tcPr>
          <w:p w:rsidR="00C62A4E" w:rsidRPr="00D5469A" w:rsidRDefault="00C62A4E" w:rsidP="00601FB0">
            <w:pPr>
              <w:ind w:firstLineChars="200" w:firstLine="360"/>
              <w:jc w:val="left"/>
              <w:rPr>
                <w:color w:val="auto"/>
                <w:sz w:val="18"/>
                <w:szCs w:val="18"/>
              </w:rPr>
            </w:pPr>
            <w:r w:rsidRPr="00D5469A">
              <w:rPr>
                <w:color w:val="auto"/>
                <w:sz w:val="18"/>
                <w:szCs w:val="18"/>
              </w:rPr>
              <w:t xml:space="preserve">Government Deposits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single" w:sz="12" w:space="0" w:color="auto"/>
              <w:right w:val="nil"/>
            </w:tcBorders>
            <w:shd w:val="clear" w:color="auto" w:fill="auto"/>
            <w:vAlign w:val="center"/>
            <w:hideMark/>
          </w:tcPr>
          <w:p w:rsidR="00C62A4E" w:rsidRDefault="00C62A4E" w:rsidP="005D6F97">
            <w:pPr>
              <w:jc w:val="right"/>
              <w:rPr>
                <w:szCs w:val="16"/>
              </w:rPr>
            </w:pPr>
            <w:r>
              <w:rPr>
                <w:szCs w:val="16"/>
              </w:rPr>
              <w:t>97,795</w:t>
            </w:r>
          </w:p>
        </w:tc>
        <w:tc>
          <w:tcPr>
            <w:tcW w:w="569" w:type="pct"/>
            <w:tcBorders>
              <w:top w:val="nil"/>
              <w:left w:val="nil"/>
              <w:bottom w:val="single" w:sz="12" w:space="0" w:color="auto"/>
              <w:right w:val="nil"/>
            </w:tcBorders>
            <w:shd w:val="clear" w:color="auto" w:fill="auto"/>
            <w:vAlign w:val="center"/>
            <w:hideMark/>
          </w:tcPr>
          <w:p w:rsidR="00C62A4E" w:rsidRDefault="00C62A4E" w:rsidP="005D6F97">
            <w:pPr>
              <w:jc w:val="right"/>
              <w:rPr>
                <w:szCs w:val="16"/>
              </w:rPr>
            </w:pPr>
            <w:r>
              <w:rPr>
                <w:szCs w:val="16"/>
              </w:rPr>
              <w:t>289,021</w:t>
            </w:r>
          </w:p>
        </w:tc>
        <w:tc>
          <w:tcPr>
            <w:tcW w:w="625" w:type="pct"/>
            <w:tcBorders>
              <w:top w:val="nil"/>
              <w:left w:val="nil"/>
              <w:bottom w:val="single" w:sz="12" w:space="0" w:color="auto"/>
              <w:right w:val="nil"/>
            </w:tcBorders>
            <w:shd w:val="clear" w:color="auto" w:fill="auto"/>
            <w:vAlign w:val="center"/>
            <w:hideMark/>
          </w:tcPr>
          <w:p w:rsidR="00C62A4E" w:rsidRDefault="00C62A4E" w:rsidP="00C62A4E">
            <w:pPr>
              <w:jc w:val="right"/>
              <w:rPr>
                <w:szCs w:val="16"/>
              </w:rPr>
            </w:pPr>
            <w:r>
              <w:rPr>
                <w:szCs w:val="16"/>
              </w:rPr>
              <w:t>144,240</w:t>
            </w:r>
          </w:p>
        </w:tc>
        <w:tc>
          <w:tcPr>
            <w:tcW w:w="630" w:type="pct"/>
            <w:tcBorders>
              <w:top w:val="nil"/>
              <w:left w:val="nil"/>
              <w:bottom w:val="single" w:sz="12" w:space="0" w:color="auto"/>
              <w:right w:val="nil"/>
            </w:tcBorders>
            <w:shd w:val="clear" w:color="auto" w:fill="auto"/>
            <w:vAlign w:val="center"/>
            <w:hideMark/>
          </w:tcPr>
          <w:p w:rsidR="00C62A4E" w:rsidRDefault="00C62A4E" w:rsidP="00C62A4E">
            <w:pPr>
              <w:jc w:val="right"/>
              <w:rPr>
                <w:szCs w:val="16"/>
              </w:rPr>
            </w:pPr>
            <w:r>
              <w:rPr>
                <w:szCs w:val="16"/>
              </w:rPr>
              <w:t>115,776</w:t>
            </w:r>
          </w:p>
        </w:tc>
      </w:tr>
      <w:tr w:rsidR="00C62A4E" w:rsidRPr="00D5469A" w:rsidTr="00C62A4E">
        <w:trPr>
          <w:trHeight w:val="288"/>
          <w:jc w:val="center"/>
        </w:trPr>
        <w:tc>
          <w:tcPr>
            <w:tcW w:w="2608" w:type="pct"/>
            <w:tcBorders>
              <w:top w:val="single" w:sz="12" w:space="0" w:color="auto"/>
              <w:left w:val="nil"/>
              <w:bottom w:val="single" w:sz="12" w:space="0" w:color="auto"/>
              <w:right w:val="nil"/>
            </w:tcBorders>
            <w:shd w:val="clear" w:color="auto" w:fill="auto"/>
            <w:vAlign w:val="center"/>
            <w:hideMark/>
          </w:tcPr>
          <w:p w:rsidR="00C62A4E" w:rsidRPr="00D5469A" w:rsidRDefault="00C62A4E" w:rsidP="00601FB0">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C62A4E" w:rsidRDefault="00C62A4E" w:rsidP="005D6F97">
            <w:pPr>
              <w:jc w:val="right"/>
              <w:rPr>
                <w:b/>
                <w:bCs/>
                <w:szCs w:val="16"/>
              </w:rPr>
            </w:pPr>
            <w:r>
              <w:rPr>
                <w:b/>
                <w:bCs/>
                <w:szCs w:val="16"/>
              </w:rPr>
              <w:t>8,282,074</w:t>
            </w:r>
          </w:p>
        </w:tc>
        <w:tc>
          <w:tcPr>
            <w:tcW w:w="569" w:type="pct"/>
            <w:tcBorders>
              <w:top w:val="single" w:sz="12" w:space="0" w:color="auto"/>
              <w:left w:val="nil"/>
              <w:bottom w:val="single" w:sz="12" w:space="0" w:color="auto"/>
              <w:right w:val="nil"/>
            </w:tcBorders>
            <w:shd w:val="clear" w:color="auto" w:fill="auto"/>
            <w:vAlign w:val="center"/>
            <w:hideMark/>
          </w:tcPr>
          <w:p w:rsidR="00C62A4E" w:rsidRDefault="00C62A4E" w:rsidP="005D6F97">
            <w:pPr>
              <w:jc w:val="right"/>
              <w:rPr>
                <w:b/>
                <w:bCs/>
                <w:szCs w:val="16"/>
              </w:rPr>
            </w:pPr>
            <w:r>
              <w:rPr>
                <w:b/>
                <w:bCs/>
                <w:szCs w:val="16"/>
              </w:rPr>
              <w:t>7,194,814</w:t>
            </w:r>
          </w:p>
        </w:tc>
        <w:tc>
          <w:tcPr>
            <w:tcW w:w="625" w:type="pct"/>
            <w:tcBorders>
              <w:top w:val="single" w:sz="12" w:space="0" w:color="auto"/>
              <w:left w:val="nil"/>
              <w:bottom w:val="single" w:sz="12" w:space="0" w:color="auto"/>
              <w:right w:val="nil"/>
            </w:tcBorders>
            <w:shd w:val="clear" w:color="auto" w:fill="auto"/>
            <w:vAlign w:val="center"/>
            <w:hideMark/>
          </w:tcPr>
          <w:p w:rsidR="00C62A4E" w:rsidRDefault="00C62A4E" w:rsidP="00C62A4E">
            <w:pPr>
              <w:jc w:val="right"/>
              <w:rPr>
                <w:b/>
                <w:bCs/>
                <w:szCs w:val="16"/>
              </w:rPr>
            </w:pPr>
            <w:r>
              <w:rPr>
                <w:b/>
                <w:bCs/>
                <w:szCs w:val="16"/>
              </w:rPr>
              <w:t>770,583</w:t>
            </w:r>
          </w:p>
        </w:tc>
        <w:tc>
          <w:tcPr>
            <w:tcW w:w="630" w:type="pct"/>
            <w:tcBorders>
              <w:top w:val="single" w:sz="12" w:space="0" w:color="auto"/>
              <w:left w:val="nil"/>
              <w:bottom w:val="single" w:sz="12" w:space="0" w:color="auto"/>
              <w:right w:val="nil"/>
            </w:tcBorders>
            <w:shd w:val="clear" w:color="auto" w:fill="auto"/>
            <w:vAlign w:val="center"/>
            <w:hideMark/>
          </w:tcPr>
          <w:p w:rsidR="00C62A4E" w:rsidRDefault="00C62A4E" w:rsidP="00C62A4E">
            <w:pPr>
              <w:jc w:val="right"/>
              <w:rPr>
                <w:b/>
                <w:bCs/>
                <w:szCs w:val="16"/>
              </w:rPr>
            </w:pPr>
            <w:r>
              <w:rPr>
                <w:b/>
                <w:bCs/>
                <w:szCs w:val="16"/>
              </w:rPr>
              <w:t>704,044</w:t>
            </w:r>
          </w:p>
        </w:tc>
      </w:tr>
      <w:tr w:rsidR="00BF3CA4" w:rsidRPr="00D5469A" w:rsidTr="00B06C4E">
        <w:trPr>
          <w:trHeight w:val="132"/>
          <w:jc w:val="center"/>
        </w:trPr>
        <w:tc>
          <w:tcPr>
            <w:tcW w:w="5000" w:type="pct"/>
            <w:gridSpan w:val="5"/>
            <w:tcBorders>
              <w:top w:val="nil"/>
              <w:left w:val="nil"/>
              <w:bottom w:val="nil"/>
              <w:right w:val="nil"/>
            </w:tcBorders>
            <w:shd w:val="clear" w:color="auto" w:fill="auto"/>
            <w:vAlign w:val="center"/>
            <w:hideMark/>
          </w:tcPr>
          <w:p w:rsidR="00BF3CA4" w:rsidRDefault="00BF3CA4" w:rsidP="00601FB0">
            <w:pPr>
              <w:jc w:val="right"/>
              <w:rPr>
                <w:b/>
                <w:bCs/>
                <w:szCs w:val="16"/>
              </w:rPr>
            </w:pPr>
          </w:p>
        </w:tc>
      </w:tr>
      <w:tr w:rsidR="00BF3CA4" w:rsidRPr="00D5469A" w:rsidTr="00B06C4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BF3CA4" w:rsidRDefault="00BF3CA4"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637E34" w:rsidRPr="00D5469A" w:rsidTr="00637E34">
        <w:trPr>
          <w:trHeight w:val="288"/>
          <w:jc w:val="center"/>
        </w:trPr>
        <w:tc>
          <w:tcPr>
            <w:tcW w:w="2608" w:type="pct"/>
            <w:tcBorders>
              <w:top w:val="single" w:sz="12" w:space="0" w:color="auto"/>
              <w:left w:val="nil"/>
              <w:bottom w:val="nil"/>
              <w:right w:val="nil"/>
            </w:tcBorders>
            <w:shd w:val="clear" w:color="auto" w:fill="auto"/>
            <w:vAlign w:val="center"/>
            <w:hideMark/>
          </w:tcPr>
          <w:p w:rsidR="00637E34" w:rsidRPr="00D5469A" w:rsidRDefault="00637E34" w:rsidP="00441FB4">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vAlign w:val="center"/>
            <w:hideMark/>
          </w:tcPr>
          <w:p w:rsidR="00637E34" w:rsidRDefault="00637E34" w:rsidP="00F46A76">
            <w:pPr>
              <w:jc w:val="right"/>
              <w:rPr>
                <w:szCs w:val="16"/>
              </w:rPr>
            </w:pPr>
            <w:r>
              <w:rPr>
                <w:szCs w:val="16"/>
              </w:rPr>
              <w:t>1,157</w:t>
            </w:r>
          </w:p>
        </w:tc>
        <w:tc>
          <w:tcPr>
            <w:tcW w:w="569" w:type="pct"/>
            <w:tcBorders>
              <w:top w:val="single" w:sz="12" w:space="0" w:color="auto"/>
              <w:left w:val="nil"/>
              <w:bottom w:val="nil"/>
              <w:right w:val="nil"/>
            </w:tcBorders>
            <w:shd w:val="clear" w:color="auto" w:fill="auto"/>
            <w:vAlign w:val="center"/>
            <w:hideMark/>
          </w:tcPr>
          <w:p w:rsidR="00637E34" w:rsidRDefault="00637E34" w:rsidP="00F46A76">
            <w:pPr>
              <w:jc w:val="right"/>
              <w:rPr>
                <w:szCs w:val="16"/>
              </w:rPr>
            </w:pPr>
            <w:r>
              <w:rPr>
                <w:szCs w:val="16"/>
              </w:rPr>
              <w:t>1,173</w:t>
            </w:r>
          </w:p>
        </w:tc>
        <w:tc>
          <w:tcPr>
            <w:tcW w:w="625" w:type="pct"/>
            <w:tcBorders>
              <w:top w:val="single" w:sz="12" w:space="0" w:color="auto"/>
              <w:left w:val="nil"/>
              <w:bottom w:val="nil"/>
              <w:right w:val="nil"/>
            </w:tcBorders>
            <w:shd w:val="clear" w:color="auto" w:fill="auto"/>
            <w:vAlign w:val="center"/>
            <w:hideMark/>
          </w:tcPr>
          <w:p w:rsidR="00637E34" w:rsidRDefault="00637E34" w:rsidP="00637E34">
            <w:pPr>
              <w:jc w:val="right"/>
              <w:rPr>
                <w:szCs w:val="16"/>
              </w:rPr>
            </w:pPr>
            <w:r>
              <w:rPr>
                <w:szCs w:val="16"/>
              </w:rPr>
              <w:t>151</w:t>
            </w:r>
          </w:p>
        </w:tc>
        <w:tc>
          <w:tcPr>
            <w:tcW w:w="630" w:type="pct"/>
            <w:tcBorders>
              <w:top w:val="single" w:sz="12" w:space="0" w:color="auto"/>
              <w:left w:val="nil"/>
              <w:bottom w:val="nil"/>
              <w:right w:val="nil"/>
            </w:tcBorders>
            <w:shd w:val="clear" w:color="auto" w:fill="auto"/>
            <w:vAlign w:val="center"/>
            <w:hideMark/>
          </w:tcPr>
          <w:p w:rsidR="00637E34" w:rsidRDefault="00637E34" w:rsidP="00637E34">
            <w:pPr>
              <w:jc w:val="right"/>
              <w:rPr>
                <w:szCs w:val="16"/>
              </w:rPr>
            </w:pPr>
            <w:r>
              <w:rPr>
                <w:szCs w:val="16"/>
              </w:rPr>
              <w:t>56</w:t>
            </w:r>
          </w:p>
        </w:tc>
      </w:tr>
      <w:tr w:rsidR="00637E34" w:rsidRPr="00D5469A" w:rsidTr="00637E34">
        <w:trPr>
          <w:trHeight w:val="288"/>
          <w:jc w:val="center"/>
        </w:trPr>
        <w:tc>
          <w:tcPr>
            <w:tcW w:w="2608" w:type="pct"/>
            <w:tcBorders>
              <w:top w:val="nil"/>
              <w:left w:val="nil"/>
              <w:bottom w:val="nil"/>
              <w:right w:val="nil"/>
            </w:tcBorders>
            <w:shd w:val="clear" w:color="auto" w:fill="auto"/>
            <w:vAlign w:val="center"/>
            <w:hideMark/>
          </w:tcPr>
          <w:p w:rsidR="00637E34" w:rsidRPr="00D5469A" w:rsidRDefault="00637E34" w:rsidP="00441FB4">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vAlign w:val="center"/>
            <w:hideMark/>
          </w:tcPr>
          <w:p w:rsidR="00637E34" w:rsidRDefault="00637E34" w:rsidP="00F46A76">
            <w:pPr>
              <w:jc w:val="right"/>
              <w:rPr>
                <w:szCs w:val="16"/>
              </w:rPr>
            </w:pPr>
            <w:r>
              <w:rPr>
                <w:szCs w:val="16"/>
              </w:rPr>
              <w:t>592,202</w:t>
            </w:r>
          </w:p>
        </w:tc>
        <w:tc>
          <w:tcPr>
            <w:tcW w:w="569" w:type="pct"/>
            <w:tcBorders>
              <w:top w:val="nil"/>
              <w:left w:val="nil"/>
              <w:bottom w:val="nil"/>
              <w:right w:val="nil"/>
            </w:tcBorders>
            <w:shd w:val="clear" w:color="auto" w:fill="auto"/>
            <w:vAlign w:val="center"/>
            <w:hideMark/>
          </w:tcPr>
          <w:p w:rsidR="00637E34" w:rsidRDefault="00637E34" w:rsidP="00F46A76">
            <w:pPr>
              <w:jc w:val="right"/>
              <w:rPr>
                <w:szCs w:val="16"/>
              </w:rPr>
            </w:pPr>
            <w:r>
              <w:rPr>
                <w:szCs w:val="16"/>
              </w:rPr>
              <w:t>540,260</w:t>
            </w:r>
          </w:p>
        </w:tc>
        <w:tc>
          <w:tcPr>
            <w:tcW w:w="625" w:type="pct"/>
            <w:tcBorders>
              <w:top w:val="nil"/>
              <w:left w:val="nil"/>
              <w:bottom w:val="nil"/>
              <w:right w:val="nil"/>
            </w:tcBorders>
            <w:shd w:val="clear" w:color="auto" w:fill="auto"/>
            <w:vAlign w:val="center"/>
            <w:hideMark/>
          </w:tcPr>
          <w:p w:rsidR="00637E34" w:rsidRDefault="00637E34" w:rsidP="00637E34">
            <w:pPr>
              <w:jc w:val="right"/>
              <w:rPr>
                <w:szCs w:val="16"/>
              </w:rPr>
            </w:pPr>
            <w:r>
              <w:rPr>
                <w:szCs w:val="16"/>
              </w:rPr>
              <w:t>(55,429)</w:t>
            </w:r>
          </w:p>
        </w:tc>
        <w:tc>
          <w:tcPr>
            <w:tcW w:w="630" w:type="pct"/>
            <w:tcBorders>
              <w:top w:val="nil"/>
              <w:left w:val="nil"/>
              <w:bottom w:val="nil"/>
              <w:right w:val="nil"/>
            </w:tcBorders>
            <w:shd w:val="clear" w:color="auto" w:fill="auto"/>
            <w:vAlign w:val="center"/>
            <w:hideMark/>
          </w:tcPr>
          <w:p w:rsidR="00637E34" w:rsidRDefault="00637E34" w:rsidP="00637E34">
            <w:pPr>
              <w:jc w:val="right"/>
              <w:rPr>
                <w:szCs w:val="16"/>
              </w:rPr>
            </w:pPr>
            <w:r>
              <w:rPr>
                <w:szCs w:val="16"/>
              </w:rPr>
              <w:t>(134,326)</w:t>
            </w:r>
          </w:p>
        </w:tc>
      </w:tr>
      <w:tr w:rsidR="00637E34" w:rsidRPr="00D5469A" w:rsidTr="00637E34">
        <w:trPr>
          <w:trHeight w:val="288"/>
          <w:jc w:val="center"/>
        </w:trPr>
        <w:tc>
          <w:tcPr>
            <w:tcW w:w="2608" w:type="pct"/>
            <w:tcBorders>
              <w:top w:val="nil"/>
              <w:left w:val="nil"/>
              <w:bottom w:val="nil"/>
              <w:right w:val="nil"/>
            </w:tcBorders>
            <w:shd w:val="clear" w:color="auto" w:fill="auto"/>
            <w:vAlign w:val="center"/>
            <w:hideMark/>
          </w:tcPr>
          <w:p w:rsidR="00637E34" w:rsidRPr="00D5469A" w:rsidRDefault="00637E34" w:rsidP="00441FB4">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vAlign w:val="center"/>
            <w:hideMark/>
          </w:tcPr>
          <w:p w:rsidR="00637E34" w:rsidRDefault="00637E34" w:rsidP="00F46A76">
            <w:pPr>
              <w:jc w:val="right"/>
              <w:rPr>
                <w:szCs w:val="16"/>
              </w:rPr>
            </w:pPr>
            <w:r>
              <w:rPr>
                <w:szCs w:val="16"/>
              </w:rPr>
              <w:t>52,656</w:t>
            </w:r>
          </w:p>
        </w:tc>
        <w:tc>
          <w:tcPr>
            <w:tcW w:w="569" w:type="pct"/>
            <w:tcBorders>
              <w:top w:val="nil"/>
              <w:left w:val="nil"/>
              <w:bottom w:val="nil"/>
              <w:right w:val="nil"/>
            </w:tcBorders>
            <w:shd w:val="clear" w:color="auto" w:fill="auto"/>
            <w:vAlign w:val="center"/>
            <w:hideMark/>
          </w:tcPr>
          <w:p w:rsidR="00637E34" w:rsidRDefault="00637E34" w:rsidP="00F46A76">
            <w:pPr>
              <w:jc w:val="right"/>
              <w:rPr>
                <w:szCs w:val="16"/>
              </w:rPr>
            </w:pPr>
            <w:r>
              <w:rPr>
                <w:szCs w:val="16"/>
              </w:rPr>
              <w:t>48,326</w:t>
            </w:r>
          </w:p>
        </w:tc>
        <w:tc>
          <w:tcPr>
            <w:tcW w:w="625" w:type="pct"/>
            <w:tcBorders>
              <w:top w:val="nil"/>
              <w:left w:val="nil"/>
              <w:bottom w:val="nil"/>
              <w:right w:val="nil"/>
            </w:tcBorders>
            <w:shd w:val="clear" w:color="auto" w:fill="auto"/>
            <w:vAlign w:val="center"/>
            <w:hideMark/>
          </w:tcPr>
          <w:p w:rsidR="00637E34" w:rsidRDefault="00637E34" w:rsidP="00637E34">
            <w:pPr>
              <w:jc w:val="right"/>
              <w:rPr>
                <w:szCs w:val="16"/>
              </w:rPr>
            </w:pPr>
            <w:r>
              <w:rPr>
                <w:szCs w:val="16"/>
              </w:rPr>
              <w:t>(1,821)</w:t>
            </w:r>
          </w:p>
        </w:tc>
        <w:tc>
          <w:tcPr>
            <w:tcW w:w="630" w:type="pct"/>
            <w:tcBorders>
              <w:top w:val="nil"/>
              <w:left w:val="nil"/>
              <w:bottom w:val="nil"/>
              <w:right w:val="nil"/>
            </w:tcBorders>
            <w:shd w:val="clear" w:color="auto" w:fill="auto"/>
            <w:vAlign w:val="center"/>
            <w:hideMark/>
          </w:tcPr>
          <w:p w:rsidR="00637E34" w:rsidRDefault="00637E34" w:rsidP="00637E34">
            <w:pPr>
              <w:jc w:val="right"/>
              <w:rPr>
                <w:szCs w:val="16"/>
              </w:rPr>
            </w:pPr>
            <w:r>
              <w:rPr>
                <w:szCs w:val="16"/>
              </w:rPr>
              <w:t>4,249</w:t>
            </w:r>
          </w:p>
        </w:tc>
      </w:tr>
      <w:tr w:rsidR="00637E34" w:rsidRPr="00D5469A" w:rsidTr="00637E34">
        <w:trPr>
          <w:trHeight w:val="288"/>
          <w:jc w:val="center"/>
        </w:trPr>
        <w:tc>
          <w:tcPr>
            <w:tcW w:w="2608" w:type="pct"/>
            <w:tcBorders>
              <w:top w:val="nil"/>
              <w:left w:val="nil"/>
              <w:bottom w:val="nil"/>
              <w:right w:val="nil"/>
            </w:tcBorders>
            <w:shd w:val="clear" w:color="auto" w:fill="auto"/>
            <w:vAlign w:val="center"/>
            <w:hideMark/>
          </w:tcPr>
          <w:p w:rsidR="00637E34" w:rsidRPr="00D5469A" w:rsidRDefault="00637E34" w:rsidP="00441FB4">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vAlign w:val="center"/>
            <w:hideMark/>
          </w:tcPr>
          <w:p w:rsidR="00637E34" w:rsidRDefault="00637E34" w:rsidP="00F46A76">
            <w:pPr>
              <w:jc w:val="right"/>
              <w:rPr>
                <w:szCs w:val="16"/>
              </w:rPr>
            </w:pPr>
            <w:r>
              <w:rPr>
                <w:szCs w:val="16"/>
              </w:rPr>
              <w:t>39,505</w:t>
            </w:r>
          </w:p>
        </w:tc>
        <w:tc>
          <w:tcPr>
            <w:tcW w:w="569" w:type="pct"/>
            <w:tcBorders>
              <w:top w:val="nil"/>
              <w:left w:val="nil"/>
              <w:bottom w:val="nil"/>
              <w:right w:val="nil"/>
            </w:tcBorders>
            <w:shd w:val="clear" w:color="auto" w:fill="auto"/>
            <w:vAlign w:val="center"/>
            <w:hideMark/>
          </w:tcPr>
          <w:p w:rsidR="00637E34" w:rsidRDefault="00637E34" w:rsidP="00F46A76">
            <w:pPr>
              <w:jc w:val="right"/>
              <w:rPr>
                <w:szCs w:val="16"/>
              </w:rPr>
            </w:pPr>
            <w:r>
              <w:rPr>
                <w:szCs w:val="16"/>
              </w:rPr>
              <w:t>43,938</w:t>
            </w:r>
          </w:p>
        </w:tc>
        <w:tc>
          <w:tcPr>
            <w:tcW w:w="625" w:type="pct"/>
            <w:tcBorders>
              <w:top w:val="nil"/>
              <w:left w:val="nil"/>
              <w:bottom w:val="nil"/>
              <w:right w:val="nil"/>
            </w:tcBorders>
            <w:shd w:val="clear" w:color="auto" w:fill="auto"/>
            <w:vAlign w:val="center"/>
            <w:hideMark/>
          </w:tcPr>
          <w:p w:rsidR="00637E34" w:rsidRDefault="00637E34" w:rsidP="00637E34">
            <w:pPr>
              <w:jc w:val="right"/>
              <w:rPr>
                <w:szCs w:val="16"/>
              </w:rPr>
            </w:pPr>
            <w:r>
              <w:rPr>
                <w:szCs w:val="16"/>
              </w:rPr>
              <w:t>(1,405)</w:t>
            </w:r>
          </w:p>
        </w:tc>
        <w:tc>
          <w:tcPr>
            <w:tcW w:w="630" w:type="pct"/>
            <w:tcBorders>
              <w:top w:val="nil"/>
              <w:left w:val="nil"/>
              <w:bottom w:val="nil"/>
              <w:right w:val="nil"/>
            </w:tcBorders>
            <w:shd w:val="clear" w:color="auto" w:fill="auto"/>
            <w:vAlign w:val="center"/>
            <w:hideMark/>
          </w:tcPr>
          <w:p w:rsidR="00637E34" w:rsidRDefault="00637E34" w:rsidP="00637E34">
            <w:pPr>
              <w:jc w:val="right"/>
              <w:rPr>
                <w:szCs w:val="16"/>
              </w:rPr>
            </w:pPr>
            <w:r>
              <w:rPr>
                <w:szCs w:val="16"/>
              </w:rPr>
              <w:t>(5,994)</w:t>
            </w:r>
          </w:p>
        </w:tc>
      </w:tr>
      <w:tr w:rsidR="00637E34" w:rsidRPr="00D5469A" w:rsidTr="00637E34">
        <w:trPr>
          <w:trHeight w:val="288"/>
          <w:jc w:val="center"/>
        </w:trPr>
        <w:tc>
          <w:tcPr>
            <w:tcW w:w="2608" w:type="pct"/>
            <w:tcBorders>
              <w:top w:val="nil"/>
              <w:left w:val="nil"/>
              <w:bottom w:val="nil"/>
              <w:right w:val="nil"/>
            </w:tcBorders>
            <w:shd w:val="clear" w:color="auto" w:fill="auto"/>
            <w:vAlign w:val="center"/>
            <w:hideMark/>
          </w:tcPr>
          <w:p w:rsidR="00637E34" w:rsidRPr="00D5469A" w:rsidRDefault="00637E34" w:rsidP="00441FB4">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vAlign w:val="center"/>
            <w:hideMark/>
          </w:tcPr>
          <w:p w:rsidR="00637E34" w:rsidRDefault="00637E34" w:rsidP="00F46A7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637E34" w:rsidRDefault="00637E34" w:rsidP="00F46A76">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637E34" w:rsidRDefault="00637E34" w:rsidP="00637E34">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637E34" w:rsidRDefault="00637E34" w:rsidP="00637E34">
            <w:pPr>
              <w:jc w:val="right"/>
              <w:rPr>
                <w:szCs w:val="16"/>
              </w:rPr>
            </w:pPr>
            <w:r>
              <w:rPr>
                <w:szCs w:val="16"/>
              </w:rPr>
              <w:t>-</w:t>
            </w:r>
          </w:p>
        </w:tc>
      </w:tr>
      <w:tr w:rsidR="00637E34" w:rsidRPr="00D5469A" w:rsidTr="00637E34">
        <w:trPr>
          <w:trHeight w:val="288"/>
          <w:jc w:val="center"/>
        </w:trPr>
        <w:tc>
          <w:tcPr>
            <w:tcW w:w="2608" w:type="pct"/>
            <w:tcBorders>
              <w:top w:val="nil"/>
              <w:left w:val="nil"/>
              <w:bottom w:val="nil"/>
              <w:right w:val="nil"/>
            </w:tcBorders>
            <w:shd w:val="clear" w:color="auto" w:fill="auto"/>
            <w:vAlign w:val="center"/>
            <w:hideMark/>
          </w:tcPr>
          <w:p w:rsidR="00637E34" w:rsidRPr="00D5469A" w:rsidRDefault="00637E34" w:rsidP="00441FB4">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vAlign w:val="center"/>
            <w:hideMark/>
          </w:tcPr>
          <w:p w:rsidR="00637E34" w:rsidRDefault="00637E34" w:rsidP="00F46A7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637E34" w:rsidRDefault="00637E34" w:rsidP="00F46A76">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637E34" w:rsidRDefault="00637E34" w:rsidP="00637E34">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637E34" w:rsidRDefault="00637E34" w:rsidP="00637E34">
            <w:pPr>
              <w:jc w:val="right"/>
              <w:rPr>
                <w:szCs w:val="16"/>
              </w:rPr>
            </w:pPr>
            <w:r>
              <w:rPr>
                <w:szCs w:val="16"/>
              </w:rPr>
              <w:t>-</w:t>
            </w:r>
          </w:p>
        </w:tc>
      </w:tr>
      <w:tr w:rsidR="00637E34" w:rsidRPr="00D5469A" w:rsidTr="00637E34">
        <w:trPr>
          <w:trHeight w:val="288"/>
          <w:jc w:val="center"/>
        </w:trPr>
        <w:tc>
          <w:tcPr>
            <w:tcW w:w="2608" w:type="pct"/>
            <w:tcBorders>
              <w:top w:val="nil"/>
              <w:left w:val="nil"/>
              <w:bottom w:val="nil"/>
              <w:right w:val="nil"/>
            </w:tcBorders>
            <w:shd w:val="clear" w:color="auto" w:fill="auto"/>
            <w:vAlign w:val="center"/>
            <w:hideMark/>
          </w:tcPr>
          <w:p w:rsidR="00637E34" w:rsidRPr="00D5469A" w:rsidRDefault="00637E34" w:rsidP="00441FB4">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vAlign w:val="center"/>
            <w:hideMark/>
          </w:tcPr>
          <w:p w:rsidR="00637E34" w:rsidRDefault="00637E34" w:rsidP="00F46A7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637E34" w:rsidRDefault="00637E34" w:rsidP="00F46A76">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637E34" w:rsidRDefault="00637E34" w:rsidP="00637E34">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637E34" w:rsidRDefault="00637E34" w:rsidP="00637E34">
            <w:pPr>
              <w:jc w:val="right"/>
              <w:rPr>
                <w:szCs w:val="16"/>
              </w:rPr>
            </w:pPr>
            <w:r>
              <w:rPr>
                <w:szCs w:val="16"/>
              </w:rPr>
              <w:t>-</w:t>
            </w:r>
          </w:p>
        </w:tc>
      </w:tr>
      <w:tr w:rsidR="00637E34" w:rsidRPr="00D5469A" w:rsidTr="00637E34">
        <w:trPr>
          <w:trHeight w:val="288"/>
          <w:jc w:val="center"/>
        </w:trPr>
        <w:tc>
          <w:tcPr>
            <w:tcW w:w="2608" w:type="pct"/>
            <w:tcBorders>
              <w:top w:val="nil"/>
              <w:left w:val="nil"/>
              <w:bottom w:val="nil"/>
              <w:right w:val="nil"/>
            </w:tcBorders>
            <w:shd w:val="clear" w:color="auto" w:fill="auto"/>
            <w:vAlign w:val="center"/>
            <w:hideMark/>
          </w:tcPr>
          <w:p w:rsidR="00637E34" w:rsidRPr="00D5469A" w:rsidRDefault="00637E34" w:rsidP="00441FB4">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vAlign w:val="center"/>
            <w:hideMark/>
          </w:tcPr>
          <w:p w:rsidR="00637E34" w:rsidRDefault="00637E34" w:rsidP="00F46A76">
            <w:pPr>
              <w:jc w:val="right"/>
              <w:rPr>
                <w:szCs w:val="16"/>
              </w:rPr>
            </w:pPr>
          </w:p>
        </w:tc>
        <w:tc>
          <w:tcPr>
            <w:tcW w:w="569" w:type="pct"/>
            <w:tcBorders>
              <w:top w:val="nil"/>
              <w:left w:val="nil"/>
              <w:bottom w:val="nil"/>
              <w:right w:val="nil"/>
            </w:tcBorders>
            <w:shd w:val="clear" w:color="auto" w:fill="auto"/>
            <w:vAlign w:val="center"/>
            <w:hideMark/>
          </w:tcPr>
          <w:p w:rsidR="00637E34" w:rsidRDefault="00637E34" w:rsidP="00F46A76">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637E34" w:rsidRDefault="00637E34" w:rsidP="00637E34">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637E34" w:rsidRDefault="00637E34" w:rsidP="00637E34">
            <w:pPr>
              <w:jc w:val="right"/>
              <w:rPr>
                <w:szCs w:val="16"/>
              </w:rPr>
            </w:pPr>
            <w:r>
              <w:rPr>
                <w:szCs w:val="16"/>
              </w:rPr>
              <w:t>-</w:t>
            </w:r>
          </w:p>
        </w:tc>
      </w:tr>
      <w:tr w:rsidR="00637E34" w:rsidRPr="00D5469A" w:rsidTr="00637E34">
        <w:trPr>
          <w:trHeight w:val="288"/>
          <w:jc w:val="center"/>
        </w:trPr>
        <w:tc>
          <w:tcPr>
            <w:tcW w:w="2608" w:type="pct"/>
            <w:tcBorders>
              <w:top w:val="nil"/>
              <w:left w:val="nil"/>
              <w:bottom w:val="nil"/>
              <w:right w:val="nil"/>
            </w:tcBorders>
            <w:shd w:val="clear" w:color="auto" w:fill="auto"/>
            <w:vAlign w:val="center"/>
            <w:hideMark/>
          </w:tcPr>
          <w:p w:rsidR="00637E34" w:rsidRPr="00D5469A" w:rsidRDefault="00637E34" w:rsidP="00441FB4">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vAlign w:val="center"/>
            <w:hideMark/>
          </w:tcPr>
          <w:p w:rsidR="00637E34" w:rsidRDefault="00637E34" w:rsidP="00F46A7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637E34" w:rsidRDefault="00637E34" w:rsidP="00F46A76">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637E34" w:rsidRDefault="00637E34" w:rsidP="00637E34">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637E34" w:rsidRDefault="00637E34" w:rsidP="00637E34">
            <w:pPr>
              <w:jc w:val="right"/>
              <w:rPr>
                <w:szCs w:val="16"/>
              </w:rPr>
            </w:pPr>
            <w:r>
              <w:rPr>
                <w:szCs w:val="16"/>
              </w:rPr>
              <w:t>-</w:t>
            </w:r>
          </w:p>
        </w:tc>
      </w:tr>
      <w:tr w:rsidR="00637E34" w:rsidRPr="00D5469A" w:rsidTr="00637E34">
        <w:trPr>
          <w:trHeight w:val="288"/>
          <w:jc w:val="center"/>
        </w:trPr>
        <w:tc>
          <w:tcPr>
            <w:tcW w:w="2608" w:type="pct"/>
            <w:tcBorders>
              <w:top w:val="nil"/>
              <w:left w:val="nil"/>
              <w:bottom w:val="nil"/>
              <w:right w:val="nil"/>
            </w:tcBorders>
            <w:shd w:val="clear" w:color="auto" w:fill="auto"/>
            <w:vAlign w:val="center"/>
            <w:hideMark/>
          </w:tcPr>
          <w:p w:rsidR="00637E34" w:rsidRPr="00D5469A" w:rsidRDefault="00637E34" w:rsidP="00441FB4">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vAlign w:val="center"/>
            <w:hideMark/>
          </w:tcPr>
          <w:p w:rsidR="00637E34" w:rsidRDefault="00637E34" w:rsidP="00F46A7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637E34" w:rsidRDefault="00637E34" w:rsidP="00F46A76">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637E34" w:rsidRDefault="00637E34" w:rsidP="00637E34">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637E34" w:rsidRDefault="00637E34" w:rsidP="00637E34">
            <w:pPr>
              <w:jc w:val="right"/>
              <w:rPr>
                <w:szCs w:val="16"/>
              </w:rPr>
            </w:pPr>
            <w:r>
              <w:rPr>
                <w:szCs w:val="16"/>
              </w:rPr>
              <w:t>-</w:t>
            </w:r>
          </w:p>
        </w:tc>
      </w:tr>
      <w:tr w:rsidR="00637E34" w:rsidRPr="00D5469A" w:rsidTr="00637E34">
        <w:trPr>
          <w:trHeight w:val="288"/>
          <w:jc w:val="center"/>
        </w:trPr>
        <w:tc>
          <w:tcPr>
            <w:tcW w:w="2608" w:type="pct"/>
            <w:tcBorders>
              <w:top w:val="nil"/>
              <w:left w:val="nil"/>
              <w:bottom w:val="nil"/>
              <w:right w:val="nil"/>
            </w:tcBorders>
            <w:shd w:val="clear" w:color="auto" w:fill="auto"/>
            <w:vAlign w:val="center"/>
            <w:hideMark/>
          </w:tcPr>
          <w:p w:rsidR="00637E34" w:rsidRPr="00D5469A" w:rsidRDefault="00637E34" w:rsidP="00441FB4">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vAlign w:val="center"/>
            <w:hideMark/>
          </w:tcPr>
          <w:p w:rsidR="00637E34" w:rsidRDefault="00637E34" w:rsidP="00F46A7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637E34" w:rsidRDefault="00637E34" w:rsidP="00F46A76">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637E34" w:rsidRDefault="00637E34" w:rsidP="00637E34">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637E34" w:rsidRDefault="00637E34" w:rsidP="00637E34">
            <w:pPr>
              <w:jc w:val="right"/>
              <w:rPr>
                <w:szCs w:val="16"/>
              </w:rPr>
            </w:pPr>
            <w:r>
              <w:rPr>
                <w:szCs w:val="16"/>
              </w:rPr>
              <w:t>-</w:t>
            </w:r>
          </w:p>
        </w:tc>
      </w:tr>
      <w:tr w:rsidR="00637E34" w:rsidRPr="00D5469A" w:rsidTr="00637E34">
        <w:trPr>
          <w:trHeight w:val="288"/>
          <w:jc w:val="center"/>
        </w:trPr>
        <w:tc>
          <w:tcPr>
            <w:tcW w:w="2608" w:type="pct"/>
            <w:tcBorders>
              <w:top w:val="nil"/>
              <w:left w:val="nil"/>
              <w:bottom w:val="nil"/>
              <w:right w:val="nil"/>
            </w:tcBorders>
            <w:shd w:val="clear" w:color="auto" w:fill="auto"/>
            <w:vAlign w:val="center"/>
            <w:hideMark/>
          </w:tcPr>
          <w:p w:rsidR="00637E34" w:rsidRPr="00D5469A" w:rsidRDefault="00637E34" w:rsidP="00441FB4">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vAlign w:val="center"/>
            <w:hideMark/>
          </w:tcPr>
          <w:p w:rsidR="00637E34" w:rsidRDefault="00637E34" w:rsidP="00F46A76">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637E34" w:rsidRDefault="00637E34" w:rsidP="00F46A76">
            <w:pPr>
              <w:jc w:val="right"/>
              <w:rPr>
                <w:szCs w:val="16"/>
              </w:rPr>
            </w:pPr>
            <w:r>
              <w:rPr>
                <w:szCs w:val="16"/>
              </w:rPr>
              <w:t>-</w:t>
            </w:r>
          </w:p>
        </w:tc>
        <w:tc>
          <w:tcPr>
            <w:tcW w:w="625" w:type="pct"/>
            <w:tcBorders>
              <w:top w:val="nil"/>
              <w:left w:val="nil"/>
              <w:bottom w:val="nil"/>
              <w:right w:val="nil"/>
            </w:tcBorders>
            <w:shd w:val="clear" w:color="auto" w:fill="auto"/>
            <w:vAlign w:val="center"/>
            <w:hideMark/>
          </w:tcPr>
          <w:p w:rsidR="00637E34" w:rsidRDefault="00637E34" w:rsidP="00637E34">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637E34" w:rsidRDefault="00637E34" w:rsidP="00637E34">
            <w:pPr>
              <w:jc w:val="right"/>
              <w:rPr>
                <w:szCs w:val="16"/>
              </w:rPr>
            </w:pPr>
            <w:r>
              <w:rPr>
                <w:szCs w:val="16"/>
              </w:rPr>
              <w:t>-</w:t>
            </w:r>
          </w:p>
        </w:tc>
      </w:tr>
      <w:tr w:rsidR="00637E34" w:rsidRPr="00D5469A" w:rsidTr="00637E34">
        <w:trPr>
          <w:trHeight w:val="288"/>
          <w:jc w:val="center"/>
        </w:trPr>
        <w:tc>
          <w:tcPr>
            <w:tcW w:w="2608" w:type="pct"/>
            <w:tcBorders>
              <w:top w:val="nil"/>
              <w:left w:val="nil"/>
              <w:right w:val="nil"/>
            </w:tcBorders>
            <w:shd w:val="clear" w:color="auto" w:fill="auto"/>
            <w:vAlign w:val="center"/>
            <w:hideMark/>
          </w:tcPr>
          <w:p w:rsidR="00637E34" w:rsidRPr="00D5469A" w:rsidRDefault="00637E34" w:rsidP="00441FB4">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vAlign w:val="center"/>
            <w:hideMark/>
          </w:tcPr>
          <w:p w:rsidR="00637E34" w:rsidRDefault="00637E34" w:rsidP="00F46A76">
            <w:pPr>
              <w:jc w:val="right"/>
              <w:rPr>
                <w:szCs w:val="16"/>
              </w:rPr>
            </w:pPr>
            <w:r>
              <w:rPr>
                <w:szCs w:val="16"/>
              </w:rPr>
              <w:t>-</w:t>
            </w:r>
          </w:p>
        </w:tc>
        <w:tc>
          <w:tcPr>
            <w:tcW w:w="569" w:type="pct"/>
            <w:tcBorders>
              <w:top w:val="nil"/>
              <w:left w:val="nil"/>
              <w:right w:val="nil"/>
            </w:tcBorders>
            <w:shd w:val="clear" w:color="auto" w:fill="auto"/>
            <w:vAlign w:val="center"/>
            <w:hideMark/>
          </w:tcPr>
          <w:p w:rsidR="00637E34" w:rsidRDefault="00637E34" w:rsidP="00F46A76">
            <w:pPr>
              <w:jc w:val="right"/>
              <w:rPr>
                <w:szCs w:val="16"/>
              </w:rPr>
            </w:pPr>
            <w:r>
              <w:rPr>
                <w:szCs w:val="16"/>
              </w:rPr>
              <w:t>-</w:t>
            </w:r>
          </w:p>
        </w:tc>
        <w:tc>
          <w:tcPr>
            <w:tcW w:w="625" w:type="pct"/>
            <w:tcBorders>
              <w:top w:val="nil"/>
              <w:left w:val="nil"/>
              <w:right w:val="nil"/>
            </w:tcBorders>
            <w:shd w:val="clear" w:color="auto" w:fill="auto"/>
            <w:vAlign w:val="center"/>
            <w:hideMark/>
          </w:tcPr>
          <w:p w:rsidR="00637E34" w:rsidRDefault="00637E34" w:rsidP="00637E34">
            <w:pPr>
              <w:jc w:val="right"/>
              <w:rPr>
                <w:szCs w:val="16"/>
              </w:rPr>
            </w:pPr>
            <w:r>
              <w:rPr>
                <w:szCs w:val="16"/>
              </w:rPr>
              <w:t>-</w:t>
            </w:r>
          </w:p>
        </w:tc>
        <w:tc>
          <w:tcPr>
            <w:tcW w:w="630" w:type="pct"/>
            <w:tcBorders>
              <w:top w:val="nil"/>
              <w:left w:val="nil"/>
              <w:right w:val="nil"/>
            </w:tcBorders>
            <w:shd w:val="clear" w:color="auto" w:fill="auto"/>
            <w:vAlign w:val="center"/>
            <w:hideMark/>
          </w:tcPr>
          <w:p w:rsidR="00637E34" w:rsidRDefault="00637E34" w:rsidP="00637E34">
            <w:pPr>
              <w:jc w:val="right"/>
              <w:rPr>
                <w:szCs w:val="16"/>
              </w:rPr>
            </w:pPr>
            <w:r>
              <w:rPr>
                <w:szCs w:val="16"/>
              </w:rPr>
              <w:t>-</w:t>
            </w:r>
          </w:p>
        </w:tc>
      </w:tr>
      <w:tr w:rsidR="00637E34" w:rsidRPr="00D5469A" w:rsidTr="00637E34">
        <w:trPr>
          <w:trHeight w:val="288"/>
          <w:jc w:val="center"/>
        </w:trPr>
        <w:tc>
          <w:tcPr>
            <w:tcW w:w="2608" w:type="pct"/>
            <w:tcBorders>
              <w:top w:val="nil"/>
              <w:left w:val="nil"/>
              <w:right w:val="nil"/>
            </w:tcBorders>
            <w:shd w:val="clear" w:color="auto" w:fill="auto"/>
            <w:vAlign w:val="center"/>
            <w:hideMark/>
          </w:tcPr>
          <w:p w:rsidR="00637E34" w:rsidRPr="00D5469A" w:rsidRDefault="00637E34" w:rsidP="00441FB4">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vAlign w:val="center"/>
            <w:hideMark/>
          </w:tcPr>
          <w:p w:rsidR="00637E34" w:rsidRDefault="00637E34" w:rsidP="00F46A76">
            <w:pPr>
              <w:jc w:val="right"/>
              <w:rPr>
                <w:szCs w:val="16"/>
              </w:rPr>
            </w:pPr>
            <w:r>
              <w:rPr>
                <w:szCs w:val="16"/>
              </w:rPr>
              <w:t>-</w:t>
            </w:r>
          </w:p>
        </w:tc>
        <w:tc>
          <w:tcPr>
            <w:tcW w:w="569" w:type="pct"/>
            <w:tcBorders>
              <w:top w:val="nil"/>
              <w:left w:val="nil"/>
              <w:right w:val="nil"/>
            </w:tcBorders>
            <w:shd w:val="clear" w:color="auto" w:fill="auto"/>
            <w:vAlign w:val="center"/>
            <w:hideMark/>
          </w:tcPr>
          <w:p w:rsidR="00637E34" w:rsidRDefault="00637E34" w:rsidP="00F46A76">
            <w:pPr>
              <w:jc w:val="right"/>
              <w:rPr>
                <w:szCs w:val="16"/>
              </w:rPr>
            </w:pPr>
            <w:r>
              <w:rPr>
                <w:szCs w:val="16"/>
              </w:rPr>
              <w:t>-</w:t>
            </w:r>
          </w:p>
        </w:tc>
        <w:tc>
          <w:tcPr>
            <w:tcW w:w="625" w:type="pct"/>
            <w:tcBorders>
              <w:top w:val="nil"/>
              <w:left w:val="nil"/>
              <w:right w:val="nil"/>
            </w:tcBorders>
            <w:shd w:val="clear" w:color="auto" w:fill="auto"/>
            <w:vAlign w:val="center"/>
            <w:hideMark/>
          </w:tcPr>
          <w:p w:rsidR="00637E34" w:rsidRDefault="00637E34" w:rsidP="00637E34">
            <w:pPr>
              <w:jc w:val="right"/>
              <w:rPr>
                <w:szCs w:val="16"/>
              </w:rPr>
            </w:pPr>
            <w:r>
              <w:rPr>
                <w:szCs w:val="16"/>
              </w:rPr>
              <w:t>-</w:t>
            </w:r>
          </w:p>
        </w:tc>
        <w:tc>
          <w:tcPr>
            <w:tcW w:w="630" w:type="pct"/>
            <w:tcBorders>
              <w:top w:val="nil"/>
              <w:left w:val="nil"/>
              <w:right w:val="nil"/>
            </w:tcBorders>
            <w:shd w:val="clear" w:color="auto" w:fill="auto"/>
            <w:vAlign w:val="center"/>
            <w:hideMark/>
          </w:tcPr>
          <w:p w:rsidR="00637E34" w:rsidRDefault="00637E34" w:rsidP="00637E34">
            <w:pPr>
              <w:jc w:val="right"/>
              <w:rPr>
                <w:szCs w:val="16"/>
              </w:rPr>
            </w:pPr>
            <w:r>
              <w:rPr>
                <w:szCs w:val="16"/>
              </w:rPr>
              <w:t>-</w:t>
            </w:r>
          </w:p>
        </w:tc>
      </w:tr>
      <w:tr w:rsidR="00637E34" w:rsidRPr="00D5469A" w:rsidTr="00637E34">
        <w:trPr>
          <w:trHeight w:val="288"/>
          <w:jc w:val="center"/>
        </w:trPr>
        <w:tc>
          <w:tcPr>
            <w:tcW w:w="2608" w:type="pct"/>
            <w:tcBorders>
              <w:left w:val="nil"/>
              <w:bottom w:val="single" w:sz="12" w:space="0" w:color="auto"/>
              <w:right w:val="nil"/>
            </w:tcBorders>
            <w:shd w:val="clear" w:color="auto" w:fill="auto"/>
            <w:vAlign w:val="center"/>
          </w:tcPr>
          <w:p w:rsidR="00637E34" w:rsidRPr="00D5469A" w:rsidRDefault="00637E34" w:rsidP="00441FB4">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vAlign w:val="center"/>
          </w:tcPr>
          <w:p w:rsidR="00637E34" w:rsidRDefault="00637E34" w:rsidP="00F46A76">
            <w:pPr>
              <w:jc w:val="right"/>
              <w:rPr>
                <w:szCs w:val="16"/>
              </w:rPr>
            </w:pPr>
            <w:r>
              <w:rPr>
                <w:szCs w:val="16"/>
              </w:rPr>
              <w:t>988</w:t>
            </w:r>
          </w:p>
        </w:tc>
        <w:tc>
          <w:tcPr>
            <w:tcW w:w="569" w:type="pct"/>
            <w:tcBorders>
              <w:left w:val="nil"/>
              <w:bottom w:val="single" w:sz="12" w:space="0" w:color="auto"/>
              <w:right w:val="nil"/>
            </w:tcBorders>
            <w:shd w:val="clear" w:color="auto" w:fill="auto"/>
            <w:vAlign w:val="center"/>
          </w:tcPr>
          <w:p w:rsidR="00637E34" w:rsidRDefault="00637E34" w:rsidP="00F46A76">
            <w:pPr>
              <w:jc w:val="right"/>
              <w:rPr>
                <w:szCs w:val="16"/>
              </w:rPr>
            </w:pPr>
            <w:r>
              <w:rPr>
                <w:szCs w:val="16"/>
              </w:rPr>
              <w:t>2,877</w:t>
            </w:r>
          </w:p>
        </w:tc>
        <w:tc>
          <w:tcPr>
            <w:tcW w:w="625" w:type="pct"/>
            <w:tcBorders>
              <w:left w:val="nil"/>
              <w:bottom w:val="single" w:sz="12" w:space="0" w:color="auto"/>
              <w:right w:val="nil"/>
            </w:tcBorders>
            <w:shd w:val="clear" w:color="auto" w:fill="auto"/>
            <w:vAlign w:val="center"/>
          </w:tcPr>
          <w:p w:rsidR="00637E34" w:rsidRDefault="00637E34" w:rsidP="00637E34">
            <w:pPr>
              <w:jc w:val="right"/>
              <w:rPr>
                <w:szCs w:val="16"/>
              </w:rPr>
            </w:pPr>
            <w:r>
              <w:rPr>
                <w:szCs w:val="16"/>
              </w:rPr>
              <w:t>61</w:t>
            </w:r>
          </w:p>
        </w:tc>
        <w:tc>
          <w:tcPr>
            <w:tcW w:w="630" w:type="pct"/>
            <w:tcBorders>
              <w:left w:val="nil"/>
              <w:bottom w:val="single" w:sz="12" w:space="0" w:color="auto"/>
              <w:right w:val="nil"/>
            </w:tcBorders>
            <w:shd w:val="clear" w:color="auto" w:fill="auto"/>
            <w:vAlign w:val="center"/>
          </w:tcPr>
          <w:p w:rsidR="00637E34" w:rsidRDefault="00637E34" w:rsidP="00637E34">
            <w:pPr>
              <w:jc w:val="right"/>
              <w:rPr>
                <w:szCs w:val="16"/>
              </w:rPr>
            </w:pPr>
            <w:r>
              <w:rPr>
                <w:szCs w:val="16"/>
              </w:rPr>
              <w:t>(1,885)</w:t>
            </w:r>
          </w:p>
        </w:tc>
      </w:tr>
      <w:tr w:rsidR="00637E34" w:rsidRPr="00D5469A" w:rsidTr="00637E34">
        <w:trPr>
          <w:trHeight w:val="288"/>
          <w:jc w:val="center"/>
        </w:trPr>
        <w:tc>
          <w:tcPr>
            <w:tcW w:w="2608" w:type="pct"/>
            <w:tcBorders>
              <w:top w:val="nil"/>
              <w:left w:val="nil"/>
              <w:bottom w:val="single" w:sz="12" w:space="0" w:color="auto"/>
              <w:right w:val="nil"/>
            </w:tcBorders>
            <w:shd w:val="clear" w:color="auto" w:fill="auto"/>
            <w:vAlign w:val="center"/>
          </w:tcPr>
          <w:p w:rsidR="00637E34" w:rsidRPr="00D5469A" w:rsidRDefault="00637E34" w:rsidP="00441FB4">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vAlign w:val="center"/>
          </w:tcPr>
          <w:p w:rsidR="00637E34" w:rsidRDefault="00637E34" w:rsidP="00F46A76">
            <w:pPr>
              <w:jc w:val="right"/>
              <w:rPr>
                <w:b/>
                <w:bCs/>
                <w:szCs w:val="16"/>
              </w:rPr>
            </w:pPr>
            <w:r>
              <w:rPr>
                <w:b/>
                <w:bCs/>
                <w:szCs w:val="16"/>
              </w:rPr>
              <w:t>686,508</w:t>
            </w:r>
          </w:p>
        </w:tc>
        <w:tc>
          <w:tcPr>
            <w:tcW w:w="569" w:type="pct"/>
            <w:tcBorders>
              <w:top w:val="nil"/>
              <w:left w:val="nil"/>
              <w:bottom w:val="single" w:sz="12" w:space="0" w:color="auto"/>
              <w:right w:val="nil"/>
            </w:tcBorders>
            <w:shd w:val="clear" w:color="auto" w:fill="auto"/>
            <w:vAlign w:val="center"/>
          </w:tcPr>
          <w:p w:rsidR="00637E34" w:rsidRDefault="00637E34" w:rsidP="00F46A76">
            <w:pPr>
              <w:jc w:val="right"/>
              <w:rPr>
                <w:b/>
                <w:bCs/>
                <w:szCs w:val="16"/>
              </w:rPr>
            </w:pPr>
            <w:r>
              <w:rPr>
                <w:b/>
                <w:bCs/>
                <w:szCs w:val="16"/>
              </w:rPr>
              <w:t>636,574</w:t>
            </w:r>
          </w:p>
        </w:tc>
        <w:tc>
          <w:tcPr>
            <w:tcW w:w="625" w:type="pct"/>
            <w:tcBorders>
              <w:top w:val="nil"/>
              <w:left w:val="nil"/>
              <w:bottom w:val="single" w:sz="12" w:space="0" w:color="auto"/>
              <w:right w:val="nil"/>
            </w:tcBorders>
            <w:shd w:val="clear" w:color="auto" w:fill="auto"/>
            <w:vAlign w:val="center"/>
          </w:tcPr>
          <w:p w:rsidR="00637E34" w:rsidRDefault="00637E34" w:rsidP="00637E34">
            <w:pPr>
              <w:jc w:val="right"/>
              <w:rPr>
                <w:b/>
                <w:bCs/>
                <w:szCs w:val="16"/>
              </w:rPr>
            </w:pPr>
            <w:r>
              <w:rPr>
                <w:b/>
                <w:bCs/>
                <w:szCs w:val="16"/>
              </w:rPr>
              <w:t>(58,442)</w:t>
            </w:r>
          </w:p>
        </w:tc>
        <w:tc>
          <w:tcPr>
            <w:tcW w:w="630" w:type="pct"/>
            <w:tcBorders>
              <w:top w:val="nil"/>
              <w:left w:val="nil"/>
              <w:bottom w:val="single" w:sz="12" w:space="0" w:color="auto"/>
              <w:right w:val="nil"/>
            </w:tcBorders>
            <w:shd w:val="clear" w:color="auto" w:fill="auto"/>
            <w:vAlign w:val="center"/>
          </w:tcPr>
          <w:p w:rsidR="00637E34" w:rsidRDefault="00637E34" w:rsidP="00637E34">
            <w:pPr>
              <w:jc w:val="right"/>
              <w:rPr>
                <w:b/>
                <w:bCs/>
                <w:szCs w:val="16"/>
              </w:rPr>
            </w:pPr>
            <w:r>
              <w:rPr>
                <w:b/>
                <w:bCs/>
                <w:szCs w:val="16"/>
              </w:rPr>
              <w:t>(137,900)</w:t>
            </w:r>
          </w:p>
        </w:tc>
      </w:tr>
      <w:tr w:rsidR="00691090" w:rsidRPr="00D5469A" w:rsidTr="00691090">
        <w:trPr>
          <w:trHeight w:val="288"/>
          <w:jc w:val="center"/>
        </w:trPr>
        <w:tc>
          <w:tcPr>
            <w:tcW w:w="5000" w:type="pct"/>
            <w:gridSpan w:val="5"/>
            <w:tcBorders>
              <w:top w:val="single" w:sz="12" w:space="0" w:color="auto"/>
              <w:left w:val="nil"/>
              <w:right w:val="nil"/>
            </w:tcBorders>
            <w:shd w:val="clear" w:color="auto" w:fill="auto"/>
            <w:vAlign w:val="center"/>
          </w:tcPr>
          <w:p w:rsidR="00691090" w:rsidRDefault="00691090" w:rsidP="00F46A76">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Ind w:w="-522" w:type="dxa"/>
        <w:tblLayout w:type="fixed"/>
        <w:tblLook w:val="04A0"/>
      </w:tblPr>
      <w:tblGrid>
        <w:gridCol w:w="2430"/>
        <w:gridCol w:w="810"/>
        <w:gridCol w:w="900"/>
        <w:gridCol w:w="900"/>
        <w:gridCol w:w="900"/>
        <w:gridCol w:w="900"/>
        <w:gridCol w:w="900"/>
        <w:gridCol w:w="900"/>
        <w:gridCol w:w="900"/>
        <w:gridCol w:w="900"/>
      </w:tblGrid>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517601">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D41FEE" w:rsidRPr="000C3431" w:rsidTr="003370AC">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D41FEE" w:rsidRPr="000C3431" w:rsidRDefault="00D41FEE" w:rsidP="000C3431">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D41FEE" w:rsidRPr="006619BF" w:rsidRDefault="00D41FEE" w:rsidP="00C97EDB">
            <w:pPr>
              <w:jc w:val="right"/>
              <w:rPr>
                <w:b/>
                <w:bCs/>
                <w:color w:val="auto"/>
                <w:szCs w:val="16"/>
              </w:rPr>
            </w:pPr>
            <w:r>
              <w:rPr>
                <w:b/>
                <w:bCs/>
                <w:color w:val="auto"/>
                <w:szCs w:val="16"/>
              </w:rPr>
              <w:t>FY15</w:t>
            </w:r>
          </w:p>
        </w:tc>
        <w:tc>
          <w:tcPr>
            <w:tcW w:w="900" w:type="dxa"/>
            <w:vMerge w:val="restart"/>
            <w:tcBorders>
              <w:top w:val="nil"/>
              <w:left w:val="single" w:sz="4" w:space="0" w:color="auto"/>
              <w:right w:val="single" w:sz="4" w:space="0" w:color="auto"/>
            </w:tcBorders>
            <w:shd w:val="clear" w:color="auto" w:fill="auto"/>
            <w:vAlign w:val="center"/>
            <w:hideMark/>
          </w:tcPr>
          <w:p w:rsidR="00D41FEE" w:rsidRPr="006619BF" w:rsidRDefault="00D41FEE" w:rsidP="00C97EDB">
            <w:pPr>
              <w:jc w:val="right"/>
              <w:rPr>
                <w:b/>
                <w:bCs/>
                <w:color w:val="auto"/>
                <w:szCs w:val="16"/>
              </w:rPr>
            </w:pPr>
            <w:r w:rsidRPr="00AA2E5E">
              <w:rPr>
                <w:b/>
                <w:bCs/>
                <w:color w:val="auto"/>
                <w:szCs w:val="16"/>
              </w:rPr>
              <w:t>FY16</w:t>
            </w:r>
          </w:p>
        </w:tc>
        <w:tc>
          <w:tcPr>
            <w:tcW w:w="900" w:type="dxa"/>
            <w:vMerge w:val="restart"/>
            <w:tcBorders>
              <w:top w:val="nil"/>
              <w:left w:val="single" w:sz="4" w:space="0" w:color="auto"/>
              <w:right w:val="single" w:sz="4" w:space="0" w:color="auto"/>
            </w:tcBorders>
            <w:shd w:val="clear" w:color="auto" w:fill="auto"/>
            <w:vAlign w:val="center"/>
          </w:tcPr>
          <w:p w:rsidR="00D41FEE" w:rsidRPr="006619BF" w:rsidRDefault="00D41FEE" w:rsidP="00C6679F">
            <w:pPr>
              <w:jc w:val="right"/>
              <w:rPr>
                <w:b/>
                <w:bCs/>
                <w:color w:val="auto"/>
                <w:szCs w:val="16"/>
              </w:rPr>
            </w:pPr>
            <w:r w:rsidRPr="00AA2E5E">
              <w:rPr>
                <w:b/>
                <w:bCs/>
                <w:color w:val="auto"/>
                <w:szCs w:val="16"/>
              </w:rPr>
              <w:t>FY17</w:t>
            </w:r>
          </w:p>
        </w:tc>
        <w:tc>
          <w:tcPr>
            <w:tcW w:w="2700" w:type="dxa"/>
            <w:gridSpan w:val="3"/>
            <w:tcBorders>
              <w:top w:val="nil"/>
              <w:left w:val="single" w:sz="4" w:space="0" w:color="auto"/>
              <w:bottom w:val="single" w:sz="4" w:space="0" w:color="auto"/>
              <w:right w:val="single" w:sz="4" w:space="0" w:color="auto"/>
            </w:tcBorders>
            <w:shd w:val="clear" w:color="auto" w:fill="auto"/>
            <w:vAlign w:val="center"/>
          </w:tcPr>
          <w:p w:rsidR="00D41FEE" w:rsidRPr="006619BF" w:rsidRDefault="00D41FEE" w:rsidP="00E23D58">
            <w:pPr>
              <w:rPr>
                <w:b/>
                <w:bCs/>
                <w:color w:val="auto"/>
                <w:szCs w:val="16"/>
              </w:rPr>
            </w:pPr>
            <w:r w:rsidRPr="006619BF">
              <w:rPr>
                <w:b/>
                <w:bCs/>
                <w:color w:val="auto"/>
                <w:szCs w:val="16"/>
              </w:rPr>
              <w:t>2017</w:t>
            </w:r>
          </w:p>
        </w:tc>
        <w:tc>
          <w:tcPr>
            <w:tcW w:w="2700" w:type="dxa"/>
            <w:gridSpan w:val="3"/>
            <w:tcBorders>
              <w:top w:val="single" w:sz="12" w:space="0" w:color="auto"/>
              <w:left w:val="single" w:sz="4" w:space="0" w:color="auto"/>
              <w:bottom w:val="single" w:sz="4" w:space="0" w:color="auto"/>
              <w:right w:val="nil"/>
            </w:tcBorders>
            <w:shd w:val="clear" w:color="auto" w:fill="auto"/>
            <w:vAlign w:val="center"/>
          </w:tcPr>
          <w:p w:rsidR="00D41FEE" w:rsidRPr="006619BF" w:rsidRDefault="00D41FEE" w:rsidP="00E23D58">
            <w:pPr>
              <w:rPr>
                <w:b/>
                <w:bCs/>
                <w:color w:val="auto"/>
                <w:szCs w:val="16"/>
              </w:rPr>
            </w:pPr>
            <w:r>
              <w:rPr>
                <w:b/>
                <w:bCs/>
                <w:color w:val="auto"/>
                <w:szCs w:val="16"/>
              </w:rPr>
              <w:t>2018</w:t>
            </w:r>
          </w:p>
        </w:tc>
      </w:tr>
      <w:tr w:rsidR="003370AC" w:rsidRPr="000C3431" w:rsidTr="003370AC">
        <w:trPr>
          <w:trHeight w:val="360"/>
          <w:jc w:val="center"/>
        </w:trPr>
        <w:tc>
          <w:tcPr>
            <w:tcW w:w="2430" w:type="dxa"/>
            <w:vMerge/>
            <w:tcBorders>
              <w:top w:val="nil"/>
              <w:left w:val="nil"/>
              <w:bottom w:val="single" w:sz="12" w:space="0" w:color="000000"/>
              <w:right w:val="single" w:sz="4" w:space="0" w:color="auto"/>
            </w:tcBorders>
            <w:vAlign w:val="center"/>
            <w:hideMark/>
          </w:tcPr>
          <w:p w:rsidR="003370AC" w:rsidRPr="000C3431" w:rsidRDefault="003370AC" w:rsidP="003370AC">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370AC" w:rsidRPr="006619BF" w:rsidRDefault="003370AC" w:rsidP="003370AC">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370AC" w:rsidRPr="006619BF" w:rsidRDefault="003370AC" w:rsidP="003370AC">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370AC" w:rsidRPr="006619BF" w:rsidRDefault="003370AC" w:rsidP="003370AC">
            <w:pPr>
              <w:jc w:val="right"/>
              <w:rPr>
                <w:b/>
                <w:bCs/>
                <w:color w:val="auto"/>
                <w:sz w:val="14"/>
                <w:szCs w:val="14"/>
              </w:rPr>
            </w:pP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r>
              <w:rPr>
                <w:b/>
                <w:color w:val="auto"/>
                <w:sz w:val="14"/>
                <w:szCs w:val="14"/>
              </w:rPr>
              <w:t>Feb</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r>
              <w:rPr>
                <w:b/>
                <w:color w:val="auto"/>
                <w:sz w:val="14"/>
                <w:szCs w:val="14"/>
              </w:rPr>
              <w:t>Mar</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r>
              <w:rPr>
                <w:b/>
                <w:color w:val="auto"/>
                <w:sz w:val="14"/>
                <w:szCs w:val="14"/>
              </w:rPr>
              <w:t>Dec</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r>
              <w:rPr>
                <w:b/>
                <w:color w:val="auto"/>
                <w:sz w:val="14"/>
                <w:szCs w:val="14"/>
              </w:rPr>
              <w:t>Jan</w:t>
            </w:r>
          </w:p>
        </w:tc>
        <w:tc>
          <w:tcPr>
            <w:tcW w:w="900" w:type="dxa"/>
            <w:tcBorders>
              <w:top w:val="single" w:sz="4" w:space="0" w:color="auto"/>
              <w:bottom w:val="single" w:sz="12" w:space="0" w:color="auto"/>
            </w:tcBorders>
            <w:shd w:val="clear" w:color="auto" w:fill="auto"/>
            <w:noWrap/>
            <w:tcMar>
              <w:left w:w="43" w:type="dxa"/>
              <w:right w:w="43" w:type="dxa"/>
            </w:tcMar>
            <w:vAlign w:val="center"/>
            <w:hideMark/>
          </w:tcPr>
          <w:p w:rsidR="003370AC" w:rsidRPr="006619BF" w:rsidRDefault="003370AC" w:rsidP="003370AC">
            <w:pPr>
              <w:jc w:val="right"/>
              <w:rPr>
                <w:b/>
                <w:color w:val="auto"/>
                <w:sz w:val="14"/>
                <w:szCs w:val="14"/>
              </w:rPr>
            </w:pPr>
            <w:r>
              <w:rPr>
                <w:b/>
                <w:color w:val="auto"/>
                <w:sz w:val="14"/>
                <w:szCs w:val="14"/>
              </w:rPr>
              <w:t>Feb</w:t>
            </w:r>
          </w:p>
        </w:tc>
        <w:tc>
          <w:tcPr>
            <w:tcW w:w="900" w:type="dxa"/>
            <w:tcBorders>
              <w:top w:val="single" w:sz="4" w:space="0" w:color="auto"/>
              <w:bottom w:val="single" w:sz="12" w:space="0" w:color="auto"/>
              <w:right w:val="nil"/>
            </w:tcBorders>
            <w:shd w:val="clear" w:color="auto" w:fill="auto"/>
            <w:tcMar>
              <w:left w:w="43" w:type="dxa"/>
              <w:right w:w="43" w:type="dxa"/>
            </w:tcMar>
            <w:vAlign w:val="center"/>
            <w:hideMark/>
          </w:tcPr>
          <w:p w:rsidR="003370AC" w:rsidRPr="006619BF" w:rsidRDefault="003370AC" w:rsidP="003370AC">
            <w:pPr>
              <w:jc w:val="right"/>
              <w:rPr>
                <w:b/>
                <w:color w:val="auto"/>
                <w:sz w:val="14"/>
                <w:szCs w:val="14"/>
              </w:rPr>
            </w:pPr>
            <w:r>
              <w:rPr>
                <w:b/>
                <w:color w:val="auto"/>
                <w:sz w:val="14"/>
                <w:szCs w:val="14"/>
              </w:rPr>
              <w:t xml:space="preserve">Mar </w:t>
            </w:r>
            <w:r w:rsidRPr="00D37119">
              <w:rPr>
                <w:b/>
                <w:color w:val="auto"/>
                <w:sz w:val="14"/>
                <w:szCs w:val="14"/>
                <w:vertAlign w:val="superscript"/>
              </w:rPr>
              <w:t>P</w:t>
            </w:r>
          </w:p>
        </w:tc>
      </w:tr>
      <w:tr w:rsidR="003370AC" w:rsidRPr="000C3431" w:rsidTr="00347075">
        <w:trPr>
          <w:trHeight w:val="360"/>
          <w:jc w:val="center"/>
        </w:trPr>
        <w:tc>
          <w:tcPr>
            <w:tcW w:w="2430" w:type="dxa"/>
            <w:tcBorders>
              <w:top w:val="nil"/>
              <w:left w:val="nil"/>
              <w:bottom w:val="nil"/>
              <w:right w:val="nil"/>
            </w:tcBorders>
            <w:shd w:val="clear" w:color="auto" w:fill="auto"/>
            <w:vAlign w:val="center"/>
            <w:hideMark/>
          </w:tcPr>
          <w:p w:rsidR="003370AC" w:rsidRPr="000C3431" w:rsidRDefault="003370AC" w:rsidP="003370AC">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3370AC" w:rsidRPr="000C3431" w:rsidRDefault="003370AC"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370AC" w:rsidRPr="000C3431" w:rsidRDefault="003370AC"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370AC" w:rsidRPr="000C3431" w:rsidRDefault="003370AC"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370AC" w:rsidRPr="000C3431" w:rsidRDefault="003370AC"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370AC" w:rsidRPr="000C3431" w:rsidRDefault="003370AC"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370AC" w:rsidRPr="000C3431" w:rsidRDefault="003370AC"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370AC" w:rsidRPr="000C3431" w:rsidRDefault="003370AC" w:rsidP="003370AC">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3370AC" w:rsidRPr="000C3431" w:rsidRDefault="003370AC"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370AC" w:rsidRPr="000C3431" w:rsidRDefault="003370AC" w:rsidP="003370AC">
            <w:pPr>
              <w:jc w:val="right"/>
              <w:rPr>
                <w:color w:val="auto"/>
                <w:sz w:val="14"/>
                <w:szCs w:val="14"/>
              </w:rPr>
            </w:pPr>
          </w:p>
        </w:tc>
      </w:tr>
      <w:tr w:rsidR="00423286" w:rsidRPr="000C3431" w:rsidTr="00423286">
        <w:trPr>
          <w:trHeight w:val="360"/>
          <w:jc w:val="center"/>
        </w:trPr>
        <w:tc>
          <w:tcPr>
            <w:tcW w:w="2430" w:type="dxa"/>
            <w:tcBorders>
              <w:top w:val="nil"/>
              <w:left w:val="nil"/>
              <w:bottom w:val="nil"/>
              <w:right w:val="nil"/>
            </w:tcBorders>
            <w:shd w:val="clear" w:color="auto" w:fill="auto"/>
            <w:vAlign w:val="center"/>
            <w:hideMark/>
          </w:tcPr>
          <w:p w:rsidR="00423286" w:rsidRPr="000C3431" w:rsidRDefault="00423286" w:rsidP="003370AC">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102.3</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106.0</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182.2</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r>
              <w:rPr>
                <w:sz w:val="14"/>
                <w:szCs w:val="14"/>
              </w:rPr>
              <w:t>100.9</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185.4</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143.8</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3370AC">
            <w:pPr>
              <w:jc w:val="right"/>
              <w:rPr>
                <w:sz w:val="14"/>
                <w:szCs w:val="14"/>
              </w:rPr>
            </w:pPr>
            <w:r>
              <w:rPr>
                <w:sz w:val="14"/>
                <w:szCs w:val="14"/>
              </w:rPr>
              <w:t>119.8</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r>
              <w:rPr>
                <w:sz w:val="14"/>
                <w:szCs w:val="14"/>
              </w:rPr>
              <w:t>144.5</w:t>
            </w:r>
          </w:p>
        </w:tc>
      </w:tr>
      <w:tr w:rsidR="00423286" w:rsidRPr="000C3431" w:rsidTr="00423286">
        <w:trPr>
          <w:trHeight w:val="360"/>
          <w:jc w:val="center"/>
        </w:trPr>
        <w:tc>
          <w:tcPr>
            <w:tcW w:w="2430" w:type="dxa"/>
            <w:tcBorders>
              <w:top w:val="nil"/>
              <w:left w:val="nil"/>
              <w:bottom w:val="nil"/>
              <w:right w:val="nil"/>
            </w:tcBorders>
            <w:shd w:val="clear" w:color="auto" w:fill="auto"/>
            <w:vAlign w:val="center"/>
            <w:hideMark/>
          </w:tcPr>
          <w:p w:rsidR="00423286" w:rsidRPr="000C3431" w:rsidRDefault="00423286" w:rsidP="003370AC">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2,726,518.3</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3,424,539.9</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3,669,682.6</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r>
              <w:rPr>
                <w:sz w:val="14"/>
                <w:szCs w:val="14"/>
              </w:rPr>
              <w:t>3,672,538.2</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4,160,069.8</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4,189,513.2</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3370AC">
            <w:pPr>
              <w:jc w:val="right"/>
              <w:rPr>
                <w:sz w:val="14"/>
                <w:szCs w:val="14"/>
              </w:rPr>
            </w:pPr>
            <w:r>
              <w:rPr>
                <w:sz w:val="14"/>
                <w:szCs w:val="14"/>
              </w:rPr>
              <w:t>4,246,545.5</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r>
              <w:rPr>
                <w:sz w:val="14"/>
                <w:szCs w:val="14"/>
              </w:rPr>
              <w:t>4,284,737.9</w:t>
            </w:r>
          </w:p>
        </w:tc>
      </w:tr>
      <w:tr w:rsidR="00423286" w:rsidRPr="000C3431" w:rsidTr="00423286">
        <w:trPr>
          <w:trHeight w:val="360"/>
          <w:jc w:val="center"/>
        </w:trPr>
        <w:tc>
          <w:tcPr>
            <w:tcW w:w="2430" w:type="dxa"/>
            <w:tcBorders>
              <w:top w:val="nil"/>
              <w:left w:val="nil"/>
              <w:bottom w:val="nil"/>
              <w:right w:val="nil"/>
            </w:tcBorders>
            <w:shd w:val="clear" w:color="auto" w:fill="auto"/>
            <w:vAlign w:val="center"/>
            <w:hideMark/>
          </w:tcPr>
          <w:p w:rsidR="00423286" w:rsidRPr="000C3431" w:rsidRDefault="00423286" w:rsidP="003370AC">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2,726,620.6</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3,424,645.9</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3,669,864.8</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b/>
                <w:bCs/>
                <w:sz w:val="14"/>
                <w:szCs w:val="14"/>
              </w:rPr>
            </w:pPr>
            <w:r>
              <w:rPr>
                <w:b/>
                <w:bCs/>
                <w:sz w:val="14"/>
                <w:szCs w:val="14"/>
              </w:rPr>
              <w:t>3,672,639.1</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4,160,255.2</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4,189,657.1</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4,246,665.3</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b/>
                <w:bCs/>
                <w:sz w:val="14"/>
                <w:szCs w:val="14"/>
              </w:rPr>
            </w:pPr>
            <w:r>
              <w:rPr>
                <w:b/>
                <w:bCs/>
                <w:sz w:val="14"/>
                <w:szCs w:val="14"/>
              </w:rPr>
              <w:t>4,284,882.4</w:t>
            </w:r>
          </w:p>
        </w:tc>
      </w:tr>
      <w:tr w:rsidR="00423286" w:rsidRPr="000C3431" w:rsidTr="00423286">
        <w:trPr>
          <w:trHeight w:val="360"/>
          <w:jc w:val="center"/>
        </w:trPr>
        <w:tc>
          <w:tcPr>
            <w:tcW w:w="2430" w:type="dxa"/>
            <w:tcBorders>
              <w:top w:val="nil"/>
              <w:left w:val="nil"/>
              <w:bottom w:val="nil"/>
              <w:right w:val="nil"/>
            </w:tcBorders>
            <w:shd w:val="clear" w:color="auto" w:fill="auto"/>
            <w:vAlign w:val="center"/>
            <w:hideMark/>
          </w:tcPr>
          <w:p w:rsidR="00423286" w:rsidRPr="000C3431" w:rsidRDefault="00423286" w:rsidP="003370AC">
            <w:pPr>
              <w:jc w:val="left"/>
              <w:rPr>
                <w:b/>
                <w:bCs/>
                <w:color w:val="auto"/>
                <w:sz w:val="14"/>
                <w:szCs w:val="14"/>
              </w:rPr>
            </w:pPr>
            <w:r w:rsidRPr="000C3431">
              <w:rPr>
                <w:b/>
                <w:bCs/>
                <w:color w:val="auto"/>
                <w:sz w:val="14"/>
                <w:szCs w:val="14"/>
              </w:rPr>
              <w:t xml:space="preserve">A S </w:t>
            </w:r>
            <w:proofErr w:type="spellStart"/>
            <w:r w:rsidRPr="000C3431">
              <w:rPr>
                <w:b/>
                <w:bCs/>
                <w:color w:val="auto"/>
                <w:sz w:val="14"/>
                <w:szCs w:val="14"/>
              </w:rPr>
              <w:t>S</w:t>
            </w:r>
            <w:proofErr w:type="spellEnd"/>
            <w:r w:rsidRPr="000C3431">
              <w:rPr>
                <w:b/>
                <w:bCs/>
                <w:color w:val="auto"/>
                <w:sz w:val="14"/>
                <w:szCs w:val="14"/>
              </w:rPr>
              <w:t xml:space="preserve"> E T S</w:t>
            </w:r>
          </w:p>
        </w:tc>
        <w:tc>
          <w:tcPr>
            <w:tcW w:w="81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rFonts w:ascii="Calibri" w:hAnsi="Calibri"/>
                <w:sz w:val="22"/>
                <w:szCs w:val="22"/>
              </w:rPr>
            </w:pPr>
          </w:p>
        </w:tc>
      </w:tr>
      <w:tr w:rsidR="00423286" w:rsidRPr="000C3431" w:rsidTr="00423286">
        <w:trPr>
          <w:trHeight w:val="360"/>
          <w:jc w:val="center"/>
        </w:trPr>
        <w:tc>
          <w:tcPr>
            <w:tcW w:w="2430" w:type="dxa"/>
            <w:tcBorders>
              <w:top w:val="nil"/>
              <w:left w:val="nil"/>
              <w:bottom w:val="nil"/>
              <w:right w:val="nil"/>
            </w:tcBorders>
            <w:shd w:val="clear" w:color="auto" w:fill="auto"/>
            <w:vAlign w:val="center"/>
            <w:hideMark/>
          </w:tcPr>
          <w:p w:rsidR="00423286" w:rsidRPr="000C3431" w:rsidRDefault="00423286" w:rsidP="003370AC">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936,641.6</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1,450,091.4</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1,313,810.2</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b/>
                <w:bCs/>
                <w:sz w:val="14"/>
                <w:szCs w:val="14"/>
              </w:rPr>
            </w:pPr>
            <w:r>
              <w:rPr>
                <w:b/>
                <w:bCs/>
                <w:sz w:val="14"/>
                <w:szCs w:val="14"/>
              </w:rPr>
              <w:t>1,189,460.6</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1,422,439.7</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916,882.6</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827,345.3</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b/>
                <w:bCs/>
                <w:sz w:val="14"/>
                <w:szCs w:val="14"/>
              </w:rPr>
            </w:pPr>
            <w:r>
              <w:rPr>
                <w:b/>
                <w:bCs/>
                <w:sz w:val="14"/>
                <w:szCs w:val="14"/>
              </w:rPr>
              <w:t>720,526.1</w:t>
            </w:r>
          </w:p>
        </w:tc>
      </w:tr>
      <w:tr w:rsidR="00423286" w:rsidRPr="000C3431" w:rsidTr="00423286">
        <w:trPr>
          <w:trHeight w:val="360"/>
          <w:jc w:val="center"/>
        </w:trPr>
        <w:tc>
          <w:tcPr>
            <w:tcW w:w="2430" w:type="dxa"/>
            <w:tcBorders>
              <w:top w:val="nil"/>
              <w:left w:val="nil"/>
              <w:bottom w:val="nil"/>
              <w:right w:val="nil"/>
            </w:tcBorders>
            <w:shd w:val="clear" w:color="auto" w:fill="auto"/>
            <w:vAlign w:val="center"/>
            <w:hideMark/>
          </w:tcPr>
          <w:p w:rsidR="00423286" w:rsidRPr="000C3431" w:rsidRDefault="00423286" w:rsidP="003370AC">
            <w:pPr>
              <w:ind w:firstLineChars="180" w:firstLine="252"/>
              <w:jc w:val="left"/>
              <w:rPr>
                <w:color w:val="auto"/>
                <w:sz w:val="14"/>
                <w:szCs w:val="14"/>
              </w:rPr>
            </w:pPr>
            <w:r w:rsidRPr="000C3431">
              <w:rPr>
                <w:color w:val="auto"/>
                <w:sz w:val="14"/>
                <w:szCs w:val="14"/>
              </w:rPr>
              <w:t>Gold Coins  and Bullion</w:t>
            </w:r>
          </w:p>
        </w:tc>
        <w:tc>
          <w:tcPr>
            <w:tcW w:w="81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252,029.5</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263,564.5</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263,785.6</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r>
              <w:rPr>
                <w:sz w:val="14"/>
                <w:szCs w:val="14"/>
              </w:rPr>
              <w:t>270,759.7</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297,139.0</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297,208.9</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3370AC">
            <w:pPr>
              <w:jc w:val="right"/>
              <w:rPr>
                <w:sz w:val="14"/>
                <w:szCs w:val="14"/>
              </w:rPr>
            </w:pPr>
            <w:r>
              <w:rPr>
                <w:sz w:val="14"/>
                <w:szCs w:val="14"/>
              </w:rPr>
              <w:t>308,709.6</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r>
              <w:rPr>
                <w:sz w:val="14"/>
                <w:szCs w:val="14"/>
              </w:rPr>
              <w:t>317,447.1</w:t>
            </w:r>
          </w:p>
        </w:tc>
      </w:tr>
      <w:tr w:rsidR="00423286" w:rsidRPr="000C3431" w:rsidTr="00423286">
        <w:trPr>
          <w:trHeight w:val="360"/>
          <w:jc w:val="center"/>
        </w:trPr>
        <w:tc>
          <w:tcPr>
            <w:tcW w:w="2430" w:type="dxa"/>
            <w:tcBorders>
              <w:top w:val="nil"/>
              <w:left w:val="nil"/>
              <w:bottom w:val="nil"/>
              <w:right w:val="nil"/>
            </w:tcBorders>
            <w:shd w:val="clear" w:color="auto" w:fill="auto"/>
            <w:vAlign w:val="center"/>
            <w:hideMark/>
          </w:tcPr>
          <w:p w:rsidR="00423286" w:rsidRPr="000C3431" w:rsidRDefault="00423286" w:rsidP="003370AC">
            <w:pPr>
              <w:ind w:firstLineChars="180" w:firstLine="252"/>
              <w:jc w:val="left"/>
              <w:rPr>
                <w:color w:val="auto"/>
                <w:sz w:val="14"/>
                <w:szCs w:val="14"/>
              </w:rPr>
            </w:pPr>
            <w:r w:rsidRPr="000C3431">
              <w:rPr>
                <w:color w:val="auto"/>
                <w:sz w:val="14"/>
                <w:szCs w:val="14"/>
              </w:rPr>
              <w:t>Approved Foreign Exchange</w:t>
            </w:r>
          </w:p>
        </w:tc>
        <w:tc>
          <w:tcPr>
            <w:tcW w:w="81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683,904.5</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1,185,840.3</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1,049,356.5</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r>
              <w:rPr>
                <w:sz w:val="14"/>
                <w:szCs w:val="14"/>
              </w:rPr>
              <w:t>918,032.9</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1,124,603.2</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618,976.2</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3370AC">
            <w:pPr>
              <w:jc w:val="right"/>
              <w:rPr>
                <w:sz w:val="14"/>
                <w:szCs w:val="14"/>
              </w:rPr>
            </w:pPr>
            <w:r>
              <w:rPr>
                <w:sz w:val="14"/>
                <w:szCs w:val="14"/>
              </w:rPr>
              <w:t>517,938.1</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r>
              <w:rPr>
                <w:sz w:val="14"/>
                <w:szCs w:val="14"/>
              </w:rPr>
              <w:t>402,381.4</w:t>
            </w:r>
          </w:p>
        </w:tc>
      </w:tr>
      <w:tr w:rsidR="00423286" w:rsidRPr="000C3431" w:rsidTr="00423286">
        <w:trPr>
          <w:trHeight w:val="360"/>
          <w:jc w:val="center"/>
        </w:trPr>
        <w:tc>
          <w:tcPr>
            <w:tcW w:w="2430" w:type="dxa"/>
            <w:tcBorders>
              <w:top w:val="nil"/>
              <w:left w:val="nil"/>
              <w:bottom w:val="nil"/>
              <w:right w:val="nil"/>
            </w:tcBorders>
            <w:shd w:val="clear" w:color="auto" w:fill="auto"/>
            <w:vAlign w:val="center"/>
            <w:hideMark/>
          </w:tcPr>
          <w:p w:rsidR="00423286" w:rsidRPr="000C3431" w:rsidRDefault="00423286" w:rsidP="003370AC">
            <w:pPr>
              <w:ind w:firstLineChars="200" w:firstLine="280"/>
              <w:jc w:val="left"/>
              <w:rPr>
                <w:color w:val="auto"/>
                <w:sz w:val="14"/>
                <w:szCs w:val="14"/>
              </w:rPr>
            </w:pPr>
            <w:r w:rsidRPr="000C3431">
              <w:rPr>
                <w:color w:val="auto"/>
                <w:sz w:val="14"/>
                <w:szCs w:val="14"/>
              </w:rPr>
              <w:t>Indian Notes</w:t>
            </w:r>
          </w:p>
        </w:tc>
        <w:tc>
          <w:tcPr>
            <w:tcW w:w="81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707.6</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697.6</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3370AC">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r>
              <w:rPr>
                <w:sz w:val="14"/>
                <w:szCs w:val="14"/>
              </w:rPr>
              <w:t>697.6</w:t>
            </w:r>
          </w:p>
        </w:tc>
      </w:tr>
      <w:tr w:rsidR="00423286" w:rsidRPr="000C3431" w:rsidTr="00423286">
        <w:trPr>
          <w:trHeight w:val="360"/>
          <w:jc w:val="center"/>
        </w:trPr>
        <w:tc>
          <w:tcPr>
            <w:tcW w:w="2430" w:type="dxa"/>
            <w:tcBorders>
              <w:top w:val="nil"/>
              <w:left w:val="nil"/>
              <w:bottom w:val="nil"/>
              <w:right w:val="nil"/>
            </w:tcBorders>
            <w:shd w:val="clear" w:color="auto" w:fill="auto"/>
            <w:vAlign w:val="center"/>
            <w:hideMark/>
          </w:tcPr>
          <w:p w:rsidR="00423286" w:rsidRPr="000C3431" w:rsidRDefault="00423286" w:rsidP="003370AC">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rFonts w:ascii="Calibri" w:hAnsi="Calibri"/>
                <w:sz w:val="22"/>
                <w:szCs w:val="22"/>
              </w:rPr>
            </w:pPr>
          </w:p>
        </w:tc>
      </w:tr>
      <w:tr w:rsidR="00423286" w:rsidRPr="000C3431" w:rsidTr="00423286">
        <w:trPr>
          <w:trHeight w:val="360"/>
          <w:jc w:val="center"/>
        </w:trPr>
        <w:tc>
          <w:tcPr>
            <w:tcW w:w="2430" w:type="dxa"/>
            <w:tcBorders>
              <w:top w:val="nil"/>
              <w:left w:val="nil"/>
              <w:bottom w:val="nil"/>
              <w:right w:val="nil"/>
            </w:tcBorders>
            <w:shd w:val="clear" w:color="auto" w:fill="auto"/>
            <w:vAlign w:val="center"/>
            <w:hideMark/>
          </w:tcPr>
          <w:p w:rsidR="00423286" w:rsidRPr="000C3431" w:rsidRDefault="00423286" w:rsidP="003370AC">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1,785,101.5</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1,969,524.3</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2,351,090.2</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b/>
                <w:bCs/>
                <w:sz w:val="14"/>
                <w:szCs w:val="14"/>
              </w:rPr>
            </w:pPr>
            <w:r>
              <w:rPr>
                <w:b/>
                <w:bCs/>
                <w:sz w:val="14"/>
                <w:szCs w:val="14"/>
              </w:rPr>
              <w:t>2,478,101.2</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2,732,320.8</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3,267,279.8</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3,413,639.3</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b/>
                <w:bCs/>
                <w:sz w:val="14"/>
                <w:szCs w:val="14"/>
              </w:rPr>
            </w:pPr>
            <w:r>
              <w:rPr>
                <w:b/>
                <w:bCs/>
                <w:sz w:val="14"/>
                <w:szCs w:val="14"/>
              </w:rPr>
              <w:t>3,558,534.3</w:t>
            </w:r>
          </w:p>
        </w:tc>
      </w:tr>
      <w:tr w:rsidR="00423286" w:rsidRPr="000C3431" w:rsidTr="00423286">
        <w:trPr>
          <w:trHeight w:val="360"/>
          <w:jc w:val="center"/>
        </w:trPr>
        <w:tc>
          <w:tcPr>
            <w:tcW w:w="2430" w:type="dxa"/>
            <w:tcBorders>
              <w:top w:val="nil"/>
              <w:left w:val="nil"/>
              <w:bottom w:val="nil"/>
              <w:right w:val="nil"/>
            </w:tcBorders>
            <w:shd w:val="clear" w:color="auto" w:fill="auto"/>
            <w:vAlign w:val="center"/>
            <w:hideMark/>
          </w:tcPr>
          <w:p w:rsidR="00423286" w:rsidRPr="000C3431" w:rsidRDefault="00423286" w:rsidP="003370AC">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285.4</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410.7</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125.4</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r>
              <w:rPr>
                <w:sz w:val="14"/>
                <w:szCs w:val="14"/>
              </w:rPr>
              <w:t>499.7</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869.8</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801.8</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710.0</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r>
              <w:rPr>
                <w:sz w:val="14"/>
                <w:szCs w:val="14"/>
              </w:rPr>
              <w:t>627.1</w:t>
            </w:r>
          </w:p>
        </w:tc>
      </w:tr>
      <w:tr w:rsidR="00423286" w:rsidRPr="000C3431" w:rsidTr="00423286">
        <w:trPr>
          <w:trHeight w:val="360"/>
          <w:jc w:val="center"/>
        </w:trPr>
        <w:tc>
          <w:tcPr>
            <w:tcW w:w="2430" w:type="dxa"/>
            <w:tcBorders>
              <w:top w:val="nil"/>
              <w:left w:val="nil"/>
              <w:bottom w:val="nil"/>
              <w:right w:val="nil"/>
            </w:tcBorders>
            <w:shd w:val="clear" w:color="auto" w:fill="auto"/>
            <w:vAlign w:val="center"/>
            <w:hideMark/>
          </w:tcPr>
          <w:p w:rsidR="00423286" w:rsidRPr="000C3431" w:rsidRDefault="00423286" w:rsidP="003370AC">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1,784,816.1</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1,969,113.6</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2,350,964.7</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r>
              <w:rPr>
                <w:sz w:val="14"/>
                <w:szCs w:val="14"/>
              </w:rPr>
              <w:t>2,477,601.4</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2,731,451.0</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3,266,478.0</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3,412,929.3</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r>
              <w:rPr>
                <w:sz w:val="14"/>
                <w:szCs w:val="14"/>
              </w:rPr>
              <w:t>3,557,907.2</w:t>
            </w:r>
          </w:p>
        </w:tc>
      </w:tr>
      <w:tr w:rsidR="00423286" w:rsidRPr="000C3431" w:rsidTr="00423286">
        <w:trPr>
          <w:trHeight w:val="360"/>
          <w:jc w:val="center"/>
        </w:trPr>
        <w:tc>
          <w:tcPr>
            <w:tcW w:w="2430" w:type="dxa"/>
            <w:tcBorders>
              <w:top w:val="nil"/>
              <w:left w:val="nil"/>
              <w:bottom w:val="nil"/>
              <w:right w:val="nil"/>
            </w:tcBorders>
            <w:shd w:val="clear" w:color="auto" w:fill="auto"/>
            <w:vAlign w:val="center"/>
            <w:hideMark/>
          </w:tcPr>
          <w:p w:rsidR="00423286" w:rsidRPr="000C3431" w:rsidRDefault="00423286" w:rsidP="003370AC">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r>
              <w:rPr>
                <w:sz w:val="14"/>
                <w:szCs w:val="14"/>
              </w:rPr>
              <w:t>-</w:t>
            </w:r>
          </w:p>
        </w:tc>
      </w:tr>
      <w:tr w:rsidR="00423286" w:rsidRPr="000C3431" w:rsidTr="00423286">
        <w:trPr>
          <w:trHeight w:val="360"/>
          <w:jc w:val="center"/>
        </w:trPr>
        <w:tc>
          <w:tcPr>
            <w:tcW w:w="2430" w:type="dxa"/>
            <w:tcBorders>
              <w:top w:val="nil"/>
              <w:left w:val="nil"/>
              <w:bottom w:val="nil"/>
              <w:right w:val="nil"/>
            </w:tcBorders>
            <w:shd w:val="clear" w:color="auto" w:fill="auto"/>
            <w:vAlign w:val="center"/>
            <w:hideMark/>
          </w:tcPr>
          <w:p w:rsidR="00423286" w:rsidRPr="000C3431" w:rsidRDefault="00423286" w:rsidP="003370AC">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rFonts w:ascii="Calibri" w:hAnsi="Calibri"/>
                <w:sz w:val="22"/>
                <w:szCs w:val="22"/>
              </w:rPr>
            </w:pPr>
          </w:p>
        </w:tc>
      </w:tr>
      <w:tr w:rsidR="00423286" w:rsidRPr="000C3431" w:rsidTr="00423286">
        <w:trPr>
          <w:trHeight w:val="360"/>
          <w:jc w:val="center"/>
        </w:trPr>
        <w:tc>
          <w:tcPr>
            <w:tcW w:w="2430" w:type="dxa"/>
            <w:tcBorders>
              <w:top w:val="nil"/>
              <w:left w:val="nil"/>
              <w:bottom w:val="nil"/>
              <w:right w:val="nil"/>
            </w:tcBorders>
            <w:shd w:val="clear" w:color="auto" w:fill="auto"/>
            <w:vAlign w:val="center"/>
            <w:hideMark/>
          </w:tcPr>
          <w:p w:rsidR="00423286" w:rsidRPr="000C3431" w:rsidRDefault="00423286" w:rsidP="003370AC">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4,877.4</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5,030.1</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4,964.4</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b/>
                <w:bCs/>
                <w:sz w:val="14"/>
                <w:szCs w:val="14"/>
              </w:rPr>
            </w:pPr>
            <w:r>
              <w:rPr>
                <w:b/>
                <w:bCs/>
                <w:sz w:val="14"/>
                <w:szCs w:val="14"/>
              </w:rPr>
              <w:t>5,077.3</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5,494.6</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5,494.6</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b/>
                <w:bCs/>
                <w:sz w:val="14"/>
                <w:szCs w:val="14"/>
              </w:rPr>
            </w:pPr>
            <w:r>
              <w:rPr>
                <w:b/>
                <w:bCs/>
                <w:sz w:val="14"/>
                <w:szCs w:val="14"/>
              </w:rPr>
              <w:t>5,680.7</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b/>
                <w:bCs/>
                <w:sz w:val="14"/>
                <w:szCs w:val="14"/>
              </w:rPr>
            </w:pPr>
            <w:r>
              <w:rPr>
                <w:b/>
                <w:bCs/>
                <w:sz w:val="14"/>
                <w:szCs w:val="14"/>
              </w:rPr>
              <w:t>5,822.0</w:t>
            </w:r>
          </w:p>
        </w:tc>
      </w:tr>
      <w:tr w:rsidR="00423286" w:rsidRPr="000C3431" w:rsidTr="00423286">
        <w:trPr>
          <w:trHeight w:val="360"/>
          <w:jc w:val="center"/>
        </w:trPr>
        <w:tc>
          <w:tcPr>
            <w:tcW w:w="2430" w:type="dxa"/>
            <w:tcBorders>
              <w:top w:val="nil"/>
              <w:left w:val="nil"/>
              <w:bottom w:val="nil"/>
              <w:right w:val="nil"/>
            </w:tcBorders>
            <w:shd w:val="clear" w:color="auto" w:fill="auto"/>
            <w:vAlign w:val="center"/>
            <w:hideMark/>
          </w:tcPr>
          <w:p w:rsidR="00423286" w:rsidRPr="000C3431" w:rsidRDefault="00423286" w:rsidP="003370AC">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4,081.7</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4,268.5</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4,270.4</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r>
              <w:rPr>
                <w:sz w:val="14"/>
                <w:szCs w:val="14"/>
              </w:rPr>
              <w:t>4,383.4</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4,807.8</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4,807.8</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4,993.9</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r>
              <w:rPr>
                <w:sz w:val="14"/>
                <w:szCs w:val="14"/>
              </w:rPr>
              <w:t>5,135.2</w:t>
            </w:r>
          </w:p>
        </w:tc>
      </w:tr>
      <w:tr w:rsidR="00423286" w:rsidRPr="000C3431" w:rsidTr="00423286">
        <w:trPr>
          <w:trHeight w:val="360"/>
          <w:jc w:val="center"/>
        </w:trPr>
        <w:tc>
          <w:tcPr>
            <w:tcW w:w="2430" w:type="dxa"/>
            <w:tcBorders>
              <w:top w:val="nil"/>
              <w:left w:val="nil"/>
              <w:bottom w:val="nil"/>
              <w:right w:val="nil"/>
            </w:tcBorders>
            <w:shd w:val="clear" w:color="auto" w:fill="auto"/>
            <w:vAlign w:val="center"/>
            <w:hideMark/>
          </w:tcPr>
          <w:p w:rsidR="00423286" w:rsidRPr="000C3431" w:rsidRDefault="00423286" w:rsidP="003370AC">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555.7</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r>
              <w:rPr>
                <w:sz w:val="14"/>
                <w:szCs w:val="14"/>
              </w:rPr>
              <w:t>450.2</w:t>
            </w:r>
          </w:p>
        </w:tc>
      </w:tr>
      <w:tr w:rsidR="00423286" w:rsidRPr="000C3431" w:rsidTr="00423286">
        <w:trPr>
          <w:trHeight w:val="360"/>
          <w:jc w:val="center"/>
        </w:trPr>
        <w:tc>
          <w:tcPr>
            <w:tcW w:w="2430" w:type="dxa"/>
            <w:tcBorders>
              <w:top w:val="nil"/>
              <w:left w:val="nil"/>
              <w:bottom w:val="nil"/>
              <w:right w:val="nil"/>
            </w:tcBorders>
            <w:shd w:val="clear" w:color="auto" w:fill="auto"/>
            <w:vAlign w:val="center"/>
            <w:hideMark/>
          </w:tcPr>
          <w:p w:rsidR="00423286" w:rsidRPr="000C3431" w:rsidRDefault="00423286" w:rsidP="003370AC">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235.2</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r>
              <w:rPr>
                <w:sz w:val="14"/>
                <w:szCs w:val="14"/>
              </w:rPr>
              <w:t>231.8</w:t>
            </w:r>
          </w:p>
        </w:tc>
      </w:tr>
      <w:tr w:rsidR="00423286" w:rsidRPr="000C3431" w:rsidTr="00423286">
        <w:trPr>
          <w:trHeight w:val="360"/>
          <w:jc w:val="center"/>
        </w:trPr>
        <w:tc>
          <w:tcPr>
            <w:tcW w:w="2430" w:type="dxa"/>
            <w:tcBorders>
              <w:top w:val="nil"/>
              <w:left w:val="nil"/>
              <w:bottom w:val="nil"/>
              <w:right w:val="nil"/>
            </w:tcBorders>
            <w:shd w:val="clear" w:color="auto" w:fill="auto"/>
            <w:vAlign w:val="center"/>
            <w:hideMark/>
          </w:tcPr>
          <w:p w:rsidR="00423286" w:rsidRPr="000C3431" w:rsidRDefault="00423286" w:rsidP="003370AC">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3370AC">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sz w:val="14"/>
                <w:szCs w:val="14"/>
              </w:rPr>
            </w:pPr>
            <w:r>
              <w:rPr>
                <w:sz w:val="14"/>
                <w:szCs w:val="14"/>
              </w:rPr>
              <w:t>4.8</w:t>
            </w:r>
          </w:p>
        </w:tc>
      </w:tr>
      <w:tr w:rsidR="003370AC" w:rsidRPr="000C3431" w:rsidTr="00BA23E7">
        <w:trPr>
          <w:trHeight w:val="360"/>
          <w:jc w:val="center"/>
        </w:trPr>
        <w:tc>
          <w:tcPr>
            <w:tcW w:w="2430" w:type="dxa"/>
            <w:tcBorders>
              <w:top w:val="nil"/>
              <w:left w:val="nil"/>
              <w:bottom w:val="single" w:sz="12" w:space="0" w:color="auto"/>
              <w:right w:val="nil"/>
            </w:tcBorders>
            <w:shd w:val="clear" w:color="auto" w:fill="auto"/>
            <w:vAlign w:val="center"/>
            <w:hideMark/>
          </w:tcPr>
          <w:p w:rsidR="003370AC" w:rsidRPr="000C3431" w:rsidRDefault="003370AC" w:rsidP="003370AC">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3370AC" w:rsidRDefault="003370AC"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370AC" w:rsidRDefault="003370AC"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370AC" w:rsidRDefault="003370AC"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370AC" w:rsidRDefault="003370AC"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370AC" w:rsidRDefault="003370AC"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370AC" w:rsidRDefault="003370AC"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370AC" w:rsidRDefault="003370AC"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370AC" w:rsidRDefault="003370AC"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370AC" w:rsidRDefault="003370AC" w:rsidP="003370AC">
            <w:pPr>
              <w:jc w:val="right"/>
              <w:rPr>
                <w:b/>
                <w:bCs/>
                <w:sz w:val="14"/>
                <w:szCs w:val="14"/>
              </w:rPr>
            </w:pPr>
          </w:p>
        </w:tc>
      </w:tr>
      <w:tr w:rsidR="003370AC" w:rsidRPr="000C3431" w:rsidTr="006505F6">
        <w:trPr>
          <w:trHeight w:val="360"/>
          <w:jc w:val="center"/>
        </w:trPr>
        <w:tc>
          <w:tcPr>
            <w:tcW w:w="7740" w:type="dxa"/>
            <w:gridSpan w:val="7"/>
            <w:tcBorders>
              <w:top w:val="single" w:sz="12" w:space="0" w:color="auto"/>
              <w:left w:val="nil"/>
              <w:bottom w:val="nil"/>
              <w:right w:val="nil"/>
            </w:tcBorders>
            <w:shd w:val="clear" w:color="auto" w:fill="auto"/>
            <w:vAlign w:val="center"/>
            <w:hideMark/>
          </w:tcPr>
          <w:p w:rsidR="003370AC" w:rsidRPr="000C3431" w:rsidRDefault="003370AC" w:rsidP="003370AC">
            <w:pPr>
              <w:jc w:val="left"/>
              <w:rPr>
                <w:color w:val="auto"/>
                <w:sz w:val="14"/>
                <w:szCs w:val="14"/>
              </w:rPr>
            </w:pPr>
            <w:r w:rsidRPr="000C3431">
              <w:rPr>
                <w:color w:val="auto"/>
                <w:sz w:val="14"/>
                <w:szCs w:val="14"/>
              </w:rPr>
              <w:t>1 Gold is valued at end financial year (</w:t>
            </w:r>
            <w:proofErr w:type="gramStart"/>
            <w:r w:rsidRPr="000C3431">
              <w:rPr>
                <w:color w:val="auto"/>
                <w:sz w:val="14"/>
                <w:szCs w:val="14"/>
              </w:rPr>
              <w:t>June )</w:t>
            </w:r>
            <w:proofErr w:type="gramEnd"/>
            <w:r w:rsidRPr="000C3431">
              <w:rPr>
                <w:color w:val="auto"/>
                <w:sz w:val="14"/>
                <w:szCs w:val="14"/>
              </w:rPr>
              <w:t xml:space="preserve"> on the basis of closing London Market Rate.</w:t>
            </w:r>
          </w:p>
        </w:tc>
        <w:tc>
          <w:tcPr>
            <w:tcW w:w="2700" w:type="dxa"/>
            <w:gridSpan w:val="3"/>
            <w:tcBorders>
              <w:top w:val="single" w:sz="12" w:space="0" w:color="auto"/>
              <w:left w:val="nil"/>
              <w:bottom w:val="nil"/>
              <w:right w:val="nil"/>
            </w:tcBorders>
            <w:shd w:val="clear" w:color="auto" w:fill="auto"/>
            <w:vAlign w:val="center"/>
            <w:hideMark/>
          </w:tcPr>
          <w:p w:rsidR="003370AC" w:rsidRPr="000C3431" w:rsidRDefault="003370AC" w:rsidP="003370AC">
            <w:pPr>
              <w:jc w:val="right"/>
              <w:rPr>
                <w:color w:val="auto"/>
                <w:sz w:val="14"/>
                <w:szCs w:val="14"/>
              </w:rPr>
            </w:pPr>
            <w:r w:rsidRPr="000C3431">
              <w:rPr>
                <w:color w:val="auto"/>
                <w:sz w:val="14"/>
                <w:szCs w:val="14"/>
              </w:rPr>
              <w:t>Source: Finance Department SBP</w:t>
            </w:r>
          </w:p>
        </w:tc>
      </w:tr>
      <w:tr w:rsidR="003370AC"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3370AC" w:rsidRPr="000C3431" w:rsidRDefault="003370AC" w:rsidP="003370AC">
            <w:pPr>
              <w:jc w:val="left"/>
              <w:rPr>
                <w:color w:val="auto"/>
                <w:sz w:val="14"/>
                <w:szCs w:val="14"/>
              </w:rPr>
            </w:pPr>
            <w:r w:rsidRPr="000C3431">
              <w:rPr>
                <w:color w:val="auto"/>
                <w:sz w:val="14"/>
                <w:szCs w:val="14"/>
              </w:rPr>
              <w:t xml:space="preserve">2.  Approved Foreign Exchanges includes SDR  held  with  IMF  </w:t>
            </w:r>
            <w:proofErr w:type="spellStart"/>
            <w:r w:rsidRPr="000C3431">
              <w:rPr>
                <w:color w:val="auto"/>
                <w:sz w:val="14"/>
                <w:szCs w:val="14"/>
              </w:rPr>
              <w:t>w.e.f</w:t>
            </w:r>
            <w:proofErr w:type="spellEnd"/>
            <w:r w:rsidRPr="000C3431">
              <w:rPr>
                <w:color w:val="auto"/>
                <w:sz w:val="14"/>
                <w:szCs w:val="14"/>
              </w:rPr>
              <w:t xml:space="preserve">  June 2004</w:t>
            </w:r>
          </w:p>
        </w:tc>
      </w:tr>
      <w:tr w:rsidR="003370AC"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3370AC" w:rsidRPr="000C3431" w:rsidRDefault="003370AC" w:rsidP="003370AC">
            <w:pPr>
              <w:jc w:val="left"/>
              <w:rPr>
                <w:color w:val="auto"/>
                <w:sz w:val="14"/>
                <w:szCs w:val="14"/>
              </w:rPr>
            </w:pPr>
            <w:r w:rsidRPr="000C3431">
              <w:rPr>
                <w:color w:val="auto"/>
                <w:sz w:val="14"/>
                <w:szCs w:val="14"/>
              </w:rPr>
              <w:t>3.  Receivable from Reserve Bank of India.</w:t>
            </w:r>
          </w:p>
        </w:tc>
      </w:tr>
    </w:tbl>
    <w:p w:rsidR="008B2948" w:rsidRPr="00D5469A" w:rsidRDefault="008B2948"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CE7FA4" w:rsidRDefault="00CE7FA4" w:rsidP="0069571C">
      <w:pPr>
        <w:pStyle w:val="Footer"/>
        <w:tabs>
          <w:tab w:val="clear" w:pos="4320"/>
          <w:tab w:val="clear" w:pos="8640"/>
        </w:tabs>
        <w:ind w:left="1440"/>
        <w:rPr>
          <w:color w:val="auto"/>
        </w:rPr>
      </w:pPr>
    </w:p>
    <w:tbl>
      <w:tblPr>
        <w:tblW w:w="11129" w:type="dxa"/>
        <w:jc w:val="center"/>
        <w:tblLook w:val="04A0"/>
      </w:tblPr>
      <w:tblGrid>
        <w:gridCol w:w="3224"/>
        <w:gridCol w:w="759"/>
        <w:gridCol w:w="951"/>
        <w:gridCol w:w="901"/>
        <w:gridCol w:w="900"/>
        <w:gridCol w:w="810"/>
        <w:gridCol w:w="900"/>
        <w:gridCol w:w="899"/>
        <w:gridCol w:w="902"/>
        <w:gridCol w:w="883"/>
      </w:tblGrid>
      <w:tr w:rsidR="0000246F" w:rsidRPr="0000246F" w:rsidTr="00AA2E5E">
        <w:trPr>
          <w:trHeight w:val="375"/>
          <w:jc w:val="center"/>
        </w:trPr>
        <w:tc>
          <w:tcPr>
            <w:tcW w:w="11129"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AA2E5E">
        <w:trPr>
          <w:trHeight w:val="315"/>
          <w:jc w:val="center"/>
        </w:trPr>
        <w:tc>
          <w:tcPr>
            <w:tcW w:w="11129"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AA2E5E">
        <w:trPr>
          <w:trHeight w:val="207"/>
          <w:jc w:val="center"/>
        </w:trPr>
        <w:tc>
          <w:tcPr>
            <w:tcW w:w="11129"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F1208E" w:rsidRPr="0000246F" w:rsidTr="00447293">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F1208E" w:rsidRPr="0000246F" w:rsidRDefault="00F1208E" w:rsidP="0000246F">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F1208E" w:rsidRPr="0000246F" w:rsidRDefault="00F1208E" w:rsidP="00AA2E5E">
            <w:pPr>
              <w:rPr>
                <w:b/>
                <w:bCs/>
                <w:color w:val="auto"/>
                <w:szCs w:val="16"/>
              </w:rPr>
            </w:pPr>
            <w:r>
              <w:rPr>
                <w:b/>
                <w:bCs/>
                <w:color w:val="auto"/>
                <w:szCs w:val="16"/>
              </w:rPr>
              <w:t>FY15</w:t>
            </w:r>
          </w:p>
        </w:tc>
        <w:tc>
          <w:tcPr>
            <w:tcW w:w="951" w:type="dxa"/>
            <w:vMerge w:val="restart"/>
            <w:tcBorders>
              <w:top w:val="single" w:sz="12" w:space="0" w:color="auto"/>
              <w:left w:val="single" w:sz="4" w:space="0" w:color="auto"/>
              <w:right w:val="single" w:sz="4" w:space="0" w:color="auto"/>
            </w:tcBorders>
            <w:shd w:val="clear" w:color="auto" w:fill="auto"/>
            <w:noWrap/>
            <w:vAlign w:val="center"/>
            <w:hideMark/>
          </w:tcPr>
          <w:p w:rsidR="00F1208E" w:rsidRPr="0000246F" w:rsidRDefault="00F1208E" w:rsidP="00AA2E5E">
            <w:pPr>
              <w:rPr>
                <w:b/>
                <w:bCs/>
                <w:color w:val="auto"/>
                <w:szCs w:val="16"/>
              </w:rPr>
            </w:pPr>
            <w:r>
              <w:rPr>
                <w:b/>
                <w:bCs/>
                <w:color w:val="auto"/>
                <w:szCs w:val="16"/>
              </w:rPr>
              <w:t>FY16</w:t>
            </w:r>
          </w:p>
        </w:tc>
        <w:tc>
          <w:tcPr>
            <w:tcW w:w="901" w:type="dxa"/>
            <w:vMerge w:val="restart"/>
            <w:tcBorders>
              <w:top w:val="single" w:sz="12" w:space="0" w:color="auto"/>
              <w:left w:val="single" w:sz="4" w:space="0" w:color="auto"/>
              <w:right w:val="single" w:sz="4" w:space="0" w:color="auto"/>
            </w:tcBorders>
            <w:shd w:val="clear" w:color="auto" w:fill="auto"/>
            <w:vAlign w:val="center"/>
          </w:tcPr>
          <w:p w:rsidR="00F1208E" w:rsidRPr="0000246F" w:rsidRDefault="00F1208E" w:rsidP="00AA2E5E">
            <w:pPr>
              <w:rPr>
                <w:b/>
                <w:bCs/>
                <w:color w:val="auto"/>
                <w:szCs w:val="16"/>
              </w:rPr>
            </w:pPr>
            <w:r w:rsidRPr="00AA2E5E">
              <w:rPr>
                <w:b/>
                <w:bCs/>
                <w:color w:val="auto"/>
                <w:szCs w:val="16"/>
              </w:rPr>
              <w:t>FY17</w:t>
            </w:r>
          </w:p>
        </w:tc>
        <w:tc>
          <w:tcPr>
            <w:tcW w:w="2610" w:type="dxa"/>
            <w:gridSpan w:val="3"/>
            <w:tcBorders>
              <w:top w:val="single" w:sz="12" w:space="0" w:color="auto"/>
              <w:left w:val="single" w:sz="4" w:space="0" w:color="auto"/>
              <w:bottom w:val="single" w:sz="4" w:space="0" w:color="auto"/>
              <w:right w:val="single" w:sz="4" w:space="0" w:color="auto"/>
            </w:tcBorders>
            <w:shd w:val="clear" w:color="auto" w:fill="auto"/>
            <w:vAlign w:val="bottom"/>
          </w:tcPr>
          <w:p w:rsidR="00F1208E" w:rsidRPr="0000246F" w:rsidRDefault="00F1208E" w:rsidP="0000246F">
            <w:pPr>
              <w:rPr>
                <w:b/>
                <w:bCs/>
                <w:color w:val="auto"/>
                <w:szCs w:val="16"/>
              </w:rPr>
            </w:pPr>
            <w:r>
              <w:rPr>
                <w:b/>
                <w:bCs/>
                <w:color w:val="auto"/>
                <w:szCs w:val="16"/>
              </w:rPr>
              <w:t>2017</w:t>
            </w:r>
          </w:p>
        </w:tc>
        <w:tc>
          <w:tcPr>
            <w:tcW w:w="2684" w:type="dxa"/>
            <w:gridSpan w:val="3"/>
            <w:tcBorders>
              <w:top w:val="single" w:sz="12" w:space="0" w:color="auto"/>
              <w:left w:val="single" w:sz="4" w:space="0" w:color="auto"/>
              <w:bottom w:val="single" w:sz="4" w:space="0" w:color="auto"/>
              <w:right w:val="nil"/>
            </w:tcBorders>
            <w:shd w:val="clear" w:color="auto" w:fill="auto"/>
            <w:vAlign w:val="bottom"/>
          </w:tcPr>
          <w:p w:rsidR="00F1208E" w:rsidRPr="0000246F" w:rsidRDefault="00F1208E" w:rsidP="0000246F">
            <w:pPr>
              <w:rPr>
                <w:b/>
                <w:bCs/>
                <w:color w:val="auto"/>
                <w:szCs w:val="16"/>
              </w:rPr>
            </w:pPr>
            <w:r>
              <w:rPr>
                <w:b/>
                <w:bCs/>
                <w:color w:val="auto"/>
                <w:szCs w:val="16"/>
              </w:rPr>
              <w:t>2018</w:t>
            </w:r>
          </w:p>
        </w:tc>
      </w:tr>
      <w:tr w:rsidR="00447293" w:rsidRPr="0000246F" w:rsidTr="00447293">
        <w:trPr>
          <w:trHeight w:val="240"/>
          <w:jc w:val="center"/>
        </w:trPr>
        <w:tc>
          <w:tcPr>
            <w:tcW w:w="3224" w:type="dxa"/>
            <w:vMerge/>
            <w:tcBorders>
              <w:top w:val="nil"/>
              <w:left w:val="nil"/>
              <w:bottom w:val="single" w:sz="12" w:space="0" w:color="000000"/>
              <w:right w:val="single" w:sz="4" w:space="0" w:color="auto"/>
            </w:tcBorders>
            <w:vAlign w:val="center"/>
            <w:hideMark/>
          </w:tcPr>
          <w:p w:rsidR="00447293" w:rsidRPr="0000246F" w:rsidRDefault="00447293" w:rsidP="00447293">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47293" w:rsidRPr="006619BF" w:rsidRDefault="00447293" w:rsidP="00447293">
            <w:pPr>
              <w:jc w:val="right"/>
              <w:rPr>
                <w:b/>
                <w:bCs/>
                <w:color w:val="auto"/>
                <w:sz w:val="14"/>
                <w:szCs w:val="14"/>
              </w:rPr>
            </w:pPr>
          </w:p>
        </w:tc>
        <w:tc>
          <w:tcPr>
            <w:tcW w:w="951"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47293" w:rsidRPr="006619BF" w:rsidRDefault="00447293" w:rsidP="00447293">
            <w:pPr>
              <w:jc w:val="right"/>
              <w:rPr>
                <w:b/>
                <w:bCs/>
                <w:color w:val="auto"/>
                <w:sz w:val="14"/>
                <w:szCs w:val="14"/>
              </w:rPr>
            </w:pPr>
          </w:p>
        </w:tc>
        <w:tc>
          <w:tcPr>
            <w:tcW w:w="901"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47293" w:rsidRPr="006619BF" w:rsidRDefault="00447293" w:rsidP="00447293">
            <w:pPr>
              <w:jc w:val="right"/>
              <w:rPr>
                <w:b/>
                <w:bCs/>
                <w:color w:val="auto"/>
                <w:sz w:val="14"/>
                <w:szCs w:val="14"/>
              </w:rPr>
            </w:pPr>
          </w:p>
        </w:tc>
        <w:tc>
          <w:tcPr>
            <w:tcW w:w="90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447293" w:rsidRPr="006619BF" w:rsidRDefault="00447293" w:rsidP="00447293">
            <w:pPr>
              <w:jc w:val="right"/>
              <w:rPr>
                <w:b/>
                <w:color w:val="auto"/>
                <w:sz w:val="14"/>
                <w:szCs w:val="14"/>
              </w:rPr>
            </w:pPr>
            <w:r>
              <w:rPr>
                <w:b/>
                <w:color w:val="auto"/>
                <w:sz w:val="14"/>
                <w:szCs w:val="14"/>
              </w:rPr>
              <w:t>Feb</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447293" w:rsidRPr="006619BF" w:rsidRDefault="00447293" w:rsidP="00447293">
            <w:pPr>
              <w:jc w:val="right"/>
              <w:rPr>
                <w:b/>
                <w:color w:val="auto"/>
                <w:sz w:val="14"/>
                <w:szCs w:val="14"/>
              </w:rPr>
            </w:pPr>
            <w:r>
              <w:rPr>
                <w:b/>
                <w:color w:val="auto"/>
                <w:sz w:val="14"/>
                <w:szCs w:val="14"/>
              </w:rPr>
              <w:t>Mar</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47293" w:rsidRPr="006619BF" w:rsidRDefault="00447293" w:rsidP="00447293">
            <w:pPr>
              <w:jc w:val="right"/>
              <w:rPr>
                <w:b/>
                <w:color w:val="auto"/>
                <w:sz w:val="14"/>
                <w:szCs w:val="14"/>
              </w:rPr>
            </w:pPr>
            <w:r>
              <w:rPr>
                <w:b/>
                <w:color w:val="auto"/>
                <w:sz w:val="14"/>
                <w:szCs w:val="14"/>
              </w:rPr>
              <w:t>Dec</w:t>
            </w:r>
          </w:p>
        </w:tc>
        <w:tc>
          <w:tcPr>
            <w:tcW w:w="899"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447293" w:rsidRPr="006619BF" w:rsidRDefault="00447293" w:rsidP="00447293">
            <w:pPr>
              <w:jc w:val="right"/>
              <w:rPr>
                <w:b/>
                <w:color w:val="auto"/>
                <w:sz w:val="14"/>
                <w:szCs w:val="14"/>
              </w:rPr>
            </w:pPr>
            <w:r>
              <w:rPr>
                <w:b/>
                <w:color w:val="auto"/>
                <w:sz w:val="14"/>
                <w:szCs w:val="14"/>
              </w:rPr>
              <w:t>Jan</w:t>
            </w:r>
          </w:p>
        </w:tc>
        <w:tc>
          <w:tcPr>
            <w:tcW w:w="902" w:type="dxa"/>
            <w:tcBorders>
              <w:top w:val="single" w:sz="4" w:space="0" w:color="auto"/>
              <w:bottom w:val="single" w:sz="12" w:space="0" w:color="auto"/>
            </w:tcBorders>
            <w:shd w:val="clear" w:color="auto" w:fill="auto"/>
            <w:noWrap/>
            <w:tcMar>
              <w:left w:w="43" w:type="dxa"/>
              <w:right w:w="43" w:type="dxa"/>
            </w:tcMar>
            <w:vAlign w:val="center"/>
            <w:hideMark/>
          </w:tcPr>
          <w:p w:rsidR="00447293" w:rsidRPr="006619BF" w:rsidRDefault="00447293" w:rsidP="00447293">
            <w:pPr>
              <w:jc w:val="right"/>
              <w:rPr>
                <w:b/>
                <w:color w:val="auto"/>
                <w:sz w:val="14"/>
                <w:szCs w:val="14"/>
              </w:rPr>
            </w:pPr>
            <w:r>
              <w:rPr>
                <w:b/>
                <w:color w:val="auto"/>
                <w:sz w:val="14"/>
                <w:szCs w:val="14"/>
              </w:rPr>
              <w:t>Feb</w:t>
            </w:r>
          </w:p>
        </w:tc>
        <w:tc>
          <w:tcPr>
            <w:tcW w:w="883" w:type="dxa"/>
            <w:tcBorders>
              <w:top w:val="single" w:sz="4" w:space="0" w:color="auto"/>
              <w:bottom w:val="single" w:sz="12" w:space="0" w:color="auto"/>
              <w:right w:val="nil"/>
            </w:tcBorders>
            <w:shd w:val="clear" w:color="auto" w:fill="auto"/>
            <w:noWrap/>
            <w:tcMar>
              <w:left w:w="43" w:type="dxa"/>
              <w:right w:w="43" w:type="dxa"/>
            </w:tcMar>
            <w:vAlign w:val="center"/>
            <w:hideMark/>
          </w:tcPr>
          <w:p w:rsidR="00447293" w:rsidRPr="006619BF" w:rsidRDefault="00447293" w:rsidP="00447293">
            <w:pPr>
              <w:jc w:val="right"/>
              <w:rPr>
                <w:b/>
                <w:color w:val="auto"/>
                <w:sz w:val="14"/>
                <w:szCs w:val="14"/>
              </w:rPr>
            </w:pPr>
            <w:r>
              <w:rPr>
                <w:b/>
                <w:color w:val="auto"/>
                <w:sz w:val="14"/>
                <w:szCs w:val="14"/>
              </w:rPr>
              <w:t xml:space="preserve">Mar </w:t>
            </w:r>
            <w:r w:rsidRPr="00D37119">
              <w:rPr>
                <w:b/>
                <w:color w:val="auto"/>
                <w:sz w:val="14"/>
                <w:szCs w:val="14"/>
                <w:vertAlign w:val="superscript"/>
              </w:rPr>
              <w:t>P</w:t>
            </w:r>
          </w:p>
        </w:tc>
      </w:tr>
      <w:tr w:rsidR="00447293" w:rsidRPr="0000246F" w:rsidTr="00AA2E5E">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47293" w:rsidRPr="0000246F" w:rsidRDefault="00447293" w:rsidP="00447293">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447293" w:rsidRPr="0000246F" w:rsidRDefault="00447293" w:rsidP="00447293">
            <w:pPr>
              <w:jc w:val="right"/>
              <w:rPr>
                <w:rFonts w:ascii="Calibri" w:hAnsi="Calibri"/>
                <w:sz w:val="22"/>
                <w:szCs w:val="22"/>
              </w:rPr>
            </w:pPr>
          </w:p>
        </w:tc>
        <w:tc>
          <w:tcPr>
            <w:tcW w:w="951" w:type="dxa"/>
            <w:tcBorders>
              <w:top w:val="nil"/>
              <w:left w:val="nil"/>
              <w:bottom w:val="nil"/>
              <w:right w:val="nil"/>
            </w:tcBorders>
            <w:shd w:val="clear" w:color="auto" w:fill="auto"/>
            <w:noWrap/>
            <w:tcMar>
              <w:left w:w="43" w:type="dxa"/>
              <w:right w:w="43" w:type="dxa"/>
            </w:tcMar>
            <w:vAlign w:val="center"/>
            <w:hideMark/>
          </w:tcPr>
          <w:p w:rsidR="00447293" w:rsidRPr="0000246F" w:rsidRDefault="00447293" w:rsidP="00447293">
            <w:pPr>
              <w:jc w:val="right"/>
              <w:rPr>
                <w:rFonts w:ascii="Calibri" w:hAnsi="Calibri"/>
                <w:sz w:val="22"/>
                <w:szCs w:val="22"/>
              </w:rPr>
            </w:pPr>
          </w:p>
        </w:tc>
        <w:tc>
          <w:tcPr>
            <w:tcW w:w="901" w:type="dxa"/>
            <w:tcBorders>
              <w:top w:val="nil"/>
              <w:left w:val="nil"/>
              <w:bottom w:val="nil"/>
              <w:right w:val="nil"/>
            </w:tcBorders>
            <w:shd w:val="clear" w:color="auto" w:fill="auto"/>
            <w:noWrap/>
            <w:tcMar>
              <w:left w:w="43" w:type="dxa"/>
              <w:right w:w="43" w:type="dxa"/>
            </w:tcMar>
            <w:vAlign w:val="center"/>
            <w:hideMark/>
          </w:tcPr>
          <w:p w:rsidR="00447293" w:rsidRPr="0000246F" w:rsidRDefault="00447293" w:rsidP="00447293">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447293" w:rsidRPr="0000246F" w:rsidRDefault="00447293" w:rsidP="00447293">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447293" w:rsidRPr="0000246F" w:rsidRDefault="00447293" w:rsidP="00447293">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447293" w:rsidRPr="0000246F" w:rsidRDefault="00447293" w:rsidP="00447293">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447293" w:rsidRPr="0000246F" w:rsidRDefault="00447293" w:rsidP="00447293">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447293" w:rsidRPr="0000246F" w:rsidRDefault="00447293" w:rsidP="00447293">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447293" w:rsidRPr="0000246F" w:rsidRDefault="00447293" w:rsidP="00447293">
            <w:pPr>
              <w:jc w:val="right"/>
              <w:rPr>
                <w:rFonts w:ascii="Calibri" w:hAnsi="Calibri"/>
                <w:sz w:val="22"/>
                <w:szCs w:val="22"/>
              </w:rPr>
            </w:pP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100.0</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100.0</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100.0</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100.0</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100.0</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100.0</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100.0</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100.0</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164,644.2</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164,644.2</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89,364.5</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166,735.7</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166,735.7</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103,135.7</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103,135.7</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103,135.7</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103,135.7</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2,600.0</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2,600.0</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2,600.0</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2,600.0</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2,600.0</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2,600.0</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2,600.0</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2,600.0</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1,600.0</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1,600.0</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1,600.0</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1,600.0</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1,600.0</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1,600.0</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1,600.0</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1,600.0</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1,500.0</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1,500.0</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1,500.0</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1,500.0</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1,500.0</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1,500.0</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1,500.0</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1,500.0</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900.0</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900.0</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900.0</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900.0</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900.0</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900.0</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900.0</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900.0</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4,700.0</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4,700.0</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4,700.0</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4,700.0</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4,700.0</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4,700.0</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4,700.0</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4,700.0</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jc w:val="left"/>
              <w:rPr>
                <w:color w:val="auto"/>
                <w:sz w:val="14"/>
              </w:rPr>
            </w:pPr>
            <w:r>
              <w:rPr>
                <w:b/>
                <w:bCs/>
                <w:color w:val="auto"/>
                <w:sz w:val="14"/>
                <w:szCs w:val="14"/>
              </w:rPr>
              <w:t xml:space="preserve">      </w:t>
            </w:r>
            <w:r w:rsidRPr="0000246F">
              <w:rPr>
                <w:b/>
                <w:bCs/>
                <w:color w:val="auto"/>
                <w:sz w:val="14"/>
                <w:szCs w:val="14"/>
              </w:rPr>
              <w:t xml:space="preserve">D  e  p  o  s  </w:t>
            </w:r>
            <w:proofErr w:type="spellStart"/>
            <w:r w:rsidRPr="0000246F">
              <w:rPr>
                <w:b/>
                <w:bCs/>
                <w:color w:val="auto"/>
                <w:sz w:val="14"/>
                <w:szCs w:val="14"/>
              </w:rPr>
              <w:t>i</w:t>
            </w:r>
            <w:proofErr w:type="spellEnd"/>
            <w:r w:rsidRPr="0000246F">
              <w:rPr>
                <w:b/>
                <w:bCs/>
                <w:color w:val="auto"/>
                <w:sz w:val="14"/>
                <w:szCs w:val="14"/>
              </w:rPr>
              <w:t xml:space="preserve">  t  s</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1,683,910.8</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b/>
                <w:bCs/>
                <w:sz w:val="14"/>
                <w:szCs w:val="14"/>
              </w:rPr>
            </w:pPr>
            <w:r>
              <w:rPr>
                <w:b/>
                <w:bCs/>
                <w:sz w:val="14"/>
                <w:szCs w:val="14"/>
              </w:rPr>
              <w:t>2,139,515.0</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b/>
                <w:bCs/>
                <w:sz w:val="14"/>
                <w:szCs w:val="14"/>
              </w:rPr>
            </w:pPr>
            <w:r>
              <w:rPr>
                <w:b/>
                <w:bCs/>
                <w:sz w:val="14"/>
                <w:szCs w:val="14"/>
              </w:rPr>
              <w:t>1,931,266.0</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2,214,968.3</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b/>
                <w:bCs/>
                <w:sz w:val="14"/>
                <w:szCs w:val="14"/>
              </w:rPr>
            </w:pPr>
            <w:r>
              <w:rPr>
                <w:b/>
                <w:bCs/>
                <w:sz w:val="14"/>
                <w:szCs w:val="14"/>
              </w:rPr>
              <w:t>2,193,945.6</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2,268,751.2</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2,179,969.7</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2,767,465.0</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b/>
                <w:bCs/>
                <w:sz w:val="14"/>
                <w:szCs w:val="14"/>
              </w:rPr>
            </w:pPr>
            <w:r>
              <w:rPr>
                <w:b/>
                <w:bCs/>
                <w:sz w:val="14"/>
                <w:szCs w:val="14"/>
              </w:rPr>
              <w:t>2,337,665.1</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281,387.4</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216,499.2</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76,078.5</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274,629.4</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139,944.4</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12,947.6</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21,713.3</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613,179.7</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22,171.0</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rPr>
              <w:t xml:space="preserve">Provincial </w:t>
            </w:r>
            <w:proofErr w:type="spellStart"/>
            <w:r w:rsidRPr="0000246F">
              <w:rPr>
                <w:color w:val="auto"/>
                <w:sz w:val="14"/>
              </w:rPr>
              <w:t>Govts</w:t>
            </w:r>
            <w:proofErr w:type="spellEnd"/>
            <w:r w:rsidRPr="0000246F">
              <w:rPr>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197,948.1</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359,375.3</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102,523.4</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324,642.1</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410,142.6</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317,460.4</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282,804.0</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295,389.0</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264,864.0</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565,281.2</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540,575.6</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669,337.5</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558,440.3</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587,977.1</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778,451.7</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714,907.0</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674,214.0</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823,292.0</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639,294.1</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1,023,064.9</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1,083,326.5</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1,057,256.5</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1,055,881.6</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1,159,891.4</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1,160,545.5</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1,184,682.3</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1,227,338.1</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141,492.2</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147,294.1</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144,193.0</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140,071.6</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140,968.3</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155,193.7</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158,984.9</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158,314.6</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165,991.8</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628.3</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536.3</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630.5</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519.2</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641.9</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603.0</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1,037.8</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715.8</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608.0</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100" w:firstLine="140"/>
              <w:jc w:val="left"/>
              <w:rPr>
                <w:color w:val="auto"/>
                <w:sz w:val="14"/>
                <w:szCs w:val="14"/>
              </w:rPr>
            </w:pPr>
            <w:r w:rsidRPr="0000246F">
              <w:rPr>
                <w:color w:val="auto"/>
                <w:sz w:val="14"/>
              </w:rPr>
              <w:t>Re-</w:t>
            </w:r>
            <w:proofErr w:type="spellStart"/>
            <w:r w:rsidRPr="0000246F">
              <w:rPr>
                <w:color w:val="auto"/>
                <w:sz w:val="14"/>
              </w:rPr>
              <w:t>valuation</w:t>
            </w:r>
            <w:proofErr w:type="spellEnd"/>
            <w:r w:rsidRPr="0000246F">
              <w:rPr>
                <w:color w:val="auto"/>
                <w:sz w:val="14"/>
              </w:rPr>
              <w:t xml:space="preserve"> Account</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310,862.6</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320,064.4</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358,755.3</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381,529.7</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388,182.1</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368,814.6</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368,814.6</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380,315.4</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391,452.7</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981,564.4</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656,529.6</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453,416.0</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569,420.6</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602,271.7</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557,446.7</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563,346.6</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574,809.6</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678,354.6</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3,294,502.5</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b/>
                <w:bCs/>
                <w:sz w:val="14"/>
                <w:szCs w:val="14"/>
              </w:rPr>
            </w:pPr>
            <w:r>
              <w:rPr>
                <w:b/>
                <w:bCs/>
                <w:sz w:val="14"/>
                <w:szCs w:val="14"/>
              </w:rPr>
              <w:t>3,439,983.6</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b/>
                <w:bCs/>
                <w:sz w:val="14"/>
                <w:szCs w:val="14"/>
              </w:rPr>
            </w:pPr>
            <w:r>
              <w:rPr>
                <w:b/>
                <w:bCs/>
                <w:sz w:val="14"/>
                <w:szCs w:val="14"/>
              </w:rPr>
              <w:t>2,989,025.2</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b/>
                <w:bCs/>
                <w:sz w:val="14"/>
                <w:szCs w:val="14"/>
              </w:rPr>
            </w:pPr>
            <w:r>
              <w:rPr>
                <w:b/>
                <w:bCs/>
                <w:sz w:val="14"/>
                <w:szCs w:val="14"/>
              </w:rPr>
              <w:t>3,484,645.2</w:t>
            </w:r>
          </w:p>
        </w:tc>
        <w:tc>
          <w:tcPr>
            <w:tcW w:w="810"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b/>
                <w:bCs/>
                <w:sz w:val="14"/>
                <w:szCs w:val="14"/>
              </w:rPr>
            </w:pPr>
            <w:r>
              <w:rPr>
                <w:b/>
                <w:bCs/>
                <w:sz w:val="14"/>
                <w:szCs w:val="14"/>
              </w:rPr>
              <w:t>3,504,145.2</w:t>
            </w:r>
          </w:p>
        </w:tc>
        <w:tc>
          <w:tcPr>
            <w:tcW w:w="900"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b/>
                <w:bCs/>
                <w:sz w:val="14"/>
                <w:szCs w:val="14"/>
              </w:rPr>
            </w:pPr>
            <w:r>
              <w:rPr>
                <w:b/>
                <w:bCs/>
                <w:sz w:val="14"/>
                <w:szCs w:val="14"/>
              </w:rPr>
              <w:t>3,465,345.0</w:t>
            </w:r>
          </w:p>
        </w:tc>
        <w:tc>
          <w:tcPr>
            <w:tcW w:w="899"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b/>
                <w:bCs/>
                <w:sz w:val="14"/>
                <w:szCs w:val="14"/>
              </w:rPr>
            </w:pPr>
            <w:r>
              <w:rPr>
                <w:b/>
                <w:bCs/>
                <w:sz w:val="14"/>
                <w:szCs w:val="14"/>
              </w:rPr>
              <w:t>3,386,689.3</w:t>
            </w:r>
          </w:p>
        </w:tc>
        <w:tc>
          <w:tcPr>
            <w:tcW w:w="902"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b/>
                <w:bCs/>
                <w:sz w:val="14"/>
                <w:szCs w:val="14"/>
              </w:rPr>
            </w:pPr>
            <w:r>
              <w:rPr>
                <w:b/>
                <w:bCs/>
                <w:sz w:val="14"/>
                <w:szCs w:val="14"/>
              </w:rPr>
              <w:t>3,996,156.0</w:t>
            </w:r>
          </w:p>
        </w:tc>
        <w:tc>
          <w:tcPr>
            <w:tcW w:w="883" w:type="dxa"/>
            <w:tcBorders>
              <w:top w:val="nil"/>
              <w:left w:val="nil"/>
              <w:bottom w:val="nil"/>
              <w:right w:val="nil"/>
            </w:tcBorders>
            <w:shd w:val="clear" w:color="auto" w:fill="auto"/>
            <w:tcMar>
              <w:left w:w="43" w:type="dxa"/>
              <w:right w:w="43" w:type="dxa"/>
            </w:tcMar>
            <w:vAlign w:val="center"/>
            <w:hideMark/>
          </w:tcPr>
          <w:p w:rsidR="00423286" w:rsidRDefault="00423286" w:rsidP="00423286">
            <w:pPr>
              <w:jc w:val="right"/>
              <w:rPr>
                <w:b/>
                <w:bCs/>
                <w:sz w:val="14"/>
                <w:szCs w:val="14"/>
              </w:rPr>
            </w:pPr>
            <w:r>
              <w:rPr>
                <w:b/>
                <w:bCs/>
                <w:sz w:val="14"/>
                <w:szCs w:val="14"/>
              </w:rPr>
              <w:t>3,688,607.8</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jc w:val="left"/>
              <w:rPr>
                <w:b/>
                <w:bCs/>
                <w:color w:val="auto"/>
                <w:sz w:val="14"/>
                <w:szCs w:val="14"/>
              </w:rPr>
            </w:pPr>
            <w:r w:rsidRPr="0000246F">
              <w:rPr>
                <w:b/>
                <w:bCs/>
                <w:color w:val="auto"/>
                <w:sz w:val="14"/>
                <w:szCs w:val="14"/>
              </w:rPr>
              <w:t xml:space="preserve">A  S  </w:t>
            </w:r>
            <w:proofErr w:type="spellStart"/>
            <w:r w:rsidRPr="0000246F">
              <w:rPr>
                <w:b/>
                <w:bCs/>
                <w:color w:val="auto"/>
                <w:sz w:val="14"/>
                <w:szCs w:val="14"/>
              </w:rPr>
              <w:t>S</w:t>
            </w:r>
            <w:proofErr w:type="spellEnd"/>
            <w:r w:rsidRPr="0000246F">
              <w:rPr>
                <w:b/>
                <w:bCs/>
                <w:color w:val="auto"/>
                <w:sz w:val="14"/>
                <w:szCs w:val="14"/>
              </w:rPr>
              <w:t xml:space="preserve">  E  T  S</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rFonts w:ascii="Calibri" w:hAnsi="Calibri"/>
                <w:sz w:val="22"/>
                <w:szCs w:val="22"/>
              </w:rPr>
            </w:pPr>
          </w:p>
        </w:tc>
        <w:tc>
          <w:tcPr>
            <w:tcW w:w="951"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rFonts w:ascii="Calibri" w:hAnsi="Calibri"/>
                <w:sz w:val="22"/>
                <w:szCs w:val="22"/>
              </w:rPr>
            </w:pPr>
          </w:p>
        </w:tc>
        <w:tc>
          <w:tcPr>
            <w:tcW w:w="901"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rFonts w:ascii="Calibri" w:hAnsi="Calibri"/>
                <w:sz w:val="22"/>
                <w:szCs w:val="22"/>
              </w:rPr>
            </w:pP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102.3</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106.0</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111.4</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182.2</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100.9</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185.4</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143.8</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119.8</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144.5</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37.0</w:t>
            </w:r>
          </w:p>
        </w:tc>
        <w:tc>
          <w:tcPr>
            <w:tcW w:w="951"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37.0</w:t>
            </w:r>
          </w:p>
        </w:tc>
        <w:tc>
          <w:tcPr>
            <w:tcW w:w="901"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37.0</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37.0</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b/>
                <w:bCs/>
                <w:sz w:val="14"/>
                <w:szCs w:val="14"/>
              </w:rPr>
            </w:pPr>
            <w:r>
              <w:rPr>
                <w:b/>
                <w:bCs/>
                <w:sz w:val="14"/>
                <w:szCs w:val="14"/>
              </w:rPr>
              <w:t>37.0</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37.0</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37.0</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3.6</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b/>
                <w:bCs/>
                <w:sz w:val="14"/>
                <w:szCs w:val="14"/>
              </w:rPr>
            </w:pPr>
            <w:r>
              <w:rPr>
                <w:b/>
                <w:bCs/>
                <w:sz w:val="14"/>
                <w:szCs w:val="14"/>
              </w:rPr>
              <w:t>3.6</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3.6</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3.6</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3.6</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3.6</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3.6</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3.6</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3.6</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3.6</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33.4</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33.4</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33.4</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33.4</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33.4</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33.4</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33.4</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716,836.6</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691,787.5</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271,214.7</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835,201.5</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926,507.4</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584,556.2</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995,572.1</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1,004,843.9</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1,104,813.7</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65,369.8</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16,953.8</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12,606.0</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14,822.4</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14,917.3</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6,917.1</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7,086.1</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3,314.5</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3,475.2</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3,779.1</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994.3</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7,279.2</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580.0</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4,078.1</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2,691.8</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30,466.0</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26,524.7</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29,785.9</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321,428.4</w:t>
            </w:r>
          </w:p>
        </w:tc>
        <w:tc>
          <w:tcPr>
            <w:tcW w:w="951"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311,341.2</w:t>
            </w:r>
          </w:p>
        </w:tc>
        <w:tc>
          <w:tcPr>
            <w:tcW w:w="901"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335,148.9</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377,602.7</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b/>
                <w:bCs/>
                <w:sz w:val="14"/>
                <w:szCs w:val="14"/>
              </w:rPr>
            </w:pPr>
            <w:r>
              <w:rPr>
                <w:b/>
                <w:bCs/>
                <w:sz w:val="14"/>
                <w:szCs w:val="14"/>
              </w:rPr>
              <w:t>381,700.3</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414,238.7</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419,422.2</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416,418.4</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b/>
                <w:bCs/>
                <w:sz w:val="14"/>
                <w:szCs w:val="14"/>
              </w:rPr>
            </w:pPr>
            <w:r>
              <w:rPr>
                <w:b/>
                <w:bCs/>
                <w:sz w:val="14"/>
                <w:szCs w:val="14"/>
              </w:rPr>
              <w:t>419,813.7</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52,041.1</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51,769.3</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1,216.6</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51,484.0</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51,463.5</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997.0</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913.6</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935.8</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936.4</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40,298.4</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42,215.3</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79,195.9</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66,471.5</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70,949.7</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97,651.4</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99,556.7</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103,062.5</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106,253.9</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195,115.6</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201,263.3</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238,383.0</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243,395.5</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242,984.0</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299,179.2</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302,481.3</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296,154.7</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296,357.6</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20"/>
              </w:rPr>
            </w:pPr>
            <w:r>
              <w:rPr>
                <w:sz w:val="20"/>
              </w:rPr>
              <w:t>-</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20"/>
              </w:rPr>
            </w:pPr>
            <w:r>
              <w:rPr>
                <w:sz w:val="20"/>
              </w:rPr>
              <w:t>-</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20"/>
              </w:rPr>
            </w:pPr>
            <w:r>
              <w:rPr>
                <w:sz w:val="20"/>
              </w:rPr>
              <w:t>-</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20"/>
              </w:rPr>
            </w:pPr>
            <w:r>
              <w:rPr>
                <w:sz w:val="20"/>
              </w:rPr>
              <w:t>-</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20"/>
              </w:rPr>
            </w:pPr>
            <w:r>
              <w:rPr>
                <w:sz w:val="20"/>
              </w:rPr>
              <w:t>-</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20"/>
              </w:rPr>
            </w:pPr>
            <w:r>
              <w:rPr>
                <w:sz w:val="20"/>
              </w:rPr>
              <w:t>-</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20"/>
              </w:rPr>
            </w:pPr>
            <w:r>
              <w:rPr>
                <w:sz w:val="20"/>
              </w:rPr>
              <w:t>-</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20"/>
              </w:rPr>
            </w:pPr>
            <w:r>
              <w:rPr>
                <w:sz w:val="20"/>
              </w:rPr>
              <w:t>-</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33,973.4</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16,093.3</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16,353.3</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16,251.7</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16,303.2</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16,411.1</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16,470.6</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16,265.4</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16,265.8</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14,435.7</w:t>
            </w:r>
          </w:p>
        </w:tc>
        <w:tc>
          <w:tcPr>
            <w:tcW w:w="951"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15,082.0</w:t>
            </w:r>
          </w:p>
        </w:tc>
        <w:tc>
          <w:tcPr>
            <w:tcW w:w="901"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8,250.2</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18,428.5</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b/>
                <w:bCs/>
                <w:sz w:val="14"/>
                <w:szCs w:val="14"/>
              </w:rPr>
            </w:pPr>
            <w:r>
              <w:rPr>
                <w:b/>
                <w:bCs/>
                <w:sz w:val="14"/>
                <w:szCs w:val="14"/>
              </w:rPr>
              <w:t>18,787.3</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8,682.5</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8,961.6</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9,094.3</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b/>
                <w:bCs/>
                <w:sz w:val="14"/>
                <w:szCs w:val="14"/>
              </w:rPr>
            </w:pPr>
            <w:r>
              <w:rPr>
                <w:b/>
                <w:bCs/>
                <w:sz w:val="14"/>
                <w:szCs w:val="14"/>
              </w:rPr>
              <w:t>9,179.9</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109.8</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151.4</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420.9</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443.2</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440.9</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378.1</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396.6</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386.2</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383.7</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3,083.6</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3,688.4</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7,829.3</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6,743.0</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7,104.1</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8,304.5</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8,565.0</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8,708.1</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8,796.3</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11,242.3</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11,242.3</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11,242.3</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11,242.3</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100" w:firstLine="141"/>
              <w:jc w:val="left"/>
              <w:rPr>
                <w:b/>
                <w:bCs/>
                <w:color w:val="auto"/>
                <w:sz w:val="14"/>
                <w:szCs w:val="14"/>
              </w:rPr>
            </w:pPr>
            <w:r w:rsidRPr="0000246F">
              <w:rPr>
                <w:b/>
                <w:bCs/>
                <w:color w:val="auto"/>
                <w:sz w:val="14"/>
              </w:rPr>
              <w:t>Other Loans and Advances (</w:t>
            </w:r>
            <w:proofErr w:type="spellStart"/>
            <w:r w:rsidRPr="0000246F">
              <w:rPr>
                <w:b/>
                <w:bCs/>
                <w:color w:val="auto"/>
                <w:sz w:val="14"/>
              </w:rPr>
              <w:t>a+b</w:t>
            </w:r>
            <w:proofErr w:type="spellEnd"/>
            <w:r w:rsidRPr="0000246F">
              <w:rPr>
                <w:b/>
                <w:bCs/>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335,864.1</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b/>
                <w:bCs/>
                <w:sz w:val="14"/>
                <w:szCs w:val="14"/>
              </w:rPr>
            </w:pPr>
            <w:r>
              <w:rPr>
                <w:b/>
                <w:bCs/>
                <w:sz w:val="14"/>
                <w:szCs w:val="14"/>
              </w:rPr>
              <w:t>326,423.2</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b/>
                <w:bCs/>
                <w:sz w:val="14"/>
                <w:szCs w:val="14"/>
              </w:rPr>
            </w:pPr>
            <w:r>
              <w:rPr>
                <w:b/>
                <w:bCs/>
                <w:sz w:val="14"/>
                <w:szCs w:val="14"/>
              </w:rPr>
              <w:t>343,399.1</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396,031.2</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b/>
                <w:bCs/>
                <w:sz w:val="14"/>
                <w:szCs w:val="14"/>
              </w:rPr>
            </w:pPr>
            <w:r>
              <w:rPr>
                <w:b/>
                <w:bCs/>
                <w:sz w:val="14"/>
                <w:szCs w:val="14"/>
              </w:rPr>
              <w:t>400,487.6</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422,921.3</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428,383.8</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425,512.7</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b/>
                <w:bCs/>
                <w:sz w:val="14"/>
                <w:szCs w:val="14"/>
              </w:rPr>
            </w:pPr>
            <w:r>
              <w:rPr>
                <w:b/>
                <w:bCs/>
                <w:sz w:val="14"/>
                <w:szCs w:val="14"/>
              </w:rPr>
              <w:t>428,993.7</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958,317.0</w:t>
            </w:r>
          </w:p>
        </w:tc>
        <w:tc>
          <w:tcPr>
            <w:tcW w:w="951"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242,272.8</w:t>
            </w:r>
          </w:p>
        </w:tc>
        <w:tc>
          <w:tcPr>
            <w:tcW w:w="901"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350,187.9</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770,221.1</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b/>
                <w:bCs/>
                <w:sz w:val="14"/>
                <w:szCs w:val="14"/>
              </w:rPr>
            </w:pPr>
            <w:r>
              <w:rPr>
                <w:b/>
                <w:bCs/>
                <w:sz w:val="14"/>
                <w:szCs w:val="14"/>
              </w:rPr>
              <w:t>440,833.5</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177,702.6</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418,453.1</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b/>
                <w:bCs/>
                <w:sz w:val="14"/>
                <w:szCs w:val="14"/>
              </w:rPr>
            </w:pPr>
            <w:r>
              <w:rPr>
                <w:b/>
                <w:bCs/>
                <w:sz w:val="14"/>
                <w:szCs w:val="14"/>
              </w:rPr>
              <w:t>415,515.5</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b/>
                <w:bCs/>
                <w:sz w:val="14"/>
                <w:szCs w:val="14"/>
              </w:rPr>
            </w:pPr>
            <w:r>
              <w:rPr>
                <w:b/>
                <w:bCs/>
                <w:sz w:val="14"/>
                <w:szCs w:val="14"/>
              </w:rPr>
              <w:t>1,447,864.1</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80,920.2</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82,648.0</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104,606.5</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119,812.4</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119,460.5</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87,888.1</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87,888.1</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87,888.1</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90,287.9</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3,974.3</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3,974.3</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5,381.6</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3,974.3</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3,974.3</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5,381.6</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5,381.6</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5,381.6</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5,381.6</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872,722.3</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155,007.0</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177,459.0</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645,772.8</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316,742.7</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21,635.4</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262,482.1</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259,546.6</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1,290,803.8</w:t>
            </w:r>
          </w:p>
        </w:tc>
      </w:tr>
      <w:tr w:rsidR="00423286" w:rsidRPr="0000246F" w:rsidTr="00423286">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423286" w:rsidRPr="0000246F" w:rsidRDefault="00423286"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700.2</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643.5</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62,740.8</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661.6</w:t>
            </w:r>
          </w:p>
        </w:tc>
        <w:tc>
          <w:tcPr>
            <w:tcW w:w="810"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656.1</w:t>
            </w:r>
          </w:p>
        </w:tc>
        <w:tc>
          <w:tcPr>
            <w:tcW w:w="900"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62,797.5</w:t>
            </w:r>
          </w:p>
        </w:tc>
        <w:tc>
          <w:tcPr>
            <w:tcW w:w="899"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62,701.4</w:t>
            </w:r>
          </w:p>
        </w:tc>
        <w:tc>
          <w:tcPr>
            <w:tcW w:w="902" w:type="dxa"/>
            <w:tcBorders>
              <w:top w:val="nil"/>
              <w:left w:val="nil"/>
              <w:bottom w:val="nil"/>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62,699.2</w:t>
            </w:r>
          </w:p>
        </w:tc>
        <w:tc>
          <w:tcPr>
            <w:tcW w:w="883" w:type="dxa"/>
            <w:tcBorders>
              <w:top w:val="nil"/>
              <w:left w:val="nil"/>
              <w:bottom w:val="nil"/>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61,390.8</w:t>
            </w:r>
          </w:p>
        </w:tc>
      </w:tr>
      <w:tr w:rsidR="00423286" w:rsidRPr="0000246F" w:rsidTr="00423286">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423286" w:rsidRPr="0000246F" w:rsidRDefault="00423286" w:rsidP="00447293">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1,214,196.7</w:t>
            </w:r>
          </w:p>
        </w:tc>
        <w:tc>
          <w:tcPr>
            <w:tcW w:w="95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2,161,409.1</w:t>
            </w:r>
          </w:p>
        </w:tc>
        <w:tc>
          <w:tcPr>
            <w:tcW w:w="901" w:type="dxa"/>
            <w:tcBorders>
              <w:top w:val="nil"/>
              <w:left w:val="nil"/>
              <w:bottom w:val="nil"/>
              <w:right w:val="nil"/>
            </w:tcBorders>
            <w:shd w:val="clear" w:color="auto" w:fill="auto"/>
            <w:tcMar>
              <w:left w:w="43" w:type="dxa"/>
              <w:right w:w="43" w:type="dxa"/>
            </w:tcMar>
            <w:vAlign w:val="center"/>
            <w:hideMark/>
          </w:tcPr>
          <w:p w:rsidR="00423286" w:rsidRDefault="00423286" w:rsidP="00447293">
            <w:pPr>
              <w:jc w:val="right"/>
              <w:rPr>
                <w:sz w:val="14"/>
                <w:szCs w:val="14"/>
              </w:rPr>
            </w:pPr>
            <w:r>
              <w:rPr>
                <w:sz w:val="14"/>
                <w:szCs w:val="14"/>
              </w:rPr>
              <w:t>2,004,189.9</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1,467,569.8</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1,717,183.4</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2,270,333.8</w:t>
            </w:r>
          </w:p>
        </w:tc>
        <w:tc>
          <w:tcPr>
            <w:tcW w:w="899" w:type="dxa"/>
            <w:tcBorders>
              <w:top w:val="nil"/>
              <w:left w:val="nil"/>
              <w:bottom w:val="single" w:sz="12" w:space="0" w:color="auto"/>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1,506,547.4</w:t>
            </w:r>
          </w:p>
        </w:tc>
        <w:tc>
          <w:tcPr>
            <w:tcW w:w="902" w:type="dxa"/>
            <w:tcBorders>
              <w:top w:val="nil"/>
              <w:left w:val="nil"/>
              <w:bottom w:val="single" w:sz="12" w:space="0" w:color="auto"/>
              <w:right w:val="nil"/>
            </w:tcBorders>
            <w:shd w:val="clear" w:color="auto" w:fill="auto"/>
            <w:noWrap/>
            <w:tcMar>
              <w:left w:w="43" w:type="dxa"/>
              <w:right w:w="43" w:type="dxa"/>
            </w:tcMar>
            <w:vAlign w:val="center"/>
            <w:hideMark/>
          </w:tcPr>
          <w:p w:rsidR="00423286" w:rsidRDefault="00423286" w:rsidP="00447293">
            <w:pPr>
              <w:jc w:val="right"/>
              <w:rPr>
                <w:sz w:val="14"/>
                <w:szCs w:val="14"/>
              </w:rPr>
            </w:pPr>
            <w:r>
              <w:rPr>
                <w:sz w:val="14"/>
                <w:szCs w:val="14"/>
              </w:rPr>
              <w:t>2,120,321.4</w:t>
            </w:r>
          </w:p>
        </w:tc>
        <w:tc>
          <w:tcPr>
            <w:tcW w:w="883" w:type="dxa"/>
            <w:tcBorders>
              <w:top w:val="nil"/>
              <w:left w:val="nil"/>
              <w:bottom w:val="single" w:sz="12" w:space="0" w:color="auto"/>
              <w:right w:val="nil"/>
            </w:tcBorders>
            <w:shd w:val="clear" w:color="auto" w:fill="auto"/>
            <w:noWrap/>
            <w:tcMar>
              <w:left w:w="43" w:type="dxa"/>
              <w:right w:w="43" w:type="dxa"/>
            </w:tcMar>
            <w:vAlign w:val="center"/>
            <w:hideMark/>
          </w:tcPr>
          <w:p w:rsidR="00423286" w:rsidRDefault="00423286" w:rsidP="00423286">
            <w:pPr>
              <w:jc w:val="right"/>
              <w:rPr>
                <w:sz w:val="14"/>
                <w:szCs w:val="14"/>
              </w:rPr>
            </w:pPr>
            <w:r>
              <w:rPr>
                <w:sz w:val="14"/>
                <w:szCs w:val="14"/>
              </w:rPr>
              <w:t>673,527.2</w:t>
            </w:r>
          </w:p>
        </w:tc>
      </w:tr>
      <w:tr w:rsidR="00447293" w:rsidRPr="0000246F" w:rsidTr="00AA2E5E">
        <w:trPr>
          <w:trHeight w:val="204"/>
          <w:jc w:val="center"/>
        </w:trPr>
        <w:tc>
          <w:tcPr>
            <w:tcW w:w="11129"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447293" w:rsidRPr="0000246F" w:rsidRDefault="00447293" w:rsidP="00447293">
            <w:pPr>
              <w:jc w:val="righ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53" w:type="dxa"/>
        <w:jc w:val="center"/>
        <w:tblInd w:w="468" w:type="dxa"/>
        <w:tblLook w:val="04A0"/>
      </w:tblPr>
      <w:tblGrid>
        <w:gridCol w:w="3420"/>
        <w:gridCol w:w="900"/>
        <w:gridCol w:w="815"/>
        <w:gridCol w:w="809"/>
        <w:gridCol w:w="721"/>
        <w:gridCol w:w="720"/>
        <w:gridCol w:w="721"/>
        <w:gridCol w:w="811"/>
        <w:gridCol w:w="721"/>
        <w:gridCol w:w="815"/>
      </w:tblGrid>
      <w:tr w:rsidR="00B34F49" w:rsidRPr="00B34F49" w:rsidTr="00447293">
        <w:trPr>
          <w:trHeight w:val="375"/>
          <w:jc w:val="center"/>
        </w:trPr>
        <w:tc>
          <w:tcPr>
            <w:tcW w:w="10453"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447293">
        <w:trPr>
          <w:trHeight w:val="315"/>
          <w:jc w:val="center"/>
        </w:trPr>
        <w:tc>
          <w:tcPr>
            <w:tcW w:w="10453"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447293">
        <w:trPr>
          <w:trHeight w:val="315"/>
          <w:jc w:val="center"/>
        </w:trPr>
        <w:tc>
          <w:tcPr>
            <w:tcW w:w="10453"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D53F15" w:rsidRPr="00B34F49" w:rsidTr="00447293">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D53F15" w:rsidRPr="00B34F49" w:rsidRDefault="00D53F15" w:rsidP="00B34F49">
            <w:pPr>
              <w:jc w:val="left"/>
              <w:rPr>
                <w:b/>
                <w:bCs/>
                <w:color w:val="auto"/>
                <w:sz w:val="20"/>
              </w:rPr>
            </w:pPr>
            <w:r w:rsidRPr="00B34F49">
              <w:rPr>
                <w:b/>
                <w:bCs/>
                <w:color w:val="auto"/>
                <w:sz w:val="20"/>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D53F15" w:rsidRPr="006619BF" w:rsidRDefault="00D53F15" w:rsidP="009C5044">
            <w:pPr>
              <w:jc w:val="right"/>
              <w:rPr>
                <w:b/>
                <w:bCs/>
                <w:color w:val="auto"/>
                <w:szCs w:val="16"/>
              </w:rPr>
            </w:pPr>
            <w:r>
              <w:rPr>
                <w:b/>
                <w:bCs/>
                <w:color w:val="auto"/>
                <w:szCs w:val="16"/>
              </w:rPr>
              <w:t>FY15</w:t>
            </w:r>
          </w:p>
        </w:tc>
        <w:tc>
          <w:tcPr>
            <w:tcW w:w="815" w:type="dxa"/>
            <w:vMerge w:val="restart"/>
            <w:tcBorders>
              <w:top w:val="single" w:sz="12" w:space="0" w:color="auto"/>
              <w:left w:val="single" w:sz="4" w:space="0" w:color="auto"/>
              <w:right w:val="single" w:sz="4" w:space="0" w:color="auto"/>
            </w:tcBorders>
            <w:shd w:val="clear" w:color="auto" w:fill="auto"/>
            <w:vAlign w:val="center"/>
            <w:hideMark/>
          </w:tcPr>
          <w:p w:rsidR="00D53F15" w:rsidRPr="006619BF" w:rsidRDefault="00D53F15" w:rsidP="009C5044">
            <w:pPr>
              <w:jc w:val="right"/>
              <w:rPr>
                <w:b/>
                <w:bCs/>
                <w:color w:val="auto"/>
                <w:szCs w:val="16"/>
              </w:rPr>
            </w:pPr>
            <w:r w:rsidRPr="00A74607">
              <w:rPr>
                <w:b/>
                <w:bCs/>
                <w:color w:val="auto"/>
                <w:szCs w:val="16"/>
              </w:rPr>
              <w:t>FY16</w:t>
            </w:r>
          </w:p>
        </w:tc>
        <w:tc>
          <w:tcPr>
            <w:tcW w:w="809" w:type="dxa"/>
            <w:vMerge w:val="restart"/>
            <w:tcBorders>
              <w:top w:val="single" w:sz="12" w:space="0" w:color="auto"/>
              <w:left w:val="single" w:sz="4" w:space="0" w:color="auto"/>
              <w:right w:val="single" w:sz="4" w:space="0" w:color="auto"/>
            </w:tcBorders>
            <w:shd w:val="clear" w:color="auto" w:fill="auto"/>
            <w:vAlign w:val="center"/>
          </w:tcPr>
          <w:p w:rsidR="00D53F15" w:rsidRPr="006619BF" w:rsidRDefault="00D53F15" w:rsidP="00C6679F">
            <w:pPr>
              <w:jc w:val="right"/>
              <w:rPr>
                <w:b/>
                <w:bCs/>
                <w:color w:val="auto"/>
                <w:szCs w:val="16"/>
              </w:rPr>
            </w:pPr>
            <w:r w:rsidRPr="00A74607">
              <w:rPr>
                <w:b/>
                <w:bCs/>
                <w:color w:val="auto"/>
                <w:szCs w:val="16"/>
              </w:rPr>
              <w:t>FY17</w:t>
            </w:r>
          </w:p>
        </w:tc>
        <w:tc>
          <w:tcPr>
            <w:tcW w:w="2162"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D53F15" w:rsidRPr="006619BF" w:rsidRDefault="00D53F15" w:rsidP="00E6261A">
            <w:pPr>
              <w:rPr>
                <w:b/>
                <w:bCs/>
                <w:color w:val="auto"/>
                <w:szCs w:val="16"/>
              </w:rPr>
            </w:pPr>
            <w:r w:rsidRPr="006619BF">
              <w:rPr>
                <w:b/>
                <w:bCs/>
                <w:color w:val="auto"/>
                <w:szCs w:val="16"/>
              </w:rPr>
              <w:t>2017</w:t>
            </w:r>
          </w:p>
        </w:tc>
        <w:tc>
          <w:tcPr>
            <w:tcW w:w="2347" w:type="dxa"/>
            <w:gridSpan w:val="3"/>
            <w:tcBorders>
              <w:top w:val="single" w:sz="12" w:space="0" w:color="auto"/>
              <w:left w:val="single" w:sz="4" w:space="0" w:color="auto"/>
              <w:bottom w:val="single" w:sz="4" w:space="0" w:color="auto"/>
              <w:right w:val="nil"/>
            </w:tcBorders>
            <w:shd w:val="clear" w:color="auto" w:fill="auto"/>
            <w:vAlign w:val="center"/>
          </w:tcPr>
          <w:p w:rsidR="00D53F15" w:rsidRPr="006619BF" w:rsidRDefault="00D53F15" w:rsidP="00E6261A">
            <w:pPr>
              <w:rPr>
                <w:b/>
                <w:bCs/>
                <w:color w:val="auto"/>
                <w:szCs w:val="16"/>
              </w:rPr>
            </w:pPr>
            <w:r>
              <w:rPr>
                <w:b/>
                <w:bCs/>
                <w:color w:val="auto"/>
                <w:szCs w:val="16"/>
              </w:rPr>
              <w:t>2018</w:t>
            </w:r>
          </w:p>
        </w:tc>
      </w:tr>
      <w:tr w:rsidR="00447293" w:rsidRPr="00F06977" w:rsidTr="00447293">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447293" w:rsidRPr="00B34F49" w:rsidRDefault="00447293" w:rsidP="00447293">
            <w:pPr>
              <w:jc w:val="left"/>
              <w:rPr>
                <w:b/>
                <w:bCs/>
                <w:color w:val="auto"/>
                <w:sz w:val="20"/>
              </w:rPr>
            </w:pPr>
            <w:r w:rsidRPr="00B34F49">
              <w:rPr>
                <w:b/>
                <w:bCs/>
                <w:color w:val="auto"/>
                <w:sz w:val="20"/>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447293" w:rsidRPr="006619BF" w:rsidRDefault="00447293" w:rsidP="00447293">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447293" w:rsidRPr="006619BF" w:rsidRDefault="00447293" w:rsidP="00447293">
            <w:pPr>
              <w:jc w:val="right"/>
              <w:rPr>
                <w:b/>
                <w:bCs/>
                <w:color w:val="auto"/>
                <w:sz w:val="14"/>
                <w:szCs w:val="14"/>
              </w:rPr>
            </w:pPr>
          </w:p>
        </w:tc>
        <w:tc>
          <w:tcPr>
            <w:tcW w:w="809"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447293" w:rsidRPr="006619BF" w:rsidRDefault="00447293" w:rsidP="00447293">
            <w:pPr>
              <w:jc w:val="right"/>
              <w:rPr>
                <w:b/>
                <w:bCs/>
                <w:color w:val="auto"/>
                <w:sz w:val="14"/>
                <w:szCs w:val="14"/>
              </w:rPr>
            </w:pP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447293" w:rsidRPr="006619BF" w:rsidRDefault="00447293" w:rsidP="00447293">
            <w:pPr>
              <w:jc w:val="right"/>
              <w:rPr>
                <w:b/>
                <w:color w:val="auto"/>
                <w:sz w:val="14"/>
                <w:szCs w:val="14"/>
              </w:rPr>
            </w:pPr>
            <w:r>
              <w:rPr>
                <w:b/>
                <w:color w:val="auto"/>
                <w:sz w:val="14"/>
                <w:szCs w:val="14"/>
              </w:rPr>
              <w:t>Feb</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447293" w:rsidRPr="006619BF" w:rsidRDefault="00447293" w:rsidP="00447293">
            <w:pPr>
              <w:jc w:val="right"/>
              <w:rPr>
                <w:b/>
                <w:color w:val="auto"/>
                <w:sz w:val="14"/>
                <w:szCs w:val="14"/>
              </w:rPr>
            </w:pPr>
            <w:r>
              <w:rPr>
                <w:b/>
                <w:color w:val="auto"/>
                <w:sz w:val="14"/>
                <w:szCs w:val="14"/>
              </w:rPr>
              <w:t>Mar</w:t>
            </w:r>
          </w:p>
        </w:tc>
        <w:tc>
          <w:tcPr>
            <w:tcW w:w="72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447293" w:rsidRPr="006619BF" w:rsidRDefault="00447293" w:rsidP="00447293">
            <w:pPr>
              <w:jc w:val="right"/>
              <w:rPr>
                <w:b/>
                <w:color w:val="auto"/>
                <w:sz w:val="14"/>
                <w:szCs w:val="14"/>
              </w:rPr>
            </w:pPr>
            <w:r>
              <w:rPr>
                <w:b/>
                <w:color w:val="auto"/>
                <w:sz w:val="14"/>
                <w:szCs w:val="14"/>
              </w:rPr>
              <w:t>Dec</w:t>
            </w:r>
          </w:p>
        </w:tc>
        <w:tc>
          <w:tcPr>
            <w:tcW w:w="81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447293" w:rsidRPr="006619BF" w:rsidRDefault="00447293" w:rsidP="00447293">
            <w:pPr>
              <w:jc w:val="right"/>
              <w:rPr>
                <w:b/>
                <w:color w:val="auto"/>
                <w:sz w:val="14"/>
                <w:szCs w:val="14"/>
              </w:rPr>
            </w:pPr>
            <w:r>
              <w:rPr>
                <w:b/>
                <w:color w:val="auto"/>
                <w:sz w:val="14"/>
                <w:szCs w:val="14"/>
              </w:rPr>
              <w:t>Jan</w:t>
            </w:r>
          </w:p>
        </w:tc>
        <w:tc>
          <w:tcPr>
            <w:tcW w:w="721" w:type="dxa"/>
            <w:tcBorders>
              <w:top w:val="single" w:sz="4" w:space="0" w:color="auto"/>
              <w:bottom w:val="single" w:sz="12" w:space="0" w:color="auto"/>
            </w:tcBorders>
            <w:shd w:val="clear" w:color="auto" w:fill="auto"/>
            <w:tcMar>
              <w:left w:w="43" w:type="dxa"/>
              <w:right w:w="43" w:type="dxa"/>
            </w:tcMar>
            <w:vAlign w:val="center"/>
            <w:hideMark/>
          </w:tcPr>
          <w:p w:rsidR="00447293" w:rsidRPr="006619BF" w:rsidRDefault="00447293" w:rsidP="00447293">
            <w:pPr>
              <w:jc w:val="right"/>
              <w:rPr>
                <w:b/>
                <w:color w:val="auto"/>
                <w:sz w:val="14"/>
                <w:szCs w:val="14"/>
              </w:rPr>
            </w:pPr>
            <w:r>
              <w:rPr>
                <w:b/>
                <w:color w:val="auto"/>
                <w:sz w:val="14"/>
                <w:szCs w:val="14"/>
              </w:rPr>
              <w:t>Feb</w:t>
            </w:r>
          </w:p>
        </w:tc>
        <w:tc>
          <w:tcPr>
            <w:tcW w:w="815" w:type="dxa"/>
            <w:tcBorders>
              <w:top w:val="single" w:sz="4" w:space="0" w:color="auto"/>
              <w:bottom w:val="single" w:sz="12" w:space="0" w:color="auto"/>
              <w:right w:val="nil"/>
            </w:tcBorders>
            <w:shd w:val="clear" w:color="auto" w:fill="auto"/>
            <w:tcMar>
              <w:left w:w="43" w:type="dxa"/>
              <w:right w:w="43" w:type="dxa"/>
            </w:tcMar>
            <w:vAlign w:val="center"/>
            <w:hideMark/>
          </w:tcPr>
          <w:p w:rsidR="00447293" w:rsidRPr="006619BF" w:rsidRDefault="00447293" w:rsidP="00447293">
            <w:pPr>
              <w:jc w:val="right"/>
              <w:rPr>
                <w:b/>
                <w:color w:val="auto"/>
                <w:sz w:val="14"/>
                <w:szCs w:val="14"/>
              </w:rPr>
            </w:pPr>
            <w:r>
              <w:rPr>
                <w:b/>
                <w:color w:val="auto"/>
                <w:sz w:val="14"/>
                <w:szCs w:val="14"/>
              </w:rPr>
              <w:t xml:space="preserve">Mar </w:t>
            </w:r>
            <w:r w:rsidRPr="00D37119">
              <w:rPr>
                <w:b/>
                <w:color w:val="auto"/>
                <w:sz w:val="14"/>
                <w:szCs w:val="14"/>
                <w:vertAlign w:val="superscript"/>
              </w:rPr>
              <w:t>P</w:t>
            </w:r>
          </w:p>
        </w:tc>
      </w:tr>
      <w:tr w:rsidR="00447293" w:rsidRPr="00B34F49" w:rsidTr="00447293">
        <w:trPr>
          <w:trHeight w:hRule="exact" w:val="202"/>
          <w:jc w:val="center"/>
        </w:trPr>
        <w:tc>
          <w:tcPr>
            <w:tcW w:w="3420" w:type="dxa"/>
            <w:tcBorders>
              <w:top w:val="nil"/>
              <w:left w:val="nil"/>
              <w:bottom w:val="nil"/>
              <w:right w:val="nil"/>
            </w:tcBorders>
            <w:shd w:val="clear" w:color="auto" w:fill="auto"/>
            <w:noWrap/>
            <w:vAlign w:val="center"/>
            <w:hideMark/>
          </w:tcPr>
          <w:p w:rsidR="00447293" w:rsidRPr="00B34F49" w:rsidRDefault="00447293" w:rsidP="00447293">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447293" w:rsidRPr="00B34F49" w:rsidRDefault="00447293" w:rsidP="00447293">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447293" w:rsidRPr="00B34F49" w:rsidRDefault="00447293" w:rsidP="00447293">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hideMark/>
          </w:tcPr>
          <w:p w:rsidR="00447293" w:rsidRPr="00B34F49" w:rsidRDefault="00447293"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447293" w:rsidRPr="00B34F49" w:rsidRDefault="00447293" w:rsidP="0044729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447293" w:rsidRPr="00B34F49" w:rsidRDefault="00447293"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447293" w:rsidRPr="00B34F49" w:rsidRDefault="00447293" w:rsidP="00447293">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447293" w:rsidRPr="00B34F49" w:rsidRDefault="00447293"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447293" w:rsidRPr="00B34F49" w:rsidRDefault="00447293" w:rsidP="00447293">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447293" w:rsidRPr="00B34F49" w:rsidRDefault="00447293" w:rsidP="00447293">
            <w:pPr>
              <w:jc w:val="right"/>
              <w:rPr>
                <w:rFonts w:ascii="Calibri" w:hAnsi="Calibri"/>
                <w:sz w:val="22"/>
                <w:szCs w:val="22"/>
              </w:rPr>
            </w:pP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784,202</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781,400</w:t>
            </w: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1,122,866</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802,184</w:t>
            </w: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921,704</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1,203,504</w:t>
            </w: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1,000,532</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956,223</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1,180,536</w:t>
            </w: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132,575</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126,065</w:t>
            </w: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185,623</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144,138</w:t>
            </w: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141,468</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158,249</w:t>
            </w: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127,763</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125,018</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133,553</w:t>
            </w: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403,958</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262,861</w:t>
            </w: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503,760</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434,169</w:t>
            </w: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415,158</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570,825</w:t>
            </w: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565,661</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502,763</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994,783</w:t>
            </w: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5,812,496</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7,542,990</w:t>
            </w: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8,166,143</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7,467,211</w:t>
            </w: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7,669,863</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8,541,521</w:t>
            </w: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7,637,035</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8,126,896</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6,853,021</w:t>
            </w: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4,120,356</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4,653,056</w:t>
            </w: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5,719,604</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5,012,090</w:t>
            </w: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5,236,285</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6,068,145</w:t>
            </w: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6,096,724</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6,168,067</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6,354,364</w:t>
            </w: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4,576,806</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5,113,688</w:t>
            </w: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6,176,306</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5,476,852</w:t>
            </w: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5,697,414</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6,529,968</w:t>
            </w: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6,556,145</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6,628,831</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6,812,078</w:t>
            </w: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456,450</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460,632</w:t>
            </w: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456,701</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464,762</w:t>
            </w: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461,129</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461,823</w:t>
            </w: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459,422</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460,764</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457,714</w:t>
            </w: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298,267</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317,857</w:t>
            </w: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345,652</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339,494</w:t>
            </w: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340,186</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374,796</w:t>
            </w: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387,309</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406,370</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409,440</w:t>
            </w: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58,564</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54,749</w:t>
            </w: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47,428</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50,940</w:t>
            </w: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47,055</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43,791</w:t>
            </w: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45,001</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42,922</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45,572</w:t>
            </w: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792,164</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626,331</w:t>
            </w: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711,952</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575,736</w:t>
            </w: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607,261</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633,144</w:t>
            </w: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618,355</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627,079</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653,082</w:t>
            </w: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12,402,583</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14,365,309</w:t>
            </w: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16,803,027</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14,825,962</w:t>
            </w: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b/>
                <w:bCs/>
                <w:sz w:val="14"/>
                <w:szCs w:val="14"/>
              </w:rPr>
            </w:pPr>
            <w:r>
              <w:rPr>
                <w:b/>
                <w:bCs/>
                <w:sz w:val="14"/>
                <w:szCs w:val="14"/>
              </w:rPr>
              <w:t>15,378,980</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17,593,975</w:t>
            </w: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16,478,379</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16,955,338</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b/>
                <w:bCs/>
                <w:sz w:val="14"/>
                <w:szCs w:val="14"/>
              </w:rPr>
            </w:pPr>
            <w:r>
              <w:rPr>
                <w:b/>
                <w:bCs/>
                <w:sz w:val="14"/>
                <w:szCs w:val="14"/>
              </w:rPr>
              <w:t>16,624,351</w:t>
            </w: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14"/>
                <w:szCs w:val="14"/>
              </w:rPr>
            </w:pP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rFonts w:ascii="Calibri" w:hAnsi="Calibri"/>
                <w:sz w:val="22"/>
                <w:szCs w:val="22"/>
              </w:rPr>
            </w:pP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14"/>
                <w:szCs w:val="14"/>
              </w:rPr>
            </w:pP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rFonts w:ascii="Calibri" w:hAnsi="Calibri"/>
                <w:sz w:val="22"/>
                <w:szCs w:val="22"/>
              </w:rPr>
            </w:pP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192,405</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223,062</w:t>
            </w: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201,124</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185,920</w:t>
            </w: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174,391</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239,625</w:t>
            </w: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212,353</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234,223</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225,443</w:t>
            </w: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1,262,884</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2,245,107</w:t>
            </w: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2,654,899</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1,969,858</w:t>
            </w: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2,137,214</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3,005,546</w:t>
            </w: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2,269,408</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2,770,158</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1,774,272</w:t>
            </w: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9,141,126</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10,060,188</w:t>
            </w: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11,980,697</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10,730,194</w:t>
            </w: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11,170,035</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12,361,806</w:t>
            </w: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12,002,239</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11,933,267</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12,571,277</w:t>
            </w: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ind w:firstLineChars="100" w:firstLine="140"/>
              <w:jc w:val="left"/>
              <w:rPr>
                <w:color w:val="auto"/>
                <w:sz w:val="14"/>
                <w:szCs w:val="14"/>
              </w:rPr>
            </w:pPr>
            <w:r w:rsidRPr="00B34F49">
              <w:rPr>
                <w:color w:val="auto"/>
                <w:sz w:val="14"/>
                <w:szCs w:val="16"/>
              </w:rPr>
              <w:t>Sub-</w:t>
            </w:r>
            <w:proofErr w:type="spellStart"/>
            <w:r w:rsidRPr="00B34F49">
              <w:rPr>
                <w:color w:val="auto"/>
                <w:sz w:val="14"/>
                <w:szCs w:val="16"/>
              </w:rPr>
              <w:t>ordinated</w:t>
            </w:r>
            <w:proofErr w:type="spellEnd"/>
            <w:r w:rsidRPr="00B34F49">
              <w:rPr>
                <w:color w:val="auto"/>
                <w:sz w:val="14"/>
                <w:szCs w:val="16"/>
              </w:rPr>
              <w:t xml:space="preserve"> Loans</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33,634</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47,696</w:t>
            </w: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46,910</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51,010</w:t>
            </w: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50,865</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62,703</w:t>
            </w: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64,703</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64,699</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64,555</w:t>
            </w: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27</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48</w:t>
            </w: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35</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41</w:t>
            </w: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36</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33</w:t>
            </w: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33</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32</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21</w:t>
            </w: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38,510</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44,774</w:t>
            </w: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35,556</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39,353</w:t>
            </w: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36,860</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17,795</w:t>
            </w: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17,569</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20,007</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23,669</w:t>
            </w: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465,429</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411,820</w:t>
            </w: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446,232</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423,499</w:t>
            </w: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433,389</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514,424</w:t>
            </w: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480,719</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488,872</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547,787</w:t>
            </w: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11,134,013</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13,032,696</w:t>
            </w: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15,365,453</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13,399,875</w:t>
            </w: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b/>
                <w:bCs/>
                <w:sz w:val="14"/>
                <w:szCs w:val="14"/>
              </w:rPr>
            </w:pPr>
            <w:r>
              <w:rPr>
                <w:b/>
                <w:bCs/>
                <w:sz w:val="14"/>
                <w:szCs w:val="14"/>
              </w:rPr>
              <w:t>14,002,790</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16,201,932</w:t>
            </w: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15,047,023</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15,511,258</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b/>
                <w:bCs/>
                <w:sz w:val="14"/>
                <w:szCs w:val="14"/>
              </w:rPr>
            </w:pPr>
            <w:r>
              <w:rPr>
                <w:b/>
                <w:bCs/>
                <w:sz w:val="14"/>
                <w:szCs w:val="14"/>
              </w:rPr>
              <w:t>15,207,024</w:t>
            </w: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14"/>
                <w:szCs w:val="14"/>
              </w:rPr>
            </w:pP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rFonts w:ascii="Calibri" w:hAnsi="Calibri"/>
                <w:sz w:val="22"/>
                <w:szCs w:val="22"/>
              </w:rPr>
            </w:pP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1,268,570</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1,332,613</w:t>
            </w: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1,437,574</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1,426,089</w:t>
            </w: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b/>
                <w:bCs/>
                <w:sz w:val="14"/>
                <w:szCs w:val="14"/>
              </w:rPr>
            </w:pPr>
            <w:r>
              <w:rPr>
                <w:b/>
                <w:bCs/>
                <w:sz w:val="14"/>
                <w:szCs w:val="14"/>
              </w:rPr>
              <w:t>1,376,190</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1,392,043</w:t>
            </w: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1,431,356</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1,444,080</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b/>
                <w:bCs/>
                <w:sz w:val="14"/>
                <w:szCs w:val="14"/>
              </w:rPr>
            </w:pPr>
            <w:r>
              <w:rPr>
                <w:b/>
                <w:bCs/>
                <w:sz w:val="14"/>
                <w:szCs w:val="14"/>
              </w:rPr>
              <w:t>1,417,327</w:t>
            </w: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14"/>
                <w:szCs w:val="14"/>
              </w:rPr>
            </w:pP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rFonts w:ascii="Calibri" w:hAnsi="Calibri"/>
                <w:sz w:val="22"/>
                <w:szCs w:val="22"/>
              </w:rPr>
            </w:pP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14"/>
                <w:szCs w:val="14"/>
              </w:rPr>
            </w:pP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rFonts w:ascii="Calibri" w:hAnsi="Calibri"/>
                <w:sz w:val="22"/>
                <w:szCs w:val="22"/>
              </w:rPr>
            </w:pP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485,985</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538,631</w:t>
            </w: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651,359</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540,642</w:t>
            </w: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554,889</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519,320</w:t>
            </w: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519,331</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518,127</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517,651</w:t>
            </w: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282,032</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227,497</w:t>
            </w: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199,217</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236,206</w:t>
            </w: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229,117</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255,511</w:t>
            </w: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257,432</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262,597</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273,733</w:t>
            </w: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275,770</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337,664</w:t>
            </w: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392,033</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415,875</w:t>
            </w: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380,344</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450,214</w:t>
            </w: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473,557</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475,236</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442,141</w:t>
            </w:r>
          </w:p>
        </w:tc>
      </w:tr>
      <w:tr w:rsidR="00074580" w:rsidRPr="00B34F49" w:rsidTr="00074580">
        <w:trPr>
          <w:trHeight w:hRule="exact" w:val="202"/>
          <w:jc w:val="center"/>
        </w:trPr>
        <w:tc>
          <w:tcPr>
            <w:tcW w:w="3420" w:type="dxa"/>
            <w:tcBorders>
              <w:top w:val="nil"/>
              <w:left w:val="nil"/>
              <w:bottom w:val="nil"/>
              <w:right w:val="nil"/>
            </w:tcBorders>
            <w:shd w:val="clear" w:color="auto" w:fill="auto"/>
            <w:noWrap/>
            <w:vAlign w:val="center"/>
            <w:hideMark/>
          </w:tcPr>
          <w:p w:rsidR="00074580" w:rsidRPr="00B34F49" w:rsidRDefault="00074580" w:rsidP="00447293">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224,783</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228,821</w:t>
            </w:r>
          </w:p>
        </w:tc>
        <w:tc>
          <w:tcPr>
            <w:tcW w:w="809"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194,964</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233,366</w:t>
            </w:r>
          </w:p>
        </w:tc>
        <w:tc>
          <w:tcPr>
            <w:tcW w:w="720"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211,839</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166,998</w:t>
            </w:r>
          </w:p>
        </w:tc>
        <w:tc>
          <w:tcPr>
            <w:tcW w:w="81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181,036</w:t>
            </w:r>
          </w:p>
        </w:tc>
        <w:tc>
          <w:tcPr>
            <w:tcW w:w="721" w:type="dxa"/>
            <w:tcBorders>
              <w:top w:val="nil"/>
              <w:left w:val="nil"/>
              <w:bottom w:val="nil"/>
              <w:right w:val="nil"/>
            </w:tcBorders>
            <w:shd w:val="clear" w:color="auto" w:fill="auto"/>
            <w:tcMar>
              <w:left w:w="43" w:type="dxa"/>
              <w:right w:w="43" w:type="dxa"/>
            </w:tcMar>
            <w:vAlign w:val="center"/>
            <w:hideMark/>
          </w:tcPr>
          <w:p w:rsidR="00074580" w:rsidRDefault="00074580" w:rsidP="00447293">
            <w:pPr>
              <w:jc w:val="right"/>
              <w:rPr>
                <w:sz w:val="14"/>
                <w:szCs w:val="14"/>
              </w:rPr>
            </w:pPr>
            <w:r>
              <w:rPr>
                <w:sz w:val="14"/>
                <w:szCs w:val="14"/>
              </w:rPr>
              <w:t>188,119</w:t>
            </w:r>
          </w:p>
        </w:tc>
        <w:tc>
          <w:tcPr>
            <w:tcW w:w="815" w:type="dxa"/>
            <w:tcBorders>
              <w:top w:val="nil"/>
              <w:left w:val="nil"/>
              <w:bottom w:val="nil"/>
              <w:right w:val="nil"/>
            </w:tcBorders>
            <w:shd w:val="clear" w:color="auto" w:fill="auto"/>
            <w:tcMar>
              <w:left w:w="43" w:type="dxa"/>
              <w:right w:w="43" w:type="dxa"/>
            </w:tcMar>
            <w:vAlign w:val="center"/>
            <w:hideMark/>
          </w:tcPr>
          <w:p w:rsidR="00074580" w:rsidRDefault="00074580" w:rsidP="00074580">
            <w:pPr>
              <w:jc w:val="right"/>
              <w:rPr>
                <w:sz w:val="14"/>
                <w:szCs w:val="14"/>
              </w:rPr>
            </w:pPr>
            <w:r>
              <w:rPr>
                <w:sz w:val="14"/>
                <w:szCs w:val="14"/>
              </w:rPr>
              <w:t>183,802</w:t>
            </w:r>
          </w:p>
        </w:tc>
      </w:tr>
      <w:tr w:rsidR="00074580" w:rsidRPr="00B34F49" w:rsidTr="00074580">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074580" w:rsidRPr="00B34F49" w:rsidRDefault="00074580" w:rsidP="00447293">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1,268,570</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1,332,613</w:t>
            </w:r>
          </w:p>
        </w:tc>
        <w:tc>
          <w:tcPr>
            <w:tcW w:w="809" w:type="dxa"/>
            <w:tcBorders>
              <w:top w:val="nil"/>
              <w:left w:val="nil"/>
              <w:bottom w:val="single" w:sz="12" w:space="0" w:color="auto"/>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1,437,574</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1,426,089</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74580" w:rsidRDefault="00074580" w:rsidP="00074580">
            <w:pPr>
              <w:jc w:val="right"/>
              <w:rPr>
                <w:b/>
                <w:bCs/>
                <w:sz w:val="14"/>
                <w:szCs w:val="14"/>
              </w:rPr>
            </w:pPr>
            <w:r>
              <w:rPr>
                <w:b/>
                <w:bCs/>
                <w:sz w:val="14"/>
                <w:szCs w:val="14"/>
              </w:rPr>
              <w:t>1,376,190</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1,392,043</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1,431,356</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074580" w:rsidRDefault="00074580" w:rsidP="00447293">
            <w:pPr>
              <w:jc w:val="right"/>
              <w:rPr>
                <w:b/>
                <w:bCs/>
                <w:sz w:val="14"/>
                <w:szCs w:val="14"/>
              </w:rPr>
            </w:pPr>
            <w:r>
              <w:rPr>
                <w:b/>
                <w:bCs/>
                <w:sz w:val="14"/>
                <w:szCs w:val="14"/>
              </w:rPr>
              <w:t>1,444,079</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074580" w:rsidRDefault="00074580" w:rsidP="00074580">
            <w:pPr>
              <w:jc w:val="right"/>
              <w:rPr>
                <w:b/>
                <w:bCs/>
                <w:sz w:val="14"/>
                <w:szCs w:val="14"/>
              </w:rPr>
            </w:pPr>
            <w:r>
              <w:rPr>
                <w:b/>
                <w:bCs/>
                <w:sz w:val="14"/>
                <w:szCs w:val="14"/>
              </w:rPr>
              <w:t>1,417,327</w:t>
            </w:r>
          </w:p>
        </w:tc>
      </w:tr>
      <w:tr w:rsidR="00447293" w:rsidRPr="00B34F49" w:rsidTr="00447293">
        <w:trPr>
          <w:trHeight w:hRule="exact" w:val="192"/>
          <w:jc w:val="center"/>
        </w:trPr>
        <w:tc>
          <w:tcPr>
            <w:tcW w:w="10453" w:type="dxa"/>
            <w:gridSpan w:val="10"/>
            <w:tcBorders>
              <w:top w:val="nil"/>
              <w:left w:val="nil"/>
              <w:bottom w:val="nil"/>
              <w:right w:val="nil"/>
            </w:tcBorders>
            <w:shd w:val="clear" w:color="auto" w:fill="auto"/>
            <w:noWrap/>
            <w:vAlign w:val="center"/>
            <w:hideMark/>
          </w:tcPr>
          <w:p w:rsidR="00447293" w:rsidRPr="00B34F49" w:rsidRDefault="00447293" w:rsidP="00447293">
            <w:pPr>
              <w:jc w:val="right"/>
              <w:rPr>
                <w:b/>
                <w:bCs/>
                <w:sz w:val="14"/>
                <w:szCs w:val="14"/>
              </w:rPr>
            </w:pPr>
            <w:r w:rsidRPr="00B34F49">
              <w:rPr>
                <w:color w:val="auto"/>
                <w:sz w:val="14"/>
                <w:szCs w:val="16"/>
              </w:rPr>
              <w:t>Source: Off-Site Supervision &amp; Enforcement  Department SBP</w:t>
            </w:r>
          </w:p>
        </w:tc>
      </w:tr>
      <w:tr w:rsidR="00447293" w:rsidRPr="00B34F49" w:rsidTr="00447293">
        <w:trPr>
          <w:trHeight w:hRule="exact" w:val="390"/>
          <w:jc w:val="center"/>
        </w:trPr>
        <w:tc>
          <w:tcPr>
            <w:tcW w:w="10453"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447293" w:rsidRPr="00B34F49" w:rsidRDefault="00447293" w:rsidP="00447293">
            <w:pPr>
              <w:rPr>
                <w:b/>
                <w:bCs/>
                <w:sz w:val="28"/>
                <w:szCs w:val="28"/>
              </w:rPr>
            </w:pPr>
            <w:r w:rsidRPr="00B34F49">
              <w:rPr>
                <w:b/>
                <w:bCs/>
                <w:sz w:val="28"/>
                <w:szCs w:val="28"/>
              </w:rPr>
              <w:t xml:space="preserve">2.12  Scheduled   Banks' Liquidity   Position </w:t>
            </w:r>
            <w:r w:rsidRPr="00B34F49">
              <w:rPr>
                <w:b/>
                <w:bCs/>
                <w:color w:val="auto"/>
                <w:sz w:val="24"/>
                <w:szCs w:val="24"/>
              </w:rPr>
              <w:t>(All Banks)</w:t>
            </w:r>
          </w:p>
        </w:tc>
      </w:tr>
      <w:tr w:rsidR="00447293" w:rsidRPr="00B34F49" w:rsidTr="00447293">
        <w:trPr>
          <w:trHeight w:hRule="exact" w:val="300"/>
          <w:jc w:val="center"/>
        </w:trPr>
        <w:tc>
          <w:tcPr>
            <w:tcW w:w="3420" w:type="dxa"/>
            <w:tcBorders>
              <w:top w:val="nil"/>
              <w:left w:val="nil"/>
              <w:bottom w:val="nil"/>
              <w:right w:val="single" w:sz="4" w:space="0" w:color="auto"/>
            </w:tcBorders>
            <w:shd w:val="clear" w:color="auto" w:fill="auto"/>
            <w:noWrap/>
            <w:vAlign w:val="bottom"/>
            <w:hideMark/>
          </w:tcPr>
          <w:p w:rsidR="00447293" w:rsidRPr="00B34F49" w:rsidRDefault="00447293" w:rsidP="00447293">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hideMark/>
          </w:tcPr>
          <w:p w:rsidR="00447293" w:rsidRPr="006619BF" w:rsidRDefault="00447293" w:rsidP="00447293">
            <w:pPr>
              <w:jc w:val="right"/>
              <w:rPr>
                <w:b/>
                <w:bCs/>
                <w:color w:val="auto"/>
                <w:szCs w:val="16"/>
              </w:rPr>
            </w:pPr>
            <w:r>
              <w:rPr>
                <w:b/>
                <w:bCs/>
                <w:color w:val="auto"/>
                <w:szCs w:val="16"/>
              </w:rPr>
              <w:t>FY15</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hideMark/>
          </w:tcPr>
          <w:p w:rsidR="00447293" w:rsidRPr="006619BF" w:rsidRDefault="00447293" w:rsidP="00447293">
            <w:pPr>
              <w:jc w:val="right"/>
              <w:rPr>
                <w:b/>
                <w:bCs/>
                <w:color w:val="auto"/>
                <w:szCs w:val="16"/>
              </w:rPr>
            </w:pPr>
            <w:r w:rsidRPr="00A74607">
              <w:rPr>
                <w:b/>
                <w:bCs/>
                <w:color w:val="auto"/>
                <w:szCs w:val="16"/>
              </w:rPr>
              <w:t>FY16</w:t>
            </w:r>
          </w:p>
        </w:tc>
        <w:tc>
          <w:tcPr>
            <w:tcW w:w="809" w:type="dxa"/>
            <w:vMerge w:val="restart"/>
            <w:tcBorders>
              <w:top w:val="single" w:sz="12" w:space="0" w:color="auto"/>
              <w:left w:val="single" w:sz="4" w:space="0" w:color="auto"/>
              <w:right w:val="single" w:sz="4" w:space="0" w:color="auto"/>
            </w:tcBorders>
            <w:shd w:val="clear" w:color="auto" w:fill="auto"/>
            <w:vAlign w:val="center"/>
          </w:tcPr>
          <w:p w:rsidR="00447293" w:rsidRPr="006619BF" w:rsidRDefault="00447293" w:rsidP="00447293">
            <w:pPr>
              <w:jc w:val="right"/>
              <w:rPr>
                <w:b/>
                <w:bCs/>
                <w:color w:val="auto"/>
                <w:szCs w:val="16"/>
              </w:rPr>
            </w:pPr>
            <w:r w:rsidRPr="00A74607">
              <w:rPr>
                <w:b/>
                <w:bCs/>
                <w:color w:val="auto"/>
                <w:szCs w:val="16"/>
              </w:rPr>
              <w:t>FY17</w:t>
            </w:r>
          </w:p>
        </w:tc>
        <w:tc>
          <w:tcPr>
            <w:tcW w:w="2973"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447293" w:rsidRPr="006619BF" w:rsidRDefault="00447293" w:rsidP="00447293">
            <w:pPr>
              <w:rPr>
                <w:b/>
                <w:bCs/>
                <w:color w:val="auto"/>
                <w:szCs w:val="16"/>
              </w:rPr>
            </w:pPr>
            <w:r w:rsidRPr="006619BF">
              <w:rPr>
                <w:b/>
                <w:bCs/>
                <w:color w:val="auto"/>
                <w:szCs w:val="16"/>
              </w:rPr>
              <w:t>2017</w:t>
            </w:r>
          </w:p>
        </w:tc>
        <w:tc>
          <w:tcPr>
            <w:tcW w:w="1536" w:type="dxa"/>
            <w:gridSpan w:val="2"/>
            <w:tcBorders>
              <w:top w:val="single" w:sz="12" w:space="0" w:color="auto"/>
              <w:left w:val="single" w:sz="4" w:space="0" w:color="auto"/>
              <w:bottom w:val="single" w:sz="4" w:space="0" w:color="auto"/>
              <w:right w:val="nil"/>
            </w:tcBorders>
            <w:shd w:val="clear" w:color="auto" w:fill="auto"/>
            <w:vAlign w:val="center"/>
          </w:tcPr>
          <w:p w:rsidR="00447293" w:rsidRPr="006619BF" w:rsidRDefault="00447293" w:rsidP="00447293">
            <w:pPr>
              <w:rPr>
                <w:b/>
                <w:bCs/>
                <w:color w:val="auto"/>
                <w:szCs w:val="16"/>
              </w:rPr>
            </w:pPr>
            <w:r>
              <w:rPr>
                <w:b/>
                <w:bCs/>
                <w:color w:val="auto"/>
                <w:szCs w:val="16"/>
              </w:rPr>
              <w:t>2018</w:t>
            </w:r>
          </w:p>
        </w:tc>
      </w:tr>
      <w:tr w:rsidR="00447293" w:rsidRPr="00B34F49" w:rsidTr="00423286">
        <w:trPr>
          <w:trHeight w:hRule="exact" w:val="202"/>
          <w:jc w:val="center"/>
        </w:trPr>
        <w:tc>
          <w:tcPr>
            <w:tcW w:w="3420" w:type="dxa"/>
            <w:tcBorders>
              <w:top w:val="nil"/>
              <w:left w:val="nil"/>
              <w:bottom w:val="single" w:sz="12" w:space="0" w:color="auto"/>
              <w:right w:val="single" w:sz="4" w:space="0" w:color="auto"/>
            </w:tcBorders>
            <w:shd w:val="clear" w:color="auto" w:fill="auto"/>
            <w:noWrap/>
            <w:vAlign w:val="bottom"/>
            <w:hideMark/>
          </w:tcPr>
          <w:p w:rsidR="00447293" w:rsidRPr="00B34F49" w:rsidRDefault="00447293" w:rsidP="00447293">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47293" w:rsidRPr="006619BF" w:rsidRDefault="00447293" w:rsidP="00447293">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47293" w:rsidRPr="006619BF" w:rsidRDefault="00447293" w:rsidP="00447293">
            <w:pPr>
              <w:jc w:val="right"/>
              <w:rPr>
                <w:b/>
                <w:bCs/>
                <w:color w:val="auto"/>
                <w:sz w:val="14"/>
                <w:szCs w:val="14"/>
              </w:rPr>
            </w:pPr>
          </w:p>
        </w:tc>
        <w:tc>
          <w:tcPr>
            <w:tcW w:w="80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447293" w:rsidRPr="006619BF" w:rsidRDefault="00447293" w:rsidP="00447293">
            <w:pPr>
              <w:jc w:val="right"/>
              <w:rPr>
                <w:b/>
                <w:bCs/>
                <w:color w:val="auto"/>
                <w:sz w:val="14"/>
                <w:szCs w:val="14"/>
              </w:rPr>
            </w:pP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447293" w:rsidRPr="006619BF" w:rsidRDefault="00447293" w:rsidP="00C62A4E">
            <w:pPr>
              <w:jc w:val="right"/>
              <w:rPr>
                <w:b/>
                <w:bCs/>
                <w:color w:val="auto"/>
                <w:sz w:val="14"/>
                <w:szCs w:val="14"/>
              </w:rPr>
            </w:pPr>
            <w:r>
              <w:rPr>
                <w:b/>
                <w:bCs/>
                <w:color w:val="auto"/>
                <w:sz w:val="14"/>
                <w:szCs w:val="14"/>
              </w:rPr>
              <w:t>Jan</w:t>
            </w:r>
          </w:p>
        </w:tc>
        <w:tc>
          <w:tcPr>
            <w:tcW w:w="720"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447293" w:rsidRPr="006619BF" w:rsidRDefault="00447293" w:rsidP="00447293">
            <w:pPr>
              <w:jc w:val="right"/>
              <w:rPr>
                <w:b/>
                <w:bCs/>
                <w:color w:val="auto"/>
                <w:sz w:val="14"/>
                <w:szCs w:val="14"/>
              </w:rPr>
            </w:pPr>
            <w:r>
              <w:rPr>
                <w:b/>
                <w:bCs/>
                <w:color w:val="auto"/>
                <w:sz w:val="14"/>
                <w:szCs w:val="14"/>
              </w:rPr>
              <w:t>Feb</w:t>
            </w: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447293" w:rsidRPr="006619BF" w:rsidRDefault="00447293" w:rsidP="00C62A4E">
            <w:pPr>
              <w:jc w:val="right"/>
              <w:rPr>
                <w:b/>
                <w:bCs/>
                <w:color w:val="auto"/>
                <w:sz w:val="14"/>
                <w:szCs w:val="14"/>
              </w:rPr>
            </w:pPr>
            <w:r>
              <w:rPr>
                <w:b/>
                <w:bCs/>
                <w:color w:val="auto"/>
                <w:sz w:val="14"/>
                <w:szCs w:val="14"/>
              </w:rPr>
              <w:t>Nov</w:t>
            </w:r>
          </w:p>
        </w:tc>
        <w:tc>
          <w:tcPr>
            <w:tcW w:w="811"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447293" w:rsidRPr="006619BF" w:rsidRDefault="00447293" w:rsidP="00C62A4E">
            <w:pPr>
              <w:jc w:val="right"/>
              <w:rPr>
                <w:b/>
                <w:bCs/>
                <w:color w:val="auto"/>
                <w:sz w:val="14"/>
                <w:szCs w:val="14"/>
              </w:rPr>
            </w:pPr>
            <w:r>
              <w:rPr>
                <w:b/>
                <w:bCs/>
                <w:color w:val="auto"/>
                <w:sz w:val="14"/>
                <w:szCs w:val="14"/>
              </w:rPr>
              <w:t>Dec</w:t>
            </w: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447293" w:rsidRPr="006619BF" w:rsidRDefault="00447293" w:rsidP="00447293">
            <w:pPr>
              <w:jc w:val="right"/>
              <w:rPr>
                <w:b/>
                <w:bCs/>
                <w:color w:val="auto"/>
                <w:sz w:val="14"/>
                <w:szCs w:val="14"/>
              </w:rPr>
            </w:pPr>
            <w:r>
              <w:rPr>
                <w:b/>
                <w:bCs/>
                <w:color w:val="auto"/>
                <w:sz w:val="14"/>
                <w:szCs w:val="14"/>
              </w:rPr>
              <w:t>Jan</w:t>
            </w:r>
          </w:p>
        </w:tc>
        <w:tc>
          <w:tcPr>
            <w:tcW w:w="815" w:type="dxa"/>
            <w:tcBorders>
              <w:top w:val="single" w:sz="4" w:space="0" w:color="auto"/>
              <w:bottom w:val="single" w:sz="12" w:space="0" w:color="auto"/>
              <w:right w:val="nil"/>
            </w:tcBorders>
            <w:shd w:val="clear" w:color="auto" w:fill="auto"/>
            <w:noWrap/>
            <w:tcMar>
              <w:left w:w="43" w:type="dxa"/>
              <w:right w:w="43" w:type="dxa"/>
            </w:tcMar>
            <w:vAlign w:val="center"/>
            <w:hideMark/>
          </w:tcPr>
          <w:p w:rsidR="00447293" w:rsidRPr="006619BF" w:rsidRDefault="00447293" w:rsidP="00447293">
            <w:pPr>
              <w:jc w:val="right"/>
              <w:rPr>
                <w:b/>
                <w:bCs/>
                <w:color w:val="auto"/>
                <w:sz w:val="14"/>
                <w:szCs w:val="14"/>
              </w:rPr>
            </w:pPr>
            <w:r>
              <w:rPr>
                <w:b/>
                <w:bCs/>
                <w:color w:val="auto"/>
                <w:sz w:val="14"/>
                <w:szCs w:val="14"/>
              </w:rPr>
              <w:t xml:space="preserve">Feb </w:t>
            </w:r>
            <w:r w:rsidRPr="00447293">
              <w:rPr>
                <w:b/>
                <w:bCs/>
                <w:color w:val="auto"/>
                <w:sz w:val="14"/>
                <w:szCs w:val="14"/>
                <w:vertAlign w:val="superscript"/>
              </w:rPr>
              <w:t>P</w:t>
            </w:r>
          </w:p>
        </w:tc>
      </w:tr>
      <w:tr w:rsidR="00876F2A" w:rsidRPr="00B34F49" w:rsidTr="00876F2A">
        <w:trPr>
          <w:trHeight w:hRule="exact" w:val="327"/>
          <w:jc w:val="center"/>
        </w:trPr>
        <w:tc>
          <w:tcPr>
            <w:tcW w:w="3420" w:type="dxa"/>
            <w:tcBorders>
              <w:top w:val="nil"/>
              <w:left w:val="nil"/>
              <w:bottom w:val="nil"/>
              <w:right w:val="nil"/>
            </w:tcBorders>
            <w:shd w:val="clear" w:color="auto" w:fill="auto"/>
            <w:vAlign w:val="center"/>
            <w:hideMark/>
          </w:tcPr>
          <w:p w:rsidR="00876F2A" w:rsidRPr="00B34F49" w:rsidRDefault="00876F2A" w:rsidP="00447293">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7,632,719</w:t>
            </w:r>
          </w:p>
        </w:tc>
        <w:tc>
          <w:tcPr>
            <w:tcW w:w="815"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8,458,134</w:t>
            </w:r>
          </w:p>
        </w:tc>
        <w:tc>
          <w:tcPr>
            <w:tcW w:w="809"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10,519,911</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9,253,472</w:t>
            </w:r>
          </w:p>
        </w:tc>
        <w:tc>
          <w:tcPr>
            <w:tcW w:w="720" w:type="dxa"/>
            <w:tcBorders>
              <w:top w:val="nil"/>
              <w:left w:val="nil"/>
              <w:bottom w:val="nil"/>
              <w:right w:val="nil"/>
            </w:tcBorders>
            <w:shd w:val="clear" w:color="auto" w:fill="auto"/>
            <w:tcMar>
              <w:left w:w="43" w:type="dxa"/>
              <w:right w:w="43" w:type="dxa"/>
            </w:tcMar>
            <w:vAlign w:val="center"/>
            <w:hideMark/>
          </w:tcPr>
          <w:p w:rsidR="00876F2A" w:rsidRDefault="00876F2A" w:rsidP="00074580">
            <w:pPr>
              <w:jc w:val="right"/>
              <w:rPr>
                <w:sz w:val="14"/>
                <w:szCs w:val="14"/>
              </w:rPr>
            </w:pPr>
            <w:r>
              <w:rPr>
                <w:sz w:val="14"/>
                <w:szCs w:val="14"/>
              </w:rPr>
              <w:t>9,278,998</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10,402,200</w:t>
            </w:r>
          </w:p>
        </w:tc>
        <w:tc>
          <w:tcPr>
            <w:tcW w:w="81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10,816,899</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10,361,349</w:t>
            </w:r>
          </w:p>
        </w:tc>
        <w:tc>
          <w:tcPr>
            <w:tcW w:w="815" w:type="dxa"/>
            <w:tcBorders>
              <w:top w:val="nil"/>
              <w:left w:val="nil"/>
              <w:bottom w:val="nil"/>
              <w:right w:val="nil"/>
            </w:tcBorders>
            <w:shd w:val="clear" w:color="auto" w:fill="auto"/>
            <w:tcMar>
              <w:left w:w="43" w:type="dxa"/>
              <w:right w:w="43" w:type="dxa"/>
            </w:tcMar>
            <w:vAlign w:val="center"/>
            <w:hideMark/>
          </w:tcPr>
          <w:p w:rsidR="00876F2A" w:rsidRDefault="00876F2A" w:rsidP="00876F2A">
            <w:pPr>
              <w:jc w:val="right"/>
              <w:rPr>
                <w:sz w:val="14"/>
                <w:szCs w:val="14"/>
              </w:rPr>
            </w:pPr>
            <w:r>
              <w:rPr>
                <w:sz w:val="14"/>
                <w:szCs w:val="14"/>
              </w:rPr>
              <w:t>10,291,590</w:t>
            </w:r>
          </w:p>
        </w:tc>
      </w:tr>
      <w:tr w:rsidR="00876F2A" w:rsidRPr="00B34F49" w:rsidTr="00876F2A">
        <w:trPr>
          <w:trHeight w:hRule="exact" w:val="324"/>
          <w:jc w:val="center"/>
        </w:trPr>
        <w:tc>
          <w:tcPr>
            <w:tcW w:w="3420" w:type="dxa"/>
            <w:tcBorders>
              <w:top w:val="nil"/>
              <w:left w:val="nil"/>
              <w:bottom w:val="nil"/>
              <w:right w:val="nil"/>
            </w:tcBorders>
            <w:shd w:val="clear" w:color="auto" w:fill="auto"/>
            <w:vAlign w:val="center"/>
            <w:hideMark/>
          </w:tcPr>
          <w:p w:rsidR="00876F2A" w:rsidRPr="00B34F49" w:rsidRDefault="00876F2A" w:rsidP="00447293">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1,136,526</w:t>
            </w:r>
          </w:p>
        </w:tc>
        <w:tc>
          <w:tcPr>
            <w:tcW w:w="815"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1,220,212</w:t>
            </w:r>
          </w:p>
        </w:tc>
        <w:tc>
          <w:tcPr>
            <w:tcW w:w="809"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1,254,315</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1,259,366</w:t>
            </w:r>
          </w:p>
        </w:tc>
        <w:tc>
          <w:tcPr>
            <w:tcW w:w="720" w:type="dxa"/>
            <w:tcBorders>
              <w:top w:val="nil"/>
              <w:left w:val="nil"/>
              <w:bottom w:val="nil"/>
              <w:right w:val="nil"/>
            </w:tcBorders>
            <w:shd w:val="clear" w:color="auto" w:fill="auto"/>
            <w:tcMar>
              <w:left w:w="43" w:type="dxa"/>
              <w:right w:w="43" w:type="dxa"/>
            </w:tcMar>
            <w:vAlign w:val="center"/>
            <w:hideMark/>
          </w:tcPr>
          <w:p w:rsidR="00876F2A" w:rsidRDefault="00876F2A" w:rsidP="00074580">
            <w:pPr>
              <w:jc w:val="right"/>
              <w:rPr>
                <w:sz w:val="14"/>
                <w:szCs w:val="14"/>
              </w:rPr>
            </w:pPr>
            <w:r>
              <w:rPr>
                <w:sz w:val="14"/>
                <w:szCs w:val="14"/>
              </w:rPr>
              <w:t>1,270,864</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1,366,247</w:t>
            </w:r>
          </w:p>
        </w:tc>
        <w:tc>
          <w:tcPr>
            <w:tcW w:w="81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1,356,592</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1,392,277</w:t>
            </w:r>
          </w:p>
        </w:tc>
        <w:tc>
          <w:tcPr>
            <w:tcW w:w="815" w:type="dxa"/>
            <w:tcBorders>
              <w:top w:val="nil"/>
              <w:left w:val="nil"/>
              <w:bottom w:val="nil"/>
              <w:right w:val="nil"/>
            </w:tcBorders>
            <w:shd w:val="clear" w:color="auto" w:fill="auto"/>
            <w:tcMar>
              <w:left w:w="43" w:type="dxa"/>
              <w:right w:w="43" w:type="dxa"/>
            </w:tcMar>
            <w:vAlign w:val="center"/>
            <w:hideMark/>
          </w:tcPr>
          <w:p w:rsidR="00876F2A" w:rsidRDefault="00876F2A" w:rsidP="00876F2A">
            <w:pPr>
              <w:jc w:val="right"/>
              <w:rPr>
                <w:sz w:val="14"/>
                <w:szCs w:val="14"/>
              </w:rPr>
            </w:pPr>
            <w:r>
              <w:rPr>
                <w:sz w:val="14"/>
                <w:szCs w:val="14"/>
              </w:rPr>
              <w:t>1,422,566</w:t>
            </w:r>
          </w:p>
        </w:tc>
      </w:tr>
      <w:tr w:rsidR="00876F2A" w:rsidRPr="00B34F49" w:rsidTr="00876F2A">
        <w:trPr>
          <w:trHeight w:hRule="exact" w:val="360"/>
          <w:jc w:val="center"/>
        </w:trPr>
        <w:tc>
          <w:tcPr>
            <w:tcW w:w="3420" w:type="dxa"/>
            <w:tcBorders>
              <w:top w:val="nil"/>
              <w:left w:val="nil"/>
              <w:bottom w:val="nil"/>
              <w:right w:val="nil"/>
            </w:tcBorders>
            <w:shd w:val="clear" w:color="auto" w:fill="auto"/>
            <w:vAlign w:val="center"/>
            <w:hideMark/>
          </w:tcPr>
          <w:p w:rsidR="00876F2A" w:rsidRPr="00B34F49" w:rsidRDefault="00876F2A" w:rsidP="00447293">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b/>
                <w:bCs/>
                <w:sz w:val="14"/>
                <w:szCs w:val="14"/>
              </w:rPr>
            </w:pPr>
            <w:r>
              <w:rPr>
                <w:b/>
                <w:bCs/>
                <w:sz w:val="14"/>
                <w:szCs w:val="14"/>
              </w:rPr>
              <w:t>8,769,245</w:t>
            </w:r>
          </w:p>
        </w:tc>
        <w:tc>
          <w:tcPr>
            <w:tcW w:w="815"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b/>
                <w:bCs/>
                <w:sz w:val="14"/>
                <w:szCs w:val="14"/>
              </w:rPr>
            </w:pPr>
            <w:r>
              <w:rPr>
                <w:b/>
                <w:bCs/>
                <w:sz w:val="14"/>
                <w:szCs w:val="14"/>
              </w:rPr>
              <w:t>9,678,346</w:t>
            </w:r>
          </w:p>
        </w:tc>
        <w:tc>
          <w:tcPr>
            <w:tcW w:w="809"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b/>
                <w:bCs/>
                <w:sz w:val="14"/>
                <w:szCs w:val="14"/>
              </w:rPr>
            </w:pPr>
            <w:r>
              <w:rPr>
                <w:b/>
                <w:bCs/>
                <w:sz w:val="14"/>
                <w:szCs w:val="14"/>
              </w:rPr>
              <w:t>11,774,226</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b/>
                <w:bCs/>
                <w:sz w:val="14"/>
                <w:szCs w:val="14"/>
              </w:rPr>
            </w:pPr>
            <w:r>
              <w:rPr>
                <w:b/>
                <w:bCs/>
                <w:sz w:val="14"/>
                <w:szCs w:val="14"/>
              </w:rPr>
              <w:t>10,512,838</w:t>
            </w:r>
          </w:p>
        </w:tc>
        <w:tc>
          <w:tcPr>
            <w:tcW w:w="720" w:type="dxa"/>
            <w:tcBorders>
              <w:top w:val="nil"/>
              <w:left w:val="nil"/>
              <w:bottom w:val="nil"/>
              <w:right w:val="nil"/>
            </w:tcBorders>
            <w:shd w:val="clear" w:color="auto" w:fill="auto"/>
            <w:tcMar>
              <w:left w:w="43" w:type="dxa"/>
              <w:right w:w="43" w:type="dxa"/>
            </w:tcMar>
            <w:vAlign w:val="center"/>
            <w:hideMark/>
          </w:tcPr>
          <w:p w:rsidR="00876F2A" w:rsidRDefault="00876F2A" w:rsidP="00074580">
            <w:pPr>
              <w:jc w:val="right"/>
              <w:rPr>
                <w:b/>
                <w:bCs/>
                <w:sz w:val="14"/>
                <w:szCs w:val="14"/>
              </w:rPr>
            </w:pPr>
            <w:r>
              <w:rPr>
                <w:b/>
                <w:bCs/>
                <w:sz w:val="14"/>
                <w:szCs w:val="14"/>
              </w:rPr>
              <w:t>10,549,862</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b/>
                <w:bCs/>
                <w:sz w:val="14"/>
                <w:szCs w:val="14"/>
              </w:rPr>
            </w:pPr>
            <w:r>
              <w:rPr>
                <w:b/>
                <w:bCs/>
                <w:sz w:val="14"/>
                <w:szCs w:val="14"/>
              </w:rPr>
              <w:t>11,768,447</w:t>
            </w:r>
          </w:p>
        </w:tc>
        <w:tc>
          <w:tcPr>
            <w:tcW w:w="81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b/>
                <w:bCs/>
                <w:sz w:val="14"/>
                <w:szCs w:val="14"/>
              </w:rPr>
            </w:pPr>
            <w:r>
              <w:rPr>
                <w:b/>
                <w:bCs/>
                <w:sz w:val="14"/>
                <w:szCs w:val="14"/>
              </w:rPr>
              <w:t>12,173,490</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b/>
                <w:bCs/>
                <w:sz w:val="14"/>
                <w:szCs w:val="14"/>
              </w:rPr>
            </w:pPr>
            <w:r>
              <w:rPr>
                <w:b/>
                <w:bCs/>
                <w:sz w:val="14"/>
                <w:szCs w:val="14"/>
              </w:rPr>
              <w:t>11,753,626</w:t>
            </w:r>
          </w:p>
        </w:tc>
        <w:tc>
          <w:tcPr>
            <w:tcW w:w="815" w:type="dxa"/>
            <w:tcBorders>
              <w:top w:val="nil"/>
              <w:left w:val="nil"/>
              <w:bottom w:val="nil"/>
              <w:right w:val="nil"/>
            </w:tcBorders>
            <w:shd w:val="clear" w:color="auto" w:fill="auto"/>
            <w:tcMar>
              <w:left w:w="43" w:type="dxa"/>
              <w:right w:w="43" w:type="dxa"/>
            </w:tcMar>
            <w:vAlign w:val="center"/>
            <w:hideMark/>
          </w:tcPr>
          <w:p w:rsidR="00876F2A" w:rsidRDefault="00876F2A" w:rsidP="00876F2A">
            <w:pPr>
              <w:jc w:val="right"/>
              <w:rPr>
                <w:b/>
                <w:bCs/>
                <w:sz w:val="14"/>
                <w:szCs w:val="14"/>
              </w:rPr>
            </w:pPr>
            <w:r>
              <w:rPr>
                <w:b/>
                <w:bCs/>
                <w:sz w:val="14"/>
                <w:szCs w:val="14"/>
              </w:rPr>
              <w:t>11,714,156</w:t>
            </w:r>
          </w:p>
        </w:tc>
      </w:tr>
      <w:tr w:rsidR="00876F2A" w:rsidRPr="00B34F49" w:rsidTr="00876F2A">
        <w:trPr>
          <w:trHeight w:hRule="exact" w:val="360"/>
          <w:jc w:val="center"/>
        </w:trPr>
        <w:tc>
          <w:tcPr>
            <w:tcW w:w="3420" w:type="dxa"/>
            <w:tcBorders>
              <w:top w:val="nil"/>
              <w:left w:val="nil"/>
              <w:bottom w:val="nil"/>
              <w:right w:val="nil"/>
            </w:tcBorders>
            <w:shd w:val="clear" w:color="auto" w:fill="auto"/>
            <w:vAlign w:val="center"/>
            <w:hideMark/>
          </w:tcPr>
          <w:p w:rsidR="00876F2A" w:rsidRPr="00B34F49" w:rsidRDefault="00876F2A" w:rsidP="00447293">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b/>
                <w:bCs/>
                <w:sz w:val="14"/>
                <w:szCs w:val="14"/>
              </w:rPr>
            </w:pPr>
            <w:r>
              <w:rPr>
                <w:b/>
                <w:bCs/>
                <w:sz w:val="14"/>
                <w:szCs w:val="14"/>
              </w:rPr>
              <w:t>3,447,846</w:t>
            </w:r>
          </w:p>
        </w:tc>
        <w:tc>
          <w:tcPr>
            <w:tcW w:w="815"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b/>
                <w:bCs/>
                <w:sz w:val="14"/>
                <w:szCs w:val="14"/>
              </w:rPr>
            </w:pPr>
            <w:r>
              <w:rPr>
                <w:b/>
                <w:bCs/>
                <w:sz w:val="14"/>
                <w:szCs w:val="14"/>
              </w:rPr>
              <w:t>4,216,854</w:t>
            </w:r>
          </w:p>
        </w:tc>
        <w:tc>
          <w:tcPr>
            <w:tcW w:w="809"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b/>
                <w:bCs/>
                <w:sz w:val="14"/>
                <w:szCs w:val="14"/>
              </w:rPr>
            </w:pPr>
            <w:r>
              <w:rPr>
                <w:b/>
                <w:bCs/>
                <w:sz w:val="14"/>
                <w:szCs w:val="14"/>
              </w:rPr>
              <w:t>5,359,170</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b/>
                <w:bCs/>
                <w:sz w:val="14"/>
                <w:szCs w:val="14"/>
              </w:rPr>
            </w:pPr>
            <w:r>
              <w:rPr>
                <w:b/>
                <w:bCs/>
                <w:sz w:val="14"/>
                <w:szCs w:val="14"/>
              </w:rPr>
              <w:t>4,957,797</w:t>
            </w:r>
          </w:p>
        </w:tc>
        <w:tc>
          <w:tcPr>
            <w:tcW w:w="720" w:type="dxa"/>
            <w:tcBorders>
              <w:top w:val="nil"/>
              <w:left w:val="nil"/>
              <w:bottom w:val="nil"/>
              <w:right w:val="nil"/>
            </w:tcBorders>
            <w:shd w:val="clear" w:color="auto" w:fill="auto"/>
            <w:tcMar>
              <w:left w:w="43" w:type="dxa"/>
              <w:right w:w="43" w:type="dxa"/>
            </w:tcMar>
            <w:vAlign w:val="center"/>
            <w:hideMark/>
          </w:tcPr>
          <w:p w:rsidR="00876F2A" w:rsidRDefault="00876F2A" w:rsidP="00074580">
            <w:pPr>
              <w:jc w:val="right"/>
              <w:rPr>
                <w:b/>
                <w:bCs/>
                <w:sz w:val="14"/>
                <w:szCs w:val="14"/>
              </w:rPr>
            </w:pPr>
            <w:r>
              <w:rPr>
                <w:b/>
                <w:bCs/>
                <w:sz w:val="14"/>
                <w:szCs w:val="14"/>
              </w:rPr>
              <w:t>5,015,695</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b/>
                <w:bCs/>
                <w:sz w:val="14"/>
                <w:szCs w:val="14"/>
              </w:rPr>
            </w:pPr>
            <w:r>
              <w:rPr>
                <w:b/>
                <w:bCs/>
                <w:sz w:val="14"/>
                <w:szCs w:val="14"/>
              </w:rPr>
              <w:t>5,811,868</w:t>
            </w:r>
          </w:p>
        </w:tc>
        <w:tc>
          <w:tcPr>
            <w:tcW w:w="81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b/>
                <w:bCs/>
                <w:sz w:val="14"/>
                <w:szCs w:val="14"/>
              </w:rPr>
            </w:pPr>
            <w:r>
              <w:rPr>
                <w:b/>
                <w:bCs/>
                <w:sz w:val="14"/>
                <w:szCs w:val="14"/>
              </w:rPr>
              <w:t>6,044,358</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b/>
                <w:bCs/>
                <w:sz w:val="14"/>
                <w:szCs w:val="14"/>
              </w:rPr>
            </w:pPr>
            <w:r>
              <w:rPr>
                <w:b/>
                <w:bCs/>
                <w:sz w:val="14"/>
                <w:szCs w:val="14"/>
              </w:rPr>
              <w:t>5,516,226</w:t>
            </w:r>
          </w:p>
        </w:tc>
        <w:tc>
          <w:tcPr>
            <w:tcW w:w="815" w:type="dxa"/>
            <w:tcBorders>
              <w:top w:val="nil"/>
              <w:left w:val="nil"/>
              <w:bottom w:val="nil"/>
              <w:right w:val="nil"/>
            </w:tcBorders>
            <w:shd w:val="clear" w:color="auto" w:fill="auto"/>
            <w:tcMar>
              <w:left w:w="43" w:type="dxa"/>
              <w:right w:w="43" w:type="dxa"/>
            </w:tcMar>
            <w:vAlign w:val="center"/>
            <w:hideMark/>
          </w:tcPr>
          <w:p w:rsidR="00876F2A" w:rsidRDefault="00876F2A" w:rsidP="00876F2A">
            <w:pPr>
              <w:jc w:val="right"/>
              <w:rPr>
                <w:b/>
                <w:bCs/>
                <w:sz w:val="14"/>
                <w:szCs w:val="14"/>
              </w:rPr>
            </w:pPr>
            <w:r>
              <w:rPr>
                <w:b/>
                <w:bCs/>
                <w:sz w:val="14"/>
                <w:szCs w:val="14"/>
              </w:rPr>
              <w:t>5,455,175</w:t>
            </w:r>
          </w:p>
        </w:tc>
      </w:tr>
      <w:tr w:rsidR="00876F2A" w:rsidRPr="00B34F49" w:rsidTr="00876F2A">
        <w:trPr>
          <w:trHeight w:hRule="exact" w:val="270"/>
          <w:jc w:val="center"/>
        </w:trPr>
        <w:tc>
          <w:tcPr>
            <w:tcW w:w="3420" w:type="dxa"/>
            <w:tcBorders>
              <w:top w:val="nil"/>
              <w:left w:val="nil"/>
              <w:bottom w:val="nil"/>
              <w:right w:val="nil"/>
            </w:tcBorders>
            <w:shd w:val="clear" w:color="auto" w:fill="auto"/>
            <w:vAlign w:val="center"/>
            <w:hideMark/>
          </w:tcPr>
          <w:p w:rsidR="00876F2A" w:rsidRPr="00B34F49" w:rsidRDefault="00876F2A" w:rsidP="00447293">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167,081</w:t>
            </w:r>
          </w:p>
        </w:tc>
        <w:tc>
          <w:tcPr>
            <w:tcW w:w="815"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194,414</w:t>
            </w:r>
          </w:p>
        </w:tc>
        <w:tc>
          <w:tcPr>
            <w:tcW w:w="809"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294,115</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200,641</w:t>
            </w:r>
          </w:p>
        </w:tc>
        <w:tc>
          <w:tcPr>
            <w:tcW w:w="720" w:type="dxa"/>
            <w:tcBorders>
              <w:top w:val="nil"/>
              <w:left w:val="nil"/>
              <w:bottom w:val="nil"/>
              <w:right w:val="nil"/>
            </w:tcBorders>
            <w:shd w:val="clear" w:color="auto" w:fill="auto"/>
            <w:tcMar>
              <w:left w:w="43" w:type="dxa"/>
              <w:right w:w="43" w:type="dxa"/>
            </w:tcMar>
            <w:vAlign w:val="center"/>
            <w:hideMark/>
          </w:tcPr>
          <w:p w:rsidR="00876F2A" w:rsidRDefault="00876F2A" w:rsidP="00074580">
            <w:pPr>
              <w:jc w:val="right"/>
              <w:rPr>
                <w:sz w:val="14"/>
                <w:szCs w:val="14"/>
              </w:rPr>
            </w:pPr>
            <w:r>
              <w:rPr>
                <w:sz w:val="14"/>
                <w:szCs w:val="14"/>
              </w:rPr>
              <w:t>206,397</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243,636</w:t>
            </w:r>
          </w:p>
        </w:tc>
        <w:tc>
          <w:tcPr>
            <w:tcW w:w="81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256,441</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235,948</w:t>
            </w:r>
          </w:p>
        </w:tc>
        <w:tc>
          <w:tcPr>
            <w:tcW w:w="815" w:type="dxa"/>
            <w:tcBorders>
              <w:top w:val="nil"/>
              <w:left w:val="nil"/>
              <w:bottom w:val="nil"/>
              <w:right w:val="nil"/>
            </w:tcBorders>
            <w:shd w:val="clear" w:color="auto" w:fill="auto"/>
            <w:tcMar>
              <w:left w:w="43" w:type="dxa"/>
              <w:right w:w="43" w:type="dxa"/>
            </w:tcMar>
            <w:vAlign w:val="center"/>
            <w:hideMark/>
          </w:tcPr>
          <w:p w:rsidR="00876F2A" w:rsidRDefault="00876F2A" w:rsidP="00876F2A">
            <w:pPr>
              <w:jc w:val="right"/>
              <w:rPr>
                <w:sz w:val="14"/>
                <w:szCs w:val="14"/>
              </w:rPr>
            </w:pPr>
            <w:r>
              <w:rPr>
                <w:sz w:val="14"/>
                <w:szCs w:val="14"/>
              </w:rPr>
              <w:t>234,510</w:t>
            </w:r>
          </w:p>
        </w:tc>
      </w:tr>
      <w:tr w:rsidR="00876F2A" w:rsidRPr="00B34F49" w:rsidTr="00876F2A">
        <w:trPr>
          <w:trHeight w:hRule="exact" w:val="270"/>
          <w:jc w:val="center"/>
        </w:trPr>
        <w:tc>
          <w:tcPr>
            <w:tcW w:w="3420" w:type="dxa"/>
            <w:tcBorders>
              <w:top w:val="nil"/>
              <w:left w:val="nil"/>
              <w:bottom w:val="nil"/>
              <w:right w:val="nil"/>
            </w:tcBorders>
            <w:shd w:val="clear" w:color="auto" w:fill="auto"/>
            <w:vAlign w:val="center"/>
            <w:hideMark/>
          </w:tcPr>
          <w:p w:rsidR="00876F2A" w:rsidRPr="00B34F49" w:rsidRDefault="00876F2A" w:rsidP="00447293">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357,482</w:t>
            </w:r>
          </w:p>
        </w:tc>
        <w:tc>
          <w:tcPr>
            <w:tcW w:w="815"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425,286</w:t>
            </w:r>
          </w:p>
        </w:tc>
        <w:tc>
          <w:tcPr>
            <w:tcW w:w="809"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502,760</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446,739</w:t>
            </w:r>
          </w:p>
        </w:tc>
        <w:tc>
          <w:tcPr>
            <w:tcW w:w="720" w:type="dxa"/>
            <w:tcBorders>
              <w:top w:val="nil"/>
              <w:left w:val="nil"/>
              <w:bottom w:val="nil"/>
              <w:right w:val="nil"/>
            </w:tcBorders>
            <w:shd w:val="clear" w:color="auto" w:fill="auto"/>
            <w:tcMar>
              <w:left w:w="43" w:type="dxa"/>
              <w:right w:w="43" w:type="dxa"/>
            </w:tcMar>
            <w:vAlign w:val="center"/>
            <w:hideMark/>
          </w:tcPr>
          <w:p w:rsidR="00876F2A" w:rsidRDefault="00876F2A" w:rsidP="00074580">
            <w:pPr>
              <w:jc w:val="right"/>
              <w:rPr>
                <w:sz w:val="14"/>
                <w:szCs w:val="14"/>
              </w:rPr>
            </w:pPr>
            <w:r>
              <w:rPr>
                <w:sz w:val="14"/>
                <w:szCs w:val="14"/>
              </w:rPr>
              <w:t>407,366</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565,840</w:t>
            </w:r>
          </w:p>
        </w:tc>
        <w:tc>
          <w:tcPr>
            <w:tcW w:w="81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586,015</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523,994</w:t>
            </w:r>
          </w:p>
        </w:tc>
        <w:tc>
          <w:tcPr>
            <w:tcW w:w="815" w:type="dxa"/>
            <w:tcBorders>
              <w:top w:val="nil"/>
              <w:left w:val="nil"/>
              <w:bottom w:val="nil"/>
              <w:right w:val="nil"/>
            </w:tcBorders>
            <w:shd w:val="clear" w:color="auto" w:fill="auto"/>
            <w:tcMar>
              <w:left w:w="43" w:type="dxa"/>
              <w:right w:w="43" w:type="dxa"/>
            </w:tcMar>
            <w:vAlign w:val="center"/>
            <w:hideMark/>
          </w:tcPr>
          <w:p w:rsidR="00876F2A" w:rsidRDefault="00876F2A" w:rsidP="00876F2A">
            <w:pPr>
              <w:jc w:val="right"/>
              <w:rPr>
                <w:sz w:val="14"/>
                <w:szCs w:val="14"/>
              </w:rPr>
            </w:pPr>
            <w:r>
              <w:rPr>
                <w:sz w:val="14"/>
                <w:szCs w:val="14"/>
              </w:rPr>
              <w:t>483,028</w:t>
            </w:r>
          </w:p>
        </w:tc>
      </w:tr>
      <w:tr w:rsidR="00876F2A" w:rsidRPr="00B34F49" w:rsidTr="00876F2A">
        <w:trPr>
          <w:trHeight w:hRule="exact" w:val="315"/>
          <w:jc w:val="center"/>
        </w:trPr>
        <w:tc>
          <w:tcPr>
            <w:tcW w:w="3420" w:type="dxa"/>
            <w:tcBorders>
              <w:top w:val="nil"/>
              <w:left w:val="nil"/>
              <w:bottom w:val="nil"/>
              <w:right w:val="nil"/>
            </w:tcBorders>
            <w:shd w:val="clear" w:color="auto" w:fill="auto"/>
            <w:vAlign w:val="center"/>
            <w:hideMark/>
          </w:tcPr>
          <w:p w:rsidR="00876F2A" w:rsidRPr="00B34F49" w:rsidRDefault="00876F2A" w:rsidP="00447293">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22,621</w:t>
            </w:r>
          </w:p>
        </w:tc>
        <w:tc>
          <w:tcPr>
            <w:tcW w:w="815"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34,132</w:t>
            </w:r>
          </w:p>
        </w:tc>
        <w:tc>
          <w:tcPr>
            <w:tcW w:w="809"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178,083</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42,439</w:t>
            </w:r>
          </w:p>
        </w:tc>
        <w:tc>
          <w:tcPr>
            <w:tcW w:w="720" w:type="dxa"/>
            <w:tcBorders>
              <w:top w:val="nil"/>
              <w:left w:val="nil"/>
              <w:bottom w:val="nil"/>
              <w:right w:val="nil"/>
            </w:tcBorders>
            <w:shd w:val="clear" w:color="auto" w:fill="auto"/>
            <w:tcMar>
              <w:left w:w="43" w:type="dxa"/>
              <w:right w:w="43" w:type="dxa"/>
            </w:tcMar>
            <w:vAlign w:val="center"/>
            <w:hideMark/>
          </w:tcPr>
          <w:p w:rsidR="00876F2A" w:rsidRDefault="00876F2A" w:rsidP="00074580">
            <w:pPr>
              <w:jc w:val="right"/>
              <w:rPr>
                <w:sz w:val="14"/>
                <w:szCs w:val="14"/>
              </w:rPr>
            </w:pPr>
            <w:r>
              <w:rPr>
                <w:sz w:val="14"/>
                <w:szCs w:val="14"/>
              </w:rPr>
              <w:t>45,144</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114,210</w:t>
            </w:r>
          </w:p>
        </w:tc>
        <w:tc>
          <w:tcPr>
            <w:tcW w:w="81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185,653</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65,102</w:t>
            </w:r>
          </w:p>
        </w:tc>
        <w:tc>
          <w:tcPr>
            <w:tcW w:w="815" w:type="dxa"/>
            <w:tcBorders>
              <w:top w:val="nil"/>
              <w:left w:val="nil"/>
              <w:bottom w:val="nil"/>
              <w:right w:val="nil"/>
            </w:tcBorders>
            <w:shd w:val="clear" w:color="auto" w:fill="auto"/>
            <w:tcMar>
              <w:left w:w="43" w:type="dxa"/>
              <w:right w:w="43" w:type="dxa"/>
            </w:tcMar>
            <w:vAlign w:val="center"/>
            <w:hideMark/>
          </w:tcPr>
          <w:p w:rsidR="00876F2A" w:rsidRDefault="00876F2A" w:rsidP="00876F2A">
            <w:pPr>
              <w:jc w:val="right"/>
              <w:rPr>
                <w:sz w:val="14"/>
                <w:szCs w:val="14"/>
              </w:rPr>
            </w:pPr>
            <w:r>
              <w:rPr>
                <w:sz w:val="14"/>
                <w:szCs w:val="14"/>
              </w:rPr>
              <w:t>60,431</w:t>
            </w:r>
          </w:p>
        </w:tc>
      </w:tr>
      <w:tr w:rsidR="00876F2A" w:rsidRPr="00B34F49" w:rsidTr="00876F2A">
        <w:trPr>
          <w:trHeight w:hRule="exact" w:val="279"/>
          <w:jc w:val="center"/>
        </w:trPr>
        <w:tc>
          <w:tcPr>
            <w:tcW w:w="3420" w:type="dxa"/>
            <w:tcBorders>
              <w:top w:val="nil"/>
              <w:left w:val="nil"/>
              <w:bottom w:val="nil"/>
              <w:right w:val="nil"/>
            </w:tcBorders>
            <w:shd w:val="clear" w:color="auto" w:fill="auto"/>
            <w:vAlign w:val="center"/>
            <w:hideMark/>
          </w:tcPr>
          <w:p w:rsidR="00876F2A" w:rsidRPr="00B34F49" w:rsidRDefault="00876F2A" w:rsidP="00447293">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2,878,616</w:t>
            </w:r>
          </w:p>
        </w:tc>
        <w:tc>
          <w:tcPr>
            <w:tcW w:w="815"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3,544,525</w:t>
            </w:r>
          </w:p>
        </w:tc>
        <w:tc>
          <w:tcPr>
            <w:tcW w:w="809"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4,365,694</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4,249,748</w:t>
            </w:r>
          </w:p>
        </w:tc>
        <w:tc>
          <w:tcPr>
            <w:tcW w:w="720" w:type="dxa"/>
            <w:tcBorders>
              <w:top w:val="nil"/>
              <w:left w:val="nil"/>
              <w:bottom w:val="nil"/>
              <w:right w:val="nil"/>
            </w:tcBorders>
            <w:shd w:val="clear" w:color="auto" w:fill="auto"/>
            <w:tcMar>
              <w:left w:w="43" w:type="dxa"/>
              <w:right w:w="43" w:type="dxa"/>
            </w:tcMar>
            <w:vAlign w:val="center"/>
            <w:hideMark/>
          </w:tcPr>
          <w:p w:rsidR="00876F2A" w:rsidRDefault="00876F2A" w:rsidP="00074580">
            <w:pPr>
              <w:jc w:val="right"/>
              <w:rPr>
                <w:sz w:val="14"/>
                <w:szCs w:val="14"/>
              </w:rPr>
            </w:pPr>
            <w:r>
              <w:rPr>
                <w:sz w:val="14"/>
                <w:szCs w:val="14"/>
              </w:rPr>
              <w:t>4,338,560</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4,864,214</w:t>
            </w:r>
          </w:p>
        </w:tc>
        <w:tc>
          <w:tcPr>
            <w:tcW w:w="81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4,991,604</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4,666,527</w:t>
            </w:r>
          </w:p>
        </w:tc>
        <w:tc>
          <w:tcPr>
            <w:tcW w:w="815" w:type="dxa"/>
            <w:tcBorders>
              <w:top w:val="nil"/>
              <w:left w:val="nil"/>
              <w:bottom w:val="nil"/>
              <w:right w:val="nil"/>
            </w:tcBorders>
            <w:shd w:val="clear" w:color="auto" w:fill="auto"/>
            <w:tcMar>
              <w:left w:w="43" w:type="dxa"/>
              <w:right w:w="43" w:type="dxa"/>
            </w:tcMar>
            <w:vAlign w:val="center"/>
            <w:hideMark/>
          </w:tcPr>
          <w:p w:rsidR="00876F2A" w:rsidRDefault="00876F2A" w:rsidP="00876F2A">
            <w:pPr>
              <w:jc w:val="right"/>
              <w:rPr>
                <w:sz w:val="14"/>
                <w:szCs w:val="14"/>
              </w:rPr>
            </w:pPr>
            <w:r>
              <w:rPr>
                <w:sz w:val="14"/>
                <w:szCs w:val="14"/>
              </w:rPr>
              <w:t>4,652,548</w:t>
            </w:r>
          </w:p>
        </w:tc>
      </w:tr>
      <w:tr w:rsidR="00876F2A" w:rsidRPr="00B34F49" w:rsidTr="00876F2A">
        <w:trPr>
          <w:trHeight w:hRule="exact" w:val="324"/>
          <w:jc w:val="center"/>
        </w:trPr>
        <w:tc>
          <w:tcPr>
            <w:tcW w:w="3420" w:type="dxa"/>
            <w:tcBorders>
              <w:top w:val="nil"/>
              <w:left w:val="nil"/>
              <w:bottom w:val="nil"/>
              <w:right w:val="nil"/>
            </w:tcBorders>
            <w:shd w:val="clear" w:color="auto" w:fill="auto"/>
            <w:vAlign w:val="center"/>
            <w:hideMark/>
          </w:tcPr>
          <w:p w:rsidR="00876F2A" w:rsidRPr="007E3CF2" w:rsidRDefault="00876F2A" w:rsidP="00447293">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21,816</w:t>
            </w:r>
          </w:p>
        </w:tc>
        <w:tc>
          <w:tcPr>
            <w:tcW w:w="815"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18,267</w:t>
            </w:r>
          </w:p>
        </w:tc>
        <w:tc>
          <w:tcPr>
            <w:tcW w:w="809"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18,288</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17,999</w:t>
            </w:r>
          </w:p>
        </w:tc>
        <w:tc>
          <w:tcPr>
            <w:tcW w:w="720" w:type="dxa"/>
            <w:tcBorders>
              <w:top w:val="nil"/>
              <w:left w:val="nil"/>
              <w:bottom w:val="nil"/>
              <w:right w:val="nil"/>
            </w:tcBorders>
            <w:shd w:val="clear" w:color="auto" w:fill="auto"/>
            <w:tcMar>
              <w:left w:w="43" w:type="dxa"/>
              <w:right w:w="43" w:type="dxa"/>
            </w:tcMar>
            <w:vAlign w:val="center"/>
            <w:hideMark/>
          </w:tcPr>
          <w:p w:rsidR="00876F2A" w:rsidRDefault="00876F2A" w:rsidP="00074580">
            <w:pPr>
              <w:jc w:val="right"/>
              <w:rPr>
                <w:sz w:val="14"/>
                <w:szCs w:val="14"/>
              </w:rPr>
            </w:pPr>
            <w:r>
              <w:rPr>
                <w:sz w:val="14"/>
                <w:szCs w:val="14"/>
              </w:rPr>
              <w:t>17,999</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23,738</w:t>
            </w:r>
          </w:p>
        </w:tc>
        <w:tc>
          <w:tcPr>
            <w:tcW w:w="81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24,414</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24,426</w:t>
            </w:r>
          </w:p>
        </w:tc>
        <w:tc>
          <w:tcPr>
            <w:tcW w:w="815" w:type="dxa"/>
            <w:tcBorders>
              <w:top w:val="nil"/>
              <w:left w:val="nil"/>
              <w:bottom w:val="nil"/>
              <w:right w:val="nil"/>
            </w:tcBorders>
            <w:shd w:val="clear" w:color="auto" w:fill="auto"/>
            <w:tcMar>
              <w:left w:w="43" w:type="dxa"/>
              <w:right w:w="43" w:type="dxa"/>
            </w:tcMar>
            <w:vAlign w:val="center"/>
            <w:hideMark/>
          </w:tcPr>
          <w:p w:rsidR="00876F2A" w:rsidRDefault="00876F2A" w:rsidP="00876F2A">
            <w:pPr>
              <w:jc w:val="right"/>
              <w:rPr>
                <w:sz w:val="14"/>
                <w:szCs w:val="14"/>
              </w:rPr>
            </w:pPr>
            <w:r>
              <w:rPr>
                <w:sz w:val="14"/>
                <w:szCs w:val="14"/>
              </w:rPr>
              <w:t>24,428</w:t>
            </w:r>
          </w:p>
        </w:tc>
      </w:tr>
      <w:tr w:rsidR="00876F2A" w:rsidRPr="00B34F49" w:rsidTr="00876F2A">
        <w:trPr>
          <w:trHeight w:hRule="exact" w:val="202"/>
          <w:jc w:val="center"/>
        </w:trPr>
        <w:tc>
          <w:tcPr>
            <w:tcW w:w="3420" w:type="dxa"/>
            <w:tcBorders>
              <w:top w:val="nil"/>
              <w:left w:val="nil"/>
              <w:bottom w:val="nil"/>
              <w:right w:val="nil"/>
            </w:tcBorders>
            <w:shd w:val="clear" w:color="auto" w:fill="auto"/>
            <w:vAlign w:val="center"/>
            <w:hideMark/>
          </w:tcPr>
          <w:p w:rsidR="00876F2A" w:rsidRPr="00B34F49" w:rsidRDefault="00876F2A" w:rsidP="00447293">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230</w:t>
            </w:r>
          </w:p>
        </w:tc>
        <w:tc>
          <w:tcPr>
            <w:tcW w:w="809"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230</w:t>
            </w:r>
          </w:p>
        </w:tc>
        <w:tc>
          <w:tcPr>
            <w:tcW w:w="720" w:type="dxa"/>
            <w:tcBorders>
              <w:top w:val="nil"/>
              <w:left w:val="nil"/>
              <w:bottom w:val="nil"/>
              <w:right w:val="nil"/>
            </w:tcBorders>
            <w:shd w:val="clear" w:color="auto" w:fill="auto"/>
            <w:tcMar>
              <w:left w:w="43" w:type="dxa"/>
              <w:right w:w="43" w:type="dxa"/>
            </w:tcMar>
            <w:vAlign w:val="center"/>
            <w:hideMark/>
          </w:tcPr>
          <w:p w:rsidR="00876F2A" w:rsidRDefault="00876F2A" w:rsidP="00074580">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230</w:t>
            </w:r>
          </w:p>
        </w:tc>
        <w:tc>
          <w:tcPr>
            <w:tcW w:w="81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hideMark/>
          </w:tcPr>
          <w:p w:rsidR="00876F2A" w:rsidRDefault="00876F2A" w:rsidP="00876F2A">
            <w:pPr>
              <w:jc w:val="right"/>
              <w:rPr>
                <w:sz w:val="14"/>
                <w:szCs w:val="14"/>
              </w:rPr>
            </w:pPr>
            <w:r>
              <w:rPr>
                <w:sz w:val="14"/>
                <w:szCs w:val="14"/>
              </w:rPr>
              <w:t>230</w:t>
            </w:r>
          </w:p>
        </w:tc>
      </w:tr>
      <w:tr w:rsidR="00876F2A" w:rsidRPr="00B34F49" w:rsidTr="00876F2A">
        <w:trPr>
          <w:trHeight w:hRule="exact" w:val="315"/>
          <w:jc w:val="center"/>
        </w:trPr>
        <w:tc>
          <w:tcPr>
            <w:tcW w:w="3420" w:type="dxa"/>
            <w:tcBorders>
              <w:top w:val="nil"/>
              <w:left w:val="nil"/>
              <w:bottom w:val="nil"/>
              <w:right w:val="nil"/>
            </w:tcBorders>
            <w:shd w:val="clear" w:color="auto" w:fill="auto"/>
            <w:vAlign w:val="center"/>
            <w:hideMark/>
          </w:tcPr>
          <w:p w:rsidR="00876F2A" w:rsidRPr="00B34F49" w:rsidRDefault="00876F2A" w:rsidP="00447293">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1,831,823</w:t>
            </w:r>
          </w:p>
        </w:tc>
        <w:tc>
          <w:tcPr>
            <w:tcW w:w="815"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2,029,928</w:t>
            </w:r>
          </w:p>
        </w:tc>
        <w:tc>
          <w:tcPr>
            <w:tcW w:w="809" w:type="dxa"/>
            <w:tcBorders>
              <w:top w:val="nil"/>
              <w:left w:val="nil"/>
              <w:bottom w:val="nil"/>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2,449,848</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2,156,481</w:t>
            </w:r>
          </w:p>
        </w:tc>
        <w:tc>
          <w:tcPr>
            <w:tcW w:w="720" w:type="dxa"/>
            <w:tcBorders>
              <w:top w:val="nil"/>
              <w:left w:val="nil"/>
              <w:bottom w:val="nil"/>
              <w:right w:val="nil"/>
            </w:tcBorders>
            <w:shd w:val="clear" w:color="auto" w:fill="auto"/>
            <w:tcMar>
              <w:left w:w="43" w:type="dxa"/>
              <w:right w:w="43" w:type="dxa"/>
            </w:tcMar>
            <w:vAlign w:val="center"/>
            <w:hideMark/>
          </w:tcPr>
          <w:p w:rsidR="00876F2A" w:rsidRDefault="00876F2A" w:rsidP="00074580">
            <w:pPr>
              <w:jc w:val="right"/>
              <w:rPr>
                <w:sz w:val="14"/>
                <w:szCs w:val="14"/>
              </w:rPr>
            </w:pPr>
            <w:r>
              <w:rPr>
                <w:sz w:val="14"/>
                <w:szCs w:val="14"/>
              </w:rPr>
              <w:t>2,162,743</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2,418,929</w:t>
            </w:r>
          </w:p>
        </w:tc>
        <w:tc>
          <w:tcPr>
            <w:tcW w:w="81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2,514,126</w:t>
            </w:r>
          </w:p>
        </w:tc>
        <w:tc>
          <w:tcPr>
            <w:tcW w:w="721" w:type="dxa"/>
            <w:tcBorders>
              <w:top w:val="nil"/>
              <w:left w:val="nil"/>
              <w:bottom w:val="nil"/>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2,406,618</w:t>
            </w:r>
          </w:p>
        </w:tc>
        <w:tc>
          <w:tcPr>
            <w:tcW w:w="815" w:type="dxa"/>
            <w:tcBorders>
              <w:top w:val="nil"/>
              <w:left w:val="nil"/>
              <w:bottom w:val="nil"/>
              <w:right w:val="nil"/>
            </w:tcBorders>
            <w:shd w:val="clear" w:color="auto" w:fill="auto"/>
            <w:tcMar>
              <w:left w:w="43" w:type="dxa"/>
              <w:right w:w="43" w:type="dxa"/>
            </w:tcMar>
            <w:vAlign w:val="center"/>
            <w:hideMark/>
          </w:tcPr>
          <w:p w:rsidR="00876F2A" w:rsidRDefault="00876F2A" w:rsidP="00876F2A">
            <w:pPr>
              <w:jc w:val="right"/>
              <w:rPr>
                <w:sz w:val="14"/>
                <w:szCs w:val="14"/>
              </w:rPr>
            </w:pPr>
            <w:r>
              <w:rPr>
                <w:sz w:val="14"/>
                <w:szCs w:val="14"/>
              </w:rPr>
              <w:t>2,390,046</w:t>
            </w:r>
          </w:p>
        </w:tc>
      </w:tr>
      <w:tr w:rsidR="00876F2A" w:rsidRPr="00B34F49" w:rsidTr="00876F2A">
        <w:trPr>
          <w:trHeight w:hRule="exact" w:val="297"/>
          <w:jc w:val="center"/>
        </w:trPr>
        <w:tc>
          <w:tcPr>
            <w:tcW w:w="3420" w:type="dxa"/>
            <w:tcBorders>
              <w:top w:val="nil"/>
              <w:left w:val="nil"/>
              <w:bottom w:val="single" w:sz="12" w:space="0" w:color="auto"/>
              <w:right w:val="nil"/>
            </w:tcBorders>
            <w:shd w:val="clear" w:color="auto" w:fill="auto"/>
            <w:vAlign w:val="center"/>
            <w:hideMark/>
          </w:tcPr>
          <w:p w:rsidR="00876F2A" w:rsidRPr="00B34F49" w:rsidRDefault="00876F2A" w:rsidP="00447293">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1,616,023</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2,186,926</w:t>
            </w:r>
          </w:p>
        </w:tc>
        <w:tc>
          <w:tcPr>
            <w:tcW w:w="809" w:type="dxa"/>
            <w:tcBorders>
              <w:top w:val="nil"/>
              <w:left w:val="nil"/>
              <w:bottom w:val="single" w:sz="12" w:space="0" w:color="auto"/>
              <w:right w:val="nil"/>
            </w:tcBorders>
            <w:shd w:val="clear" w:color="auto" w:fill="auto"/>
            <w:tcMar>
              <w:left w:w="43" w:type="dxa"/>
              <w:right w:w="43" w:type="dxa"/>
            </w:tcMar>
            <w:vAlign w:val="center"/>
            <w:hideMark/>
          </w:tcPr>
          <w:p w:rsidR="00876F2A" w:rsidRDefault="00876F2A" w:rsidP="00447293">
            <w:pPr>
              <w:jc w:val="right"/>
              <w:rPr>
                <w:sz w:val="14"/>
                <w:szCs w:val="14"/>
              </w:rPr>
            </w:pPr>
            <w:r>
              <w:rPr>
                <w:sz w:val="14"/>
                <w:szCs w:val="14"/>
              </w:rPr>
              <w:t>2,909,323</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2,801,316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76F2A" w:rsidRDefault="00876F2A" w:rsidP="00074580">
            <w:pPr>
              <w:jc w:val="right"/>
              <w:rPr>
                <w:sz w:val="14"/>
                <w:szCs w:val="14"/>
              </w:rPr>
            </w:pPr>
            <w:r>
              <w:rPr>
                <w:sz w:val="14"/>
                <w:szCs w:val="14"/>
              </w:rPr>
              <w:t>2,852,953</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3,392,939</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3,530,232</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876F2A" w:rsidRDefault="00876F2A" w:rsidP="00C62A4E">
            <w:pPr>
              <w:jc w:val="right"/>
              <w:rPr>
                <w:sz w:val="14"/>
                <w:szCs w:val="14"/>
              </w:rPr>
            </w:pPr>
            <w:r>
              <w:rPr>
                <w:sz w:val="14"/>
                <w:szCs w:val="14"/>
              </w:rPr>
              <w:t>3,109,609</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876F2A" w:rsidRDefault="00876F2A" w:rsidP="00876F2A">
            <w:pPr>
              <w:jc w:val="right"/>
              <w:rPr>
                <w:sz w:val="14"/>
                <w:szCs w:val="14"/>
              </w:rPr>
            </w:pPr>
            <w:r>
              <w:rPr>
                <w:sz w:val="14"/>
                <w:szCs w:val="14"/>
              </w:rPr>
              <w:t>3,065,130</w:t>
            </w:r>
          </w:p>
        </w:tc>
      </w:tr>
      <w:tr w:rsidR="00447293" w:rsidRPr="00B34F49" w:rsidTr="00447293">
        <w:trPr>
          <w:trHeight w:val="177"/>
          <w:jc w:val="center"/>
        </w:trPr>
        <w:tc>
          <w:tcPr>
            <w:tcW w:w="3420" w:type="dxa"/>
            <w:tcBorders>
              <w:top w:val="nil"/>
              <w:left w:val="nil"/>
              <w:bottom w:val="nil"/>
              <w:right w:val="nil"/>
            </w:tcBorders>
            <w:shd w:val="clear" w:color="auto" w:fill="auto"/>
            <w:noWrap/>
            <w:vAlign w:val="bottom"/>
            <w:hideMark/>
          </w:tcPr>
          <w:p w:rsidR="00447293" w:rsidRPr="00B34F49" w:rsidRDefault="00447293" w:rsidP="00447293">
            <w:pPr>
              <w:jc w:val="left"/>
              <w:rPr>
                <w:sz w:val="14"/>
                <w:szCs w:val="14"/>
              </w:rPr>
            </w:pPr>
          </w:p>
        </w:tc>
        <w:tc>
          <w:tcPr>
            <w:tcW w:w="7033" w:type="dxa"/>
            <w:gridSpan w:val="9"/>
            <w:tcBorders>
              <w:top w:val="single" w:sz="12" w:space="0" w:color="auto"/>
              <w:left w:val="nil"/>
              <w:bottom w:val="nil"/>
              <w:right w:val="nil"/>
            </w:tcBorders>
            <w:shd w:val="clear" w:color="auto" w:fill="auto"/>
            <w:noWrap/>
            <w:vAlign w:val="bottom"/>
            <w:hideMark/>
          </w:tcPr>
          <w:p w:rsidR="00447293" w:rsidRPr="00B34F49" w:rsidRDefault="00447293" w:rsidP="00447293">
            <w:pPr>
              <w:jc w:val="right"/>
              <w:rPr>
                <w:color w:val="auto"/>
                <w:sz w:val="14"/>
                <w:szCs w:val="14"/>
              </w:rPr>
            </w:pPr>
            <w:r w:rsidRPr="00B34F49">
              <w:rPr>
                <w:color w:val="auto"/>
                <w:sz w:val="14"/>
                <w:szCs w:val="16"/>
              </w:rPr>
              <w:t xml:space="preserve">Source: Off-Site Supervision &amp; Enforcement  Department SBP </w:t>
            </w:r>
          </w:p>
        </w:tc>
      </w:tr>
      <w:tr w:rsidR="00447293" w:rsidRPr="00B34F49" w:rsidTr="00447293">
        <w:trPr>
          <w:trHeight w:val="180"/>
          <w:jc w:val="center"/>
        </w:trPr>
        <w:tc>
          <w:tcPr>
            <w:tcW w:w="10453" w:type="dxa"/>
            <w:gridSpan w:val="10"/>
            <w:tcBorders>
              <w:top w:val="nil"/>
              <w:left w:val="nil"/>
              <w:bottom w:val="nil"/>
              <w:right w:val="nil"/>
            </w:tcBorders>
            <w:shd w:val="clear" w:color="auto" w:fill="auto"/>
            <w:noWrap/>
            <w:vAlign w:val="center"/>
            <w:hideMark/>
          </w:tcPr>
          <w:p w:rsidR="00447293" w:rsidRPr="00B34F49" w:rsidRDefault="00447293" w:rsidP="00447293">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tblPr>
      <w:tblGrid>
        <w:gridCol w:w="3494"/>
        <w:gridCol w:w="719"/>
        <w:gridCol w:w="723"/>
        <w:gridCol w:w="719"/>
        <w:gridCol w:w="812"/>
        <w:gridCol w:w="840"/>
        <w:gridCol w:w="810"/>
        <w:gridCol w:w="810"/>
        <w:gridCol w:w="812"/>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252829">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6" w:type="pct"/>
            <w:gridSpan w:val="4"/>
            <w:tcBorders>
              <w:bottom w:val="single" w:sz="4" w:space="0" w:color="auto"/>
              <w:right w:val="single" w:sz="4" w:space="0" w:color="auto"/>
            </w:tcBorders>
            <w:shd w:val="clear" w:color="auto" w:fill="auto"/>
            <w:vAlign w:val="center"/>
          </w:tcPr>
          <w:p w:rsidR="007E2F90" w:rsidRPr="00D5469A" w:rsidRDefault="00C6679F" w:rsidP="007E2F90">
            <w:pPr>
              <w:rPr>
                <w:b/>
                <w:color w:val="auto"/>
                <w:szCs w:val="16"/>
              </w:rPr>
            </w:pPr>
            <w:r>
              <w:rPr>
                <w:b/>
                <w:color w:val="auto"/>
                <w:szCs w:val="16"/>
              </w:rPr>
              <w:t>Dec</w:t>
            </w:r>
            <w:r w:rsidR="007E2F90" w:rsidRPr="00D5469A">
              <w:rPr>
                <w:b/>
                <w:color w:val="auto"/>
                <w:szCs w:val="16"/>
              </w:rPr>
              <w:t>-1</w:t>
            </w:r>
            <w:r>
              <w:rPr>
                <w:b/>
                <w:color w:val="auto"/>
                <w:szCs w:val="16"/>
              </w:rPr>
              <w:t>6</w:t>
            </w:r>
          </w:p>
        </w:tc>
        <w:tc>
          <w:tcPr>
            <w:tcW w:w="1680" w:type="pct"/>
            <w:gridSpan w:val="4"/>
            <w:tcBorders>
              <w:left w:val="single" w:sz="4" w:space="0" w:color="auto"/>
              <w:bottom w:val="single" w:sz="4" w:space="0" w:color="auto"/>
            </w:tcBorders>
            <w:shd w:val="clear" w:color="auto" w:fill="auto"/>
            <w:vAlign w:val="center"/>
          </w:tcPr>
          <w:p w:rsidR="007E2F90" w:rsidRPr="00D5469A" w:rsidRDefault="00E6216B" w:rsidP="002C7066">
            <w:pPr>
              <w:rPr>
                <w:b/>
                <w:color w:val="auto"/>
                <w:szCs w:val="16"/>
              </w:rPr>
            </w:pPr>
            <w:r>
              <w:rPr>
                <w:b/>
                <w:color w:val="auto"/>
                <w:szCs w:val="16"/>
              </w:rPr>
              <w:t>Dec</w:t>
            </w:r>
            <w:r w:rsidR="007E2F90">
              <w:rPr>
                <w:b/>
                <w:color w:val="auto"/>
                <w:szCs w:val="16"/>
              </w:rPr>
              <w:t>-1</w:t>
            </w:r>
            <w:r w:rsidR="002C7066">
              <w:rPr>
                <w:b/>
                <w:color w:val="auto"/>
                <w:szCs w:val="16"/>
              </w:rPr>
              <w:t>7</w:t>
            </w:r>
          </w:p>
        </w:tc>
      </w:tr>
      <w:tr w:rsidR="006423A2" w:rsidRPr="00D5469A" w:rsidTr="00252829">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12,024</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196,778</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32,902</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241,704</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10,667</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263,964</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42,585</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317,216</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359</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2,568</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2,929</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4</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1,566</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4,020</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5,589</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8,819</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166,056</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26,547</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201,423</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3,306</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203,567</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28,929</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235,801</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4,540</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2,133</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6,673</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2,081</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2,614</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4,695</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3,204</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25,822</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1,653</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30,679</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7,358</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56,750</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7,022</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71,130</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82,328</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78,462</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32,000</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192,791</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95,304</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90,274</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44,548</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230,127</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37,658</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45,995</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30,380</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114,033</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72,305</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50,861</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44,006</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167,172</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44,670</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32,467</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1,620</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78,757</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22,998</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39,414</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543</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62,955</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85,407</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68,624</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92,731</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246,762</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94,210</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85,306</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139,493</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319,008</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17,246</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20,187</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79,376</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116,809</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19,977</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20,970</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110,027</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150,974</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68,161</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48,437</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13,355</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129,953</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74,233</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64,336</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29,465</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168,035</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31,775</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373,148</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404,924</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31,518</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362,629</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394,147</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27,121</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354,827</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381,947</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25,566</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346,965</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372,531</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4,655</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18,322</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22,976</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5,952</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15,664</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21,617</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2</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2</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E6216B" w:rsidRDefault="002D42D6" w:rsidP="00E6216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33</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34</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E6216B" w:rsidRDefault="002D42D6" w:rsidP="00E6216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32</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32</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68</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68</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12,586</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51,115</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8,994</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72,695</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13,794</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40,699</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16,197</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70,690</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4,755</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18,728</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8,321</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31,803</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4,744</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41,624</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11,496</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57,864</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1B2736" w:rsidRDefault="00E6216B" w:rsidP="00E6216B">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4,607</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13,809</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7,995</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26,411</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4,596</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25,025</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11,256</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40,877</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4,465</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12,917</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6,643</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24,025</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4,451</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23,202</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9,564</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37,217</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left="373"/>
              <w:jc w:val="left"/>
              <w:rPr>
                <w:color w:val="auto"/>
                <w:szCs w:val="16"/>
              </w:rPr>
            </w:pPr>
            <w:r w:rsidRPr="00D5469A">
              <w:rPr>
                <w:color w:val="auto"/>
                <w:szCs w:val="16"/>
              </w:rPr>
              <w:t xml:space="preserve">     </w:t>
            </w:r>
            <w:proofErr w:type="gramStart"/>
            <w:r w:rsidRPr="00D5469A">
              <w:rPr>
                <w:color w:val="auto"/>
                <w:szCs w:val="16"/>
              </w:rPr>
              <w:t>ii .</w:t>
            </w:r>
            <w:proofErr w:type="gramEnd"/>
            <w:r w:rsidRPr="00D5469A">
              <w:rPr>
                <w:color w:val="auto"/>
                <w:szCs w:val="16"/>
              </w:rPr>
              <w:t xml:space="preserve">  Inventories</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270</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270</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699</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699</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E6216B" w:rsidRPr="00D5469A" w:rsidRDefault="00E6216B" w:rsidP="00E6216B">
            <w:pPr>
              <w:jc w:val="right"/>
              <w:rPr>
                <w:color w:val="auto"/>
                <w:sz w:val="14"/>
                <w:szCs w:val="14"/>
              </w:rPr>
            </w:pPr>
            <w:r w:rsidRPr="00D5469A">
              <w:rPr>
                <w:color w:val="auto"/>
                <w:sz w:val="14"/>
                <w:szCs w:val="14"/>
              </w:rPr>
              <w:t>..</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E6216B" w:rsidRPr="00D5469A" w:rsidRDefault="00E6216B" w:rsidP="00E6216B">
            <w:pPr>
              <w:jc w:val="right"/>
              <w:rPr>
                <w:color w:val="auto"/>
                <w:sz w:val="14"/>
                <w:szCs w:val="14"/>
              </w:rPr>
            </w:pPr>
            <w:r w:rsidRPr="00D5469A">
              <w:rPr>
                <w:color w:val="auto"/>
                <w:sz w:val="14"/>
                <w:szCs w:val="14"/>
              </w:rPr>
              <w:t>..</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388</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388</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142</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622</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1,352</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2,116</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146</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736</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1,691</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2,573</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1B2736" w:rsidRDefault="00E6216B" w:rsidP="00E6216B">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4,919</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326</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5,392</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16,598</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240</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16,986</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833</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265</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1,245</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1,754</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152</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2,054</w:t>
            </w:r>
          </w:p>
        </w:tc>
      </w:tr>
      <w:tr w:rsidR="00E6216B" w:rsidRPr="00D5469A" w:rsidTr="00E6216B">
        <w:trPr>
          <w:trHeight w:hRule="exact" w:val="230"/>
        </w:trPr>
        <w:tc>
          <w:tcPr>
            <w:tcW w:w="1794" w:type="pct"/>
            <w:tcBorders>
              <w:top w:val="nil"/>
              <w:left w:val="nil"/>
              <w:right w:val="nil"/>
            </w:tcBorders>
            <w:shd w:val="clear" w:color="auto" w:fill="auto"/>
            <w:noWrap/>
            <w:vAlign w:val="center"/>
          </w:tcPr>
          <w:p w:rsidR="00E6216B" w:rsidRPr="00D5469A" w:rsidRDefault="00E6216B" w:rsidP="00E6216B">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E6216B" w:rsidRDefault="00E6216B" w:rsidP="00E6216B">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E6216B" w:rsidRDefault="00E6216B" w:rsidP="00E6216B">
            <w:pPr>
              <w:jc w:val="right"/>
              <w:rPr>
                <w:sz w:val="14"/>
                <w:szCs w:val="14"/>
              </w:rPr>
            </w:pPr>
            <w:r>
              <w:rPr>
                <w:sz w:val="14"/>
                <w:szCs w:val="14"/>
              </w:rPr>
              <w:t>4,086</w:t>
            </w:r>
          </w:p>
        </w:tc>
        <w:tc>
          <w:tcPr>
            <w:tcW w:w="369" w:type="pct"/>
            <w:tcBorders>
              <w:top w:val="nil"/>
              <w:left w:val="nil"/>
              <w:right w:val="nil"/>
            </w:tcBorders>
            <w:shd w:val="clear" w:color="auto" w:fill="auto"/>
            <w:vAlign w:val="center"/>
          </w:tcPr>
          <w:p w:rsidR="00E6216B" w:rsidRDefault="00E6216B" w:rsidP="00E6216B">
            <w:pPr>
              <w:jc w:val="right"/>
              <w:rPr>
                <w:sz w:val="14"/>
                <w:szCs w:val="14"/>
              </w:rPr>
            </w:pPr>
            <w:r>
              <w:rPr>
                <w:sz w:val="14"/>
                <w:szCs w:val="14"/>
              </w:rPr>
              <w:t>61</w:t>
            </w:r>
          </w:p>
        </w:tc>
        <w:tc>
          <w:tcPr>
            <w:tcW w:w="417" w:type="pct"/>
            <w:tcBorders>
              <w:top w:val="nil"/>
              <w:left w:val="nil"/>
              <w:right w:val="nil"/>
            </w:tcBorders>
            <w:shd w:val="clear" w:color="auto" w:fill="auto"/>
            <w:noWrap/>
            <w:vAlign w:val="center"/>
          </w:tcPr>
          <w:p w:rsidR="00E6216B" w:rsidRDefault="00E6216B" w:rsidP="00E6216B">
            <w:pPr>
              <w:jc w:val="right"/>
              <w:rPr>
                <w:sz w:val="14"/>
                <w:szCs w:val="14"/>
              </w:rPr>
            </w:pPr>
            <w:r>
              <w:rPr>
                <w:sz w:val="14"/>
                <w:szCs w:val="14"/>
              </w:rPr>
              <w:t>4,147</w:t>
            </w:r>
          </w:p>
        </w:tc>
        <w:tc>
          <w:tcPr>
            <w:tcW w:w="431" w:type="pct"/>
            <w:tcBorders>
              <w:top w:val="nil"/>
              <w:left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6" w:type="pct"/>
            <w:tcBorders>
              <w:top w:val="nil"/>
              <w:left w:val="nil"/>
              <w:right w:val="nil"/>
            </w:tcBorders>
            <w:shd w:val="clear" w:color="auto" w:fill="auto"/>
            <w:vAlign w:val="center"/>
          </w:tcPr>
          <w:p w:rsidR="00E6216B" w:rsidRDefault="00E6216B" w:rsidP="00E6216B">
            <w:pPr>
              <w:jc w:val="right"/>
              <w:rPr>
                <w:sz w:val="14"/>
                <w:szCs w:val="14"/>
              </w:rPr>
            </w:pPr>
            <w:r>
              <w:rPr>
                <w:sz w:val="14"/>
                <w:szCs w:val="14"/>
              </w:rPr>
              <w:t>14,844</w:t>
            </w:r>
          </w:p>
        </w:tc>
        <w:tc>
          <w:tcPr>
            <w:tcW w:w="416" w:type="pct"/>
            <w:tcBorders>
              <w:top w:val="nil"/>
              <w:left w:val="nil"/>
              <w:right w:val="nil"/>
            </w:tcBorders>
            <w:shd w:val="clear" w:color="auto" w:fill="auto"/>
            <w:vAlign w:val="center"/>
          </w:tcPr>
          <w:p w:rsidR="00E6216B" w:rsidRDefault="00E6216B" w:rsidP="00E6216B">
            <w:pPr>
              <w:jc w:val="right"/>
              <w:rPr>
                <w:sz w:val="14"/>
                <w:szCs w:val="14"/>
              </w:rPr>
            </w:pPr>
            <w:r>
              <w:rPr>
                <w:sz w:val="14"/>
                <w:szCs w:val="14"/>
              </w:rPr>
              <w:t>88</w:t>
            </w:r>
          </w:p>
        </w:tc>
        <w:tc>
          <w:tcPr>
            <w:tcW w:w="417" w:type="pct"/>
            <w:tcBorders>
              <w:top w:val="nil"/>
              <w:left w:val="nil"/>
              <w:right w:val="nil"/>
            </w:tcBorders>
            <w:shd w:val="clear" w:color="auto" w:fill="auto"/>
            <w:vAlign w:val="center"/>
          </w:tcPr>
          <w:p w:rsidR="00E6216B" w:rsidRDefault="00E6216B" w:rsidP="00E6216B">
            <w:pPr>
              <w:jc w:val="right"/>
              <w:rPr>
                <w:sz w:val="14"/>
                <w:szCs w:val="14"/>
              </w:rPr>
            </w:pPr>
            <w:r>
              <w:rPr>
                <w:sz w:val="14"/>
                <w:szCs w:val="14"/>
              </w:rPr>
              <w:t>14,932</w:t>
            </w:r>
          </w:p>
        </w:tc>
      </w:tr>
      <w:tr w:rsidR="00E6216B" w:rsidRPr="00D5469A" w:rsidTr="00E6216B">
        <w:trPr>
          <w:trHeight w:hRule="exact" w:val="230"/>
        </w:trPr>
        <w:tc>
          <w:tcPr>
            <w:tcW w:w="1794" w:type="pct"/>
            <w:tcBorders>
              <w:left w:val="nil"/>
              <w:right w:val="nil"/>
            </w:tcBorders>
            <w:shd w:val="clear" w:color="auto" w:fill="auto"/>
            <w:noWrap/>
            <w:vAlign w:val="center"/>
          </w:tcPr>
          <w:p w:rsidR="00E6216B" w:rsidRPr="00D5469A" w:rsidRDefault="00E6216B" w:rsidP="00E6216B">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E6216B" w:rsidRDefault="00E6216B" w:rsidP="00E6216B">
            <w:pPr>
              <w:jc w:val="right"/>
              <w:rPr>
                <w:b/>
                <w:bCs/>
                <w:sz w:val="14"/>
                <w:szCs w:val="14"/>
              </w:rPr>
            </w:pPr>
            <w:r>
              <w:rPr>
                <w:b/>
                <w:bCs/>
                <w:sz w:val="14"/>
                <w:szCs w:val="14"/>
              </w:rPr>
              <w:t>228,876</w:t>
            </w:r>
          </w:p>
        </w:tc>
        <w:tc>
          <w:tcPr>
            <w:tcW w:w="371" w:type="pct"/>
            <w:tcBorders>
              <w:left w:val="nil"/>
              <w:right w:val="nil"/>
            </w:tcBorders>
            <w:shd w:val="clear" w:color="auto" w:fill="auto"/>
            <w:noWrap/>
            <w:vAlign w:val="center"/>
          </w:tcPr>
          <w:p w:rsidR="00E6216B" w:rsidRDefault="00E6216B" w:rsidP="00E6216B">
            <w:pPr>
              <w:jc w:val="right"/>
              <w:rPr>
                <w:b/>
                <w:bCs/>
                <w:sz w:val="14"/>
                <w:szCs w:val="14"/>
              </w:rPr>
            </w:pPr>
            <w:r>
              <w:rPr>
                <w:b/>
                <w:bCs/>
                <w:sz w:val="14"/>
                <w:szCs w:val="14"/>
              </w:rPr>
              <w:t>786,923</w:t>
            </w:r>
          </w:p>
        </w:tc>
        <w:tc>
          <w:tcPr>
            <w:tcW w:w="369" w:type="pct"/>
            <w:tcBorders>
              <w:left w:val="nil"/>
              <w:right w:val="nil"/>
            </w:tcBorders>
            <w:shd w:val="clear" w:color="auto" w:fill="auto"/>
            <w:vAlign w:val="center"/>
          </w:tcPr>
          <w:p w:rsidR="00E6216B" w:rsidRDefault="00E6216B" w:rsidP="00E6216B">
            <w:pPr>
              <w:jc w:val="right"/>
              <w:rPr>
                <w:b/>
                <w:bCs/>
                <w:sz w:val="14"/>
                <w:szCs w:val="14"/>
              </w:rPr>
            </w:pPr>
            <w:r>
              <w:rPr>
                <w:b/>
                <w:bCs/>
                <w:sz w:val="14"/>
                <w:szCs w:val="14"/>
              </w:rPr>
              <w:t>174,950</w:t>
            </w:r>
          </w:p>
        </w:tc>
        <w:tc>
          <w:tcPr>
            <w:tcW w:w="417" w:type="pct"/>
            <w:tcBorders>
              <w:left w:val="nil"/>
              <w:right w:val="nil"/>
            </w:tcBorders>
            <w:shd w:val="clear" w:color="auto" w:fill="auto"/>
            <w:noWrap/>
            <w:vAlign w:val="center"/>
          </w:tcPr>
          <w:p w:rsidR="00E6216B" w:rsidRDefault="00E6216B" w:rsidP="00E6216B">
            <w:pPr>
              <w:jc w:val="right"/>
              <w:rPr>
                <w:b/>
                <w:bCs/>
                <w:sz w:val="14"/>
                <w:szCs w:val="14"/>
              </w:rPr>
            </w:pPr>
            <w:r>
              <w:rPr>
                <w:b/>
                <w:bCs/>
                <w:sz w:val="14"/>
                <w:szCs w:val="14"/>
              </w:rPr>
              <w:t>1,190,749</w:t>
            </w:r>
          </w:p>
        </w:tc>
        <w:tc>
          <w:tcPr>
            <w:tcW w:w="431" w:type="pct"/>
            <w:tcBorders>
              <w:left w:val="nil"/>
              <w:right w:val="nil"/>
            </w:tcBorders>
            <w:shd w:val="clear" w:color="auto" w:fill="auto"/>
            <w:vAlign w:val="center"/>
          </w:tcPr>
          <w:p w:rsidR="00E6216B" w:rsidRDefault="00E6216B" w:rsidP="00E6216B">
            <w:pPr>
              <w:jc w:val="right"/>
              <w:rPr>
                <w:b/>
                <w:bCs/>
                <w:sz w:val="14"/>
                <w:szCs w:val="14"/>
              </w:rPr>
            </w:pPr>
            <w:r>
              <w:rPr>
                <w:b/>
                <w:bCs/>
                <w:sz w:val="14"/>
                <w:szCs w:val="14"/>
              </w:rPr>
              <w:t>250,237</w:t>
            </w:r>
          </w:p>
        </w:tc>
        <w:tc>
          <w:tcPr>
            <w:tcW w:w="416" w:type="pct"/>
            <w:tcBorders>
              <w:left w:val="nil"/>
              <w:right w:val="nil"/>
            </w:tcBorders>
            <w:shd w:val="clear" w:color="auto" w:fill="auto"/>
            <w:vAlign w:val="center"/>
          </w:tcPr>
          <w:p w:rsidR="00E6216B" w:rsidRDefault="00E6216B" w:rsidP="00E6216B">
            <w:pPr>
              <w:jc w:val="right"/>
              <w:rPr>
                <w:b/>
                <w:bCs/>
                <w:sz w:val="14"/>
                <w:szCs w:val="14"/>
              </w:rPr>
            </w:pPr>
            <w:r>
              <w:rPr>
                <w:b/>
                <w:bCs/>
                <w:sz w:val="14"/>
                <w:szCs w:val="14"/>
              </w:rPr>
              <w:t>884,496</w:t>
            </w:r>
          </w:p>
        </w:tc>
        <w:tc>
          <w:tcPr>
            <w:tcW w:w="416" w:type="pct"/>
            <w:tcBorders>
              <w:left w:val="nil"/>
              <w:right w:val="nil"/>
            </w:tcBorders>
            <w:shd w:val="clear" w:color="auto" w:fill="auto"/>
            <w:vAlign w:val="center"/>
          </w:tcPr>
          <w:p w:rsidR="00E6216B" w:rsidRDefault="00E6216B" w:rsidP="00E6216B">
            <w:pPr>
              <w:jc w:val="right"/>
              <w:rPr>
                <w:b/>
                <w:bCs/>
                <w:sz w:val="14"/>
                <w:szCs w:val="14"/>
              </w:rPr>
            </w:pPr>
            <w:r>
              <w:rPr>
                <w:b/>
                <w:bCs/>
                <w:sz w:val="14"/>
                <w:szCs w:val="14"/>
              </w:rPr>
              <w:t>254,353</w:t>
            </w:r>
          </w:p>
        </w:tc>
        <w:tc>
          <w:tcPr>
            <w:tcW w:w="417" w:type="pct"/>
            <w:tcBorders>
              <w:left w:val="nil"/>
              <w:right w:val="nil"/>
            </w:tcBorders>
            <w:shd w:val="clear" w:color="auto" w:fill="auto"/>
            <w:vAlign w:val="center"/>
          </w:tcPr>
          <w:p w:rsidR="00E6216B" w:rsidRDefault="00E6216B" w:rsidP="00E6216B">
            <w:pPr>
              <w:jc w:val="right"/>
              <w:rPr>
                <w:b/>
                <w:bCs/>
                <w:sz w:val="14"/>
                <w:szCs w:val="14"/>
              </w:rPr>
            </w:pPr>
            <w:r>
              <w:rPr>
                <w:b/>
                <w:bCs/>
                <w:sz w:val="14"/>
                <w:szCs w:val="14"/>
              </w:rPr>
              <w:t>1,389,086</w:t>
            </w:r>
          </w:p>
        </w:tc>
      </w:tr>
      <w:tr w:rsidR="00E6216B" w:rsidRPr="00D5469A" w:rsidTr="00E6216B">
        <w:trPr>
          <w:trHeight w:hRule="exact" w:val="230"/>
        </w:trPr>
        <w:tc>
          <w:tcPr>
            <w:tcW w:w="1794" w:type="pct"/>
            <w:tcBorders>
              <w:left w:val="nil"/>
              <w:bottom w:val="nil"/>
              <w:right w:val="nil"/>
            </w:tcBorders>
            <w:shd w:val="clear" w:color="auto" w:fill="auto"/>
            <w:noWrap/>
            <w:vAlign w:val="center"/>
          </w:tcPr>
          <w:p w:rsidR="00E6216B" w:rsidRPr="00D5469A" w:rsidRDefault="00E6216B"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9,259</w:t>
            </w:r>
          </w:p>
        </w:tc>
        <w:tc>
          <w:tcPr>
            <w:tcW w:w="371" w:type="pct"/>
            <w:tcBorders>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35,399</w:t>
            </w:r>
          </w:p>
        </w:tc>
        <w:tc>
          <w:tcPr>
            <w:tcW w:w="369" w:type="pct"/>
            <w:tcBorders>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121,058</w:t>
            </w:r>
          </w:p>
        </w:tc>
        <w:tc>
          <w:tcPr>
            <w:tcW w:w="417" w:type="pct"/>
            <w:tcBorders>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165,717</w:t>
            </w:r>
          </w:p>
        </w:tc>
        <w:tc>
          <w:tcPr>
            <w:tcW w:w="431" w:type="pct"/>
            <w:tcBorders>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17,279</w:t>
            </w:r>
          </w:p>
        </w:tc>
        <w:tc>
          <w:tcPr>
            <w:tcW w:w="416" w:type="pct"/>
            <w:tcBorders>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31,877</w:t>
            </w:r>
          </w:p>
        </w:tc>
        <w:tc>
          <w:tcPr>
            <w:tcW w:w="416" w:type="pct"/>
            <w:tcBorders>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186,916</w:t>
            </w:r>
          </w:p>
        </w:tc>
        <w:tc>
          <w:tcPr>
            <w:tcW w:w="417" w:type="pct"/>
            <w:tcBorders>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236,072</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272</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20,607</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149</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21,028</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292</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18,283</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9</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18,584</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8,987</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14,792</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120,910</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144,689</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16,987</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13,594</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186,907</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217,488</w:t>
            </w:r>
          </w:p>
        </w:tc>
      </w:tr>
      <w:tr w:rsidR="00E6216B" w:rsidRPr="00D5469A" w:rsidTr="00E6216B">
        <w:trPr>
          <w:trHeight w:hRule="exact" w:val="378"/>
        </w:trPr>
        <w:tc>
          <w:tcPr>
            <w:tcW w:w="1794" w:type="pct"/>
            <w:tcBorders>
              <w:top w:val="nil"/>
              <w:left w:val="nil"/>
              <w:bottom w:val="nil"/>
              <w:right w:val="nil"/>
            </w:tcBorders>
            <w:shd w:val="clear" w:color="auto" w:fill="auto"/>
            <w:noWrap/>
            <w:vAlign w:val="center"/>
          </w:tcPr>
          <w:p w:rsidR="00E6216B" w:rsidRPr="00D5469A" w:rsidRDefault="00E6216B" w:rsidP="00E6216B">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1,001</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2,735</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3,737</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1,001</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3,829</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750</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5,580</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704</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704</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2,712</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2,712</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1,001</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2,031</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3,032</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1,001</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1,116</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750</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2,868</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100,003</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27,598</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14,464</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142,065</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100,871</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38,821</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13,652</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153,344</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67,729</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9,072</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1,668</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78,469</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71,985</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9,477</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1,459</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82,920</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32,274</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18,526</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12,797</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63,596</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28,886</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29,344</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12,193</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70,423</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308</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308</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36,052</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79,906</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15,385</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131,343</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31,810</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89,979</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20,562</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142,351</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82,560</w:t>
            </w:r>
          </w:p>
        </w:tc>
        <w:tc>
          <w:tcPr>
            <w:tcW w:w="371"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640,977</w:t>
            </w:r>
          </w:p>
        </w:tc>
        <w:tc>
          <w:tcPr>
            <w:tcW w:w="369"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24,042</w:t>
            </w:r>
          </w:p>
        </w:tc>
        <w:tc>
          <w:tcPr>
            <w:tcW w:w="417" w:type="pct"/>
            <w:tcBorders>
              <w:top w:val="nil"/>
              <w:left w:val="nil"/>
              <w:bottom w:val="nil"/>
              <w:right w:val="nil"/>
            </w:tcBorders>
            <w:shd w:val="clear" w:color="auto" w:fill="auto"/>
            <w:noWrap/>
            <w:vAlign w:val="center"/>
          </w:tcPr>
          <w:p w:rsidR="00E6216B" w:rsidRDefault="00E6216B" w:rsidP="00E6216B">
            <w:pPr>
              <w:jc w:val="right"/>
              <w:rPr>
                <w:b/>
                <w:bCs/>
                <w:sz w:val="14"/>
                <w:szCs w:val="14"/>
              </w:rPr>
            </w:pPr>
            <w:r>
              <w:rPr>
                <w:b/>
                <w:bCs/>
                <w:sz w:val="14"/>
                <w:szCs w:val="14"/>
              </w:rPr>
              <w:t>747,580</w:t>
            </w:r>
          </w:p>
        </w:tc>
        <w:tc>
          <w:tcPr>
            <w:tcW w:w="431"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99,276</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719,991</w:t>
            </w:r>
          </w:p>
        </w:tc>
        <w:tc>
          <w:tcPr>
            <w:tcW w:w="416"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32,472</w:t>
            </w:r>
          </w:p>
        </w:tc>
        <w:tc>
          <w:tcPr>
            <w:tcW w:w="417" w:type="pct"/>
            <w:tcBorders>
              <w:top w:val="nil"/>
              <w:left w:val="nil"/>
              <w:bottom w:val="nil"/>
              <w:right w:val="nil"/>
            </w:tcBorders>
            <w:shd w:val="clear" w:color="auto" w:fill="auto"/>
            <w:vAlign w:val="center"/>
          </w:tcPr>
          <w:p w:rsidR="00E6216B" w:rsidRDefault="00E6216B" w:rsidP="00E6216B">
            <w:pPr>
              <w:jc w:val="right"/>
              <w:rPr>
                <w:b/>
                <w:bCs/>
                <w:sz w:val="14"/>
                <w:szCs w:val="14"/>
              </w:rPr>
            </w:pPr>
            <w:r>
              <w:rPr>
                <w:b/>
                <w:bCs/>
                <w:sz w:val="14"/>
                <w:szCs w:val="14"/>
              </w:rPr>
              <w:t>851,739</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326,326</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2,200</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328,526</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390,424</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2,500</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392,924</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49,009</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122,366</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15,749</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187,124</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65,373</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265,697</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18,542</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349,611</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16,209</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34,120</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2,339</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52,668</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20,664</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60,432</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3,027</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84,123</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6,715</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36,497</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2,506</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45,718</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3,432</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(19,739)</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5,955</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(10,352)</w:t>
            </w:r>
          </w:p>
        </w:tc>
      </w:tr>
      <w:tr w:rsidR="00E6216B" w:rsidRPr="00D5469A" w:rsidTr="00E6216B">
        <w:trPr>
          <w:trHeight w:hRule="exact" w:val="230"/>
        </w:trPr>
        <w:tc>
          <w:tcPr>
            <w:tcW w:w="1794" w:type="pct"/>
            <w:tcBorders>
              <w:top w:val="nil"/>
              <w:left w:val="nil"/>
              <w:bottom w:val="nil"/>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11,304</w:t>
            </w:r>
          </w:p>
        </w:tc>
        <w:tc>
          <w:tcPr>
            <w:tcW w:w="371"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102,576</w:t>
            </w:r>
          </w:p>
        </w:tc>
        <w:tc>
          <w:tcPr>
            <w:tcW w:w="369"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1,251</w:t>
            </w:r>
          </w:p>
        </w:tc>
        <w:tc>
          <w:tcPr>
            <w:tcW w:w="417" w:type="pct"/>
            <w:tcBorders>
              <w:top w:val="nil"/>
              <w:left w:val="nil"/>
              <w:bottom w:val="nil"/>
              <w:right w:val="nil"/>
            </w:tcBorders>
            <w:shd w:val="clear" w:color="auto" w:fill="auto"/>
            <w:noWrap/>
            <w:vAlign w:val="center"/>
          </w:tcPr>
          <w:p w:rsidR="00E6216B" w:rsidRDefault="00E6216B" w:rsidP="00E6216B">
            <w:pPr>
              <w:jc w:val="right"/>
              <w:rPr>
                <w:sz w:val="14"/>
                <w:szCs w:val="14"/>
              </w:rPr>
            </w:pPr>
            <w:r>
              <w:rPr>
                <w:sz w:val="14"/>
                <w:szCs w:val="14"/>
              </w:rPr>
              <w:t>115,130</w:t>
            </w:r>
          </w:p>
        </w:tc>
        <w:tc>
          <w:tcPr>
            <w:tcW w:w="431"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12,604</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14,105</w:t>
            </w:r>
          </w:p>
        </w:tc>
        <w:tc>
          <w:tcPr>
            <w:tcW w:w="416"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2,505</w:t>
            </w:r>
          </w:p>
        </w:tc>
        <w:tc>
          <w:tcPr>
            <w:tcW w:w="417" w:type="pct"/>
            <w:tcBorders>
              <w:top w:val="nil"/>
              <w:left w:val="nil"/>
              <w:bottom w:val="nil"/>
              <w:right w:val="nil"/>
            </w:tcBorders>
            <w:shd w:val="clear" w:color="auto" w:fill="auto"/>
            <w:vAlign w:val="center"/>
          </w:tcPr>
          <w:p w:rsidR="00E6216B" w:rsidRDefault="00E6216B" w:rsidP="00E6216B">
            <w:pPr>
              <w:jc w:val="right"/>
              <w:rPr>
                <w:sz w:val="14"/>
                <w:szCs w:val="14"/>
              </w:rPr>
            </w:pPr>
            <w:r>
              <w:rPr>
                <w:sz w:val="14"/>
                <w:szCs w:val="14"/>
              </w:rPr>
              <w:t>29,213</w:t>
            </w:r>
          </w:p>
        </w:tc>
      </w:tr>
      <w:tr w:rsidR="00E6216B" w:rsidRPr="00D5469A" w:rsidTr="00E6216B">
        <w:trPr>
          <w:trHeight w:hRule="exact" w:val="230"/>
        </w:trPr>
        <w:tc>
          <w:tcPr>
            <w:tcW w:w="1794" w:type="pct"/>
            <w:tcBorders>
              <w:top w:val="nil"/>
              <w:left w:val="nil"/>
              <w:bottom w:val="single" w:sz="12" w:space="0" w:color="auto"/>
              <w:right w:val="nil"/>
            </w:tcBorders>
            <w:shd w:val="clear" w:color="auto" w:fill="auto"/>
            <w:noWrap/>
            <w:vAlign w:val="center"/>
          </w:tcPr>
          <w:p w:rsidR="00E6216B" w:rsidRPr="00D5469A" w:rsidRDefault="00E6216B" w:rsidP="00E6216B">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E6216B" w:rsidRDefault="00E6216B" w:rsidP="00E6216B">
            <w:pPr>
              <w:jc w:val="right"/>
              <w:rPr>
                <w:sz w:val="14"/>
                <w:szCs w:val="14"/>
              </w:rPr>
            </w:pPr>
            <w:r>
              <w:rPr>
                <w:sz w:val="14"/>
                <w:szCs w:val="14"/>
              </w:rPr>
              <w:t>(676)</w:t>
            </w:r>
          </w:p>
        </w:tc>
        <w:tc>
          <w:tcPr>
            <w:tcW w:w="371" w:type="pct"/>
            <w:tcBorders>
              <w:top w:val="nil"/>
              <w:left w:val="nil"/>
              <w:bottom w:val="single" w:sz="12" w:space="0" w:color="auto"/>
              <w:right w:val="nil"/>
            </w:tcBorders>
            <w:shd w:val="clear" w:color="auto" w:fill="auto"/>
            <w:noWrap/>
            <w:vAlign w:val="center"/>
          </w:tcPr>
          <w:p w:rsidR="00E6216B" w:rsidRDefault="00E6216B" w:rsidP="00E6216B">
            <w:pPr>
              <w:jc w:val="right"/>
              <w:rPr>
                <w:sz w:val="14"/>
                <w:szCs w:val="14"/>
              </w:rPr>
            </w:pPr>
            <w:r>
              <w:rPr>
                <w:sz w:val="14"/>
                <w:szCs w:val="14"/>
              </w:rPr>
              <w:t>19,092</w:t>
            </w:r>
          </w:p>
        </w:tc>
        <w:tc>
          <w:tcPr>
            <w:tcW w:w="369" w:type="pct"/>
            <w:tcBorders>
              <w:top w:val="nil"/>
              <w:left w:val="nil"/>
              <w:bottom w:val="single" w:sz="12" w:space="0" w:color="auto"/>
              <w:right w:val="nil"/>
            </w:tcBorders>
            <w:shd w:val="clear" w:color="auto" w:fill="auto"/>
            <w:vAlign w:val="center"/>
          </w:tcPr>
          <w:p w:rsidR="00E6216B" w:rsidRDefault="00E6216B" w:rsidP="00E6216B">
            <w:pPr>
              <w:jc w:val="right"/>
              <w:rPr>
                <w:sz w:val="14"/>
                <w:szCs w:val="14"/>
              </w:rPr>
            </w:pPr>
            <w:r>
              <w:rPr>
                <w:sz w:val="14"/>
                <w:szCs w:val="14"/>
              </w:rPr>
              <w:t>(2)</w:t>
            </w:r>
          </w:p>
        </w:tc>
        <w:tc>
          <w:tcPr>
            <w:tcW w:w="417" w:type="pct"/>
            <w:tcBorders>
              <w:top w:val="nil"/>
              <w:left w:val="nil"/>
              <w:bottom w:val="single" w:sz="12" w:space="0" w:color="auto"/>
              <w:right w:val="nil"/>
            </w:tcBorders>
            <w:shd w:val="clear" w:color="auto" w:fill="auto"/>
            <w:noWrap/>
            <w:vAlign w:val="center"/>
          </w:tcPr>
          <w:p w:rsidR="00E6216B" w:rsidRDefault="00E6216B" w:rsidP="00E6216B">
            <w:pPr>
              <w:jc w:val="right"/>
              <w:rPr>
                <w:sz w:val="14"/>
                <w:szCs w:val="14"/>
              </w:rPr>
            </w:pPr>
            <w:r>
              <w:rPr>
                <w:sz w:val="14"/>
                <w:szCs w:val="14"/>
              </w:rPr>
              <w:t>18,414</w:t>
            </w:r>
          </w:p>
        </w:tc>
        <w:tc>
          <w:tcPr>
            <w:tcW w:w="431" w:type="pct"/>
            <w:tcBorders>
              <w:top w:val="nil"/>
              <w:left w:val="nil"/>
              <w:bottom w:val="single" w:sz="12" w:space="0" w:color="auto"/>
              <w:right w:val="nil"/>
            </w:tcBorders>
            <w:shd w:val="clear" w:color="auto" w:fill="auto"/>
            <w:vAlign w:val="center"/>
          </w:tcPr>
          <w:p w:rsidR="00E6216B" w:rsidRDefault="00E6216B" w:rsidP="00E6216B">
            <w:pPr>
              <w:jc w:val="right"/>
              <w:rPr>
                <w:sz w:val="14"/>
                <w:szCs w:val="14"/>
              </w:rPr>
            </w:pPr>
            <w:r>
              <w:rPr>
                <w:sz w:val="14"/>
                <w:szCs w:val="14"/>
              </w:rPr>
              <w:t>(2,796)</w:t>
            </w:r>
          </w:p>
        </w:tc>
        <w:tc>
          <w:tcPr>
            <w:tcW w:w="416" w:type="pct"/>
            <w:tcBorders>
              <w:top w:val="nil"/>
              <w:left w:val="nil"/>
              <w:bottom w:val="single" w:sz="12" w:space="0" w:color="auto"/>
              <w:right w:val="nil"/>
            </w:tcBorders>
            <w:shd w:val="clear" w:color="auto" w:fill="auto"/>
            <w:vAlign w:val="center"/>
          </w:tcPr>
          <w:p w:rsidR="00E6216B" w:rsidRDefault="00E6216B" w:rsidP="00E6216B">
            <w:pPr>
              <w:jc w:val="right"/>
              <w:rPr>
                <w:sz w:val="14"/>
                <w:szCs w:val="14"/>
              </w:rPr>
            </w:pPr>
            <w:r>
              <w:rPr>
                <w:sz w:val="14"/>
                <w:szCs w:val="14"/>
              </w:rPr>
              <w:t>9,071</w:t>
            </w:r>
          </w:p>
        </w:tc>
        <w:tc>
          <w:tcPr>
            <w:tcW w:w="416" w:type="pct"/>
            <w:tcBorders>
              <w:top w:val="nil"/>
              <w:left w:val="nil"/>
              <w:bottom w:val="single" w:sz="12" w:space="0" w:color="auto"/>
              <w:right w:val="nil"/>
            </w:tcBorders>
            <w:shd w:val="clear" w:color="auto" w:fill="auto"/>
            <w:vAlign w:val="center"/>
          </w:tcPr>
          <w:p w:rsidR="00E6216B" w:rsidRDefault="00E6216B" w:rsidP="00E6216B">
            <w:pPr>
              <w:jc w:val="right"/>
              <w:rPr>
                <w:sz w:val="14"/>
                <w:szCs w:val="14"/>
              </w:rPr>
            </w:pPr>
            <w:r>
              <w:rPr>
                <w:sz w:val="14"/>
                <w:szCs w:val="14"/>
              </w:rPr>
              <w:t>(56)</w:t>
            </w:r>
          </w:p>
        </w:tc>
        <w:tc>
          <w:tcPr>
            <w:tcW w:w="417" w:type="pct"/>
            <w:tcBorders>
              <w:top w:val="nil"/>
              <w:left w:val="nil"/>
              <w:bottom w:val="single" w:sz="12" w:space="0" w:color="auto"/>
              <w:right w:val="nil"/>
            </w:tcBorders>
            <w:shd w:val="clear" w:color="auto" w:fill="auto"/>
            <w:vAlign w:val="center"/>
          </w:tcPr>
          <w:p w:rsidR="00E6216B" w:rsidRDefault="00E6216B" w:rsidP="00E6216B">
            <w:pPr>
              <w:jc w:val="right"/>
              <w:rPr>
                <w:sz w:val="14"/>
                <w:szCs w:val="14"/>
              </w:rPr>
            </w:pPr>
            <w:r>
              <w:rPr>
                <w:sz w:val="14"/>
                <w:szCs w:val="14"/>
              </w:rPr>
              <w:t>6,220</w:t>
            </w:r>
          </w:p>
        </w:tc>
      </w:tr>
      <w:tr w:rsidR="00E6216B" w:rsidRPr="00D5469A" w:rsidTr="00052ECD">
        <w:trPr>
          <w:trHeight w:val="645"/>
        </w:trPr>
        <w:tc>
          <w:tcPr>
            <w:tcW w:w="5000" w:type="pct"/>
            <w:gridSpan w:val="9"/>
            <w:tcBorders>
              <w:top w:val="single" w:sz="12" w:space="0" w:color="auto"/>
              <w:left w:val="nil"/>
              <w:right w:val="nil"/>
            </w:tcBorders>
            <w:shd w:val="clear" w:color="auto" w:fill="auto"/>
            <w:vAlign w:val="center"/>
          </w:tcPr>
          <w:p w:rsidR="00691090" w:rsidRDefault="00691090" w:rsidP="00691090">
            <w:pPr>
              <w:ind w:hanging="95"/>
              <w:jc w:val="right"/>
              <w:rPr>
                <w:color w:val="auto"/>
                <w:sz w:val="12"/>
                <w:szCs w:val="16"/>
              </w:rPr>
            </w:pPr>
            <w:r>
              <w:rPr>
                <w:sz w:val="14"/>
                <w:szCs w:val="14"/>
              </w:rPr>
              <w:t>Source: Statistics &amp; Data Warehouse Department SBP</w:t>
            </w:r>
          </w:p>
          <w:p w:rsidR="00E6216B" w:rsidRPr="00D5469A" w:rsidRDefault="00E6216B" w:rsidP="00E6216B">
            <w:pPr>
              <w:ind w:hanging="95"/>
              <w:jc w:val="left"/>
              <w:rPr>
                <w:color w:val="auto"/>
                <w:sz w:val="12"/>
                <w:szCs w:val="16"/>
              </w:rPr>
            </w:pPr>
            <w:r w:rsidRPr="00D5469A">
              <w:rPr>
                <w:color w:val="auto"/>
                <w:sz w:val="12"/>
                <w:szCs w:val="16"/>
              </w:rPr>
              <w:t>* DFIs also include HBFC data.</w:t>
            </w:r>
          </w:p>
          <w:p w:rsidR="00E6216B" w:rsidRPr="00D5469A" w:rsidRDefault="00E6216B" w:rsidP="00E6216B">
            <w:pPr>
              <w:ind w:hanging="95"/>
              <w:jc w:val="left"/>
              <w:rPr>
                <w:color w:val="auto"/>
                <w:sz w:val="12"/>
                <w:szCs w:val="16"/>
              </w:rPr>
            </w:pPr>
            <w:r w:rsidRPr="00D5469A">
              <w:rPr>
                <w:color w:val="auto"/>
                <w:sz w:val="12"/>
                <w:szCs w:val="16"/>
              </w:rPr>
              <w:t>DFIs Development Finance Institutions</w:t>
            </w:r>
          </w:p>
          <w:p w:rsidR="00E6216B" w:rsidRPr="00D5469A" w:rsidRDefault="00E6216B" w:rsidP="00E6216B">
            <w:pPr>
              <w:ind w:hanging="95"/>
              <w:jc w:val="left"/>
              <w:rPr>
                <w:color w:val="auto"/>
                <w:sz w:val="12"/>
                <w:szCs w:val="16"/>
              </w:rPr>
            </w:pPr>
            <w:r w:rsidRPr="00D5469A">
              <w:rPr>
                <w:color w:val="auto"/>
                <w:sz w:val="12"/>
                <w:szCs w:val="16"/>
              </w:rPr>
              <w:t>NBFCs  Non Bank Financial Companies</w:t>
            </w:r>
          </w:p>
          <w:p w:rsidR="00E6216B" w:rsidRPr="00D5469A" w:rsidRDefault="00E6216B" w:rsidP="00E6216B">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Pr="00D5469A" w:rsidRDefault="00861018" w:rsidP="0069571C">
      <w:pPr>
        <w:rPr>
          <w:color w:val="auto"/>
        </w:rPr>
      </w:pPr>
    </w:p>
    <w:tbl>
      <w:tblPr>
        <w:tblpPr w:leftFromText="180" w:rightFromText="180" w:vertAnchor="page" w:horzAnchor="margin" w:tblpX="-72" w:tblpY="901"/>
        <w:tblW w:w="9720" w:type="dxa"/>
        <w:tblLayout w:type="fixed"/>
        <w:tblLook w:val="0000"/>
      </w:tblPr>
      <w:tblGrid>
        <w:gridCol w:w="4068"/>
        <w:gridCol w:w="1170"/>
        <w:gridCol w:w="900"/>
        <w:gridCol w:w="900"/>
        <w:gridCol w:w="990"/>
        <w:gridCol w:w="900"/>
        <w:gridCol w:w="792"/>
      </w:tblGrid>
      <w:tr w:rsidR="007E2F90" w:rsidRPr="00D5469A" w:rsidTr="00462E46">
        <w:trPr>
          <w:trHeight w:val="432"/>
        </w:trPr>
        <w:tc>
          <w:tcPr>
            <w:tcW w:w="9720" w:type="dxa"/>
            <w:gridSpan w:val="7"/>
            <w:shd w:val="clear" w:color="auto" w:fill="auto"/>
            <w:noWrap/>
            <w:vAlign w:val="bottom"/>
          </w:tcPr>
          <w:p w:rsidR="007E2F90" w:rsidRPr="00D5469A" w:rsidRDefault="007F7163" w:rsidP="00462E46">
            <w:pPr>
              <w:rPr>
                <w:b/>
                <w:bCs/>
                <w:color w:val="auto"/>
                <w:szCs w:val="16"/>
              </w:rPr>
            </w:pPr>
            <w:r>
              <w:rPr>
                <w:b/>
                <w:bCs/>
                <w:color w:val="auto"/>
                <w:sz w:val="28"/>
                <w:szCs w:val="28"/>
              </w:rPr>
              <w:lastRenderedPageBreak/>
              <w:t>2.14</w:t>
            </w:r>
            <w:r w:rsidR="007E2F90" w:rsidRPr="00D5469A">
              <w:rPr>
                <w:b/>
                <w:bCs/>
                <w:color w:val="auto"/>
                <w:sz w:val="28"/>
                <w:szCs w:val="28"/>
              </w:rPr>
              <w:t xml:space="preserve">  Classification of Deposits with DFIs</w:t>
            </w:r>
            <w:r w:rsidR="001723FB">
              <w:rPr>
                <w:b/>
                <w:bCs/>
                <w:color w:val="auto"/>
                <w:sz w:val="28"/>
                <w:szCs w:val="28"/>
              </w:rPr>
              <w:t>, MFBs</w:t>
            </w:r>
            <w:r w:rsidR="007E2F90" w:rsidRPr="00D5469A">
              <w:rPr>
                <w:b/>
                <w:bCs/>
                <w:color w:val="auto"/>
                <w:sz w:val="28"/>
                <w:szCs w:val="28"/>
              </w:rPr>
              <w:t xml:space="preserve"> &amp; NBFCs</w:t>
            </w:r>
            <w:r w:rsidR="007E2F90" w:rsidRPr="00D5469A">
              <w:rPr>
                <w:b/>
                <w:bCs/>
                <w:color w:val="auto"/>
                <w:szCs w:val="16"/>
              </w:rPr>
              <w:t xml:space="preserve"> </w:t>
            </w:r>
          </w:p>
        </w:tc>
      </w:tr>
      <w:tr w:rsidR="007E2F90" w:rsidRPr="00D5469A" w:rsidTr="00462E46">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E2F90" w:rsidRPr="00D5469A" w:rsidRDefault="007E2F90" w:rsidP="00462E46">
            <w:pPr>
              <w:jc w:val="right"/>
              <w:rPr>
                <w:color w:val="auto"/>
                <w:szCs w:val="16"/>
              </w:rPr>
            </w:pPr>
            <w:r w:rsidRPr="00D5469A">
              <w:rPr>
                <w:color w:val="auto"/>
                <w:szCs w:val="16"/>
              </w:rPr>
              <w:t>(Million Rupees)</w:t>
            </w:r>
          </w:p>
        </w:tc>
      </w:tr>
      <w:tr w:rsidR="00462E46" w:rsidRPr="00D5469A" w:rsidTr="00462E46">
        <w:trPr>
          <w:trHeight w:val="240"/>
        </w:trPr>
        <w:tc>
          <w:tcPr>
            <w:tcW w:w="4068" w:type="dxa"/>
            <w:tcBorders>
              <w:bottom w:val="single" w:sz="12" w:space="0" w:color="auto"/>
              <w:right w:val="single" w:sz="4" w:space="0" w:color="auto"/>
            </w:tcBorders>
            <w:shd w:val="clear" w:color="auto" w:fill="auto"/>
            <w:noWrap/>
            <w:vAlign w:val="center"/>
          </w:tcPr>
          <w:p w:rsidR="00462E46" w:rsidRPr="00D5469A" w:rsidRDefault="00462E46" w:rsidP="00462E46">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62E46" w:rsidRPr="00D5469A" w:rsidRDefault="00462E46" w:rsidP="00462E46">
            <w:pPr>
              <w:jc w:val="right"/>
              <w:rPr>
                <w:b/>
                <w:bCs/>
                <w:color w:val="auto"/>
                <w:szCs w:val="22"/>
              </w:rPr>
            </w:pPr>
            <w:r>
              <w:rPr>
                <w:b/>
                <w:bCs/>
                <w:color w:val="auto"/>
                <w:szCs w:val="22"/>
              </w:rPr>
              <w:t>Sep-16</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62E46" w:rsidRPr="00D5469A" w:rsidRDefault="00462E46" w:rsidP="00462E46">
            <w:pPr>
              <w:jc w:val="right"/>
              <w:rPr>
                <w:b/>
                <w:bCs/>
                <w:color w:val="auto"/>
                <w:szCs w:val="22"/>
              </w:rPr>
            </w:pPr>
            <w:r w:rsidRPr="00D5469A">
              <w:rPr>
                <w:b/>
                <w:bCs/>
                <w:color w:val="auto"/>
                <w:szCs w:val="22"/>
              </w:rPr>
              <w:t>Dec-1</w:t>
            </w:r>
            <w:r>
              <w:rPr>
                <w:b/>
                <w:bCs/>
                <w:color w:val="auto"/>
                <w:szCs w:val="22"/>
              </w:rPr>
              <w:t>6</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62E46" w:rsidRPr="00D5469A" w:rsidRDefault="00462E46" w:rsidP="00462E46">
            <w:pPr>
              <w:jc w:val="right"/>
              <w:rPr>
                <w:b/>
                <w:bCs/>
                <w:color w:val="auto"/>
                <w:szCs w:val="22"/>
              </w:rPr>
            </w:pPr>
            <w:r>
              <w:rPr>
                <w:b/>
                <w:bCs/>
                <w:color w:val="auto"/>
                <w:szCs w:val="22"/>
              </w:rPr>
              <w:t>Mar-17</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462E46" w:rsidRPr="00D5469A" w:rsidRDefault="00462E46" w:rsidP="00462E46">
            <w:pPr>
              <w:jc w:val="right"/>
              <w:rPr>
                <w:b/>
                <w:bCs/>
                <w:color w:val="auto"/>
                <w:szCs w:val="22"/>
              </w:rPr>
            </w:pPr>
            <w:r>
              <w:rPr>
                <w:b/>
                <w:color w:val="auto"/>
                <w:szCs w:val="16"/>
              </w:rPr>
              <w:t>Jun-17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462E46" w:rsidRPr="00D5469A" w:rsidRDefault="00462E46" w:rsidP="00462E46">
            <w:pPr>
              <w:jc w:val="right"/>
              <w:rPr>
                <w:b/>
                <w:bCs/>
                <w:color w:val="auto"/>
                <w:szCs w:val="22"/>
              </w:rPr>
            </w:pPr>
            <w:r>
              <w:rPr>
                <w:b/>
                <w:bCs/>
                <w:color w:val="auto"/>
                <w:szCs w:val="22"/>
              </w:rPr>
              <w:t>Sep-17</w:t>
            </w:r>
          </w:p>
        </w:tc>
        <w:tc>
          <w:tcPr>
            <w:tcW w:w="792" w:type="dxa"/>
            <w:tcBorders>
              <w:top w:val="single" w:sz="8" w:space="0" w:color="auto"/>
              <w:left w:val="single" w:sz="4" w:space="0" w:color="auto"/>
              <w:bottom w:val="single" w:sz="12" w:space="0" w:color="auto"/>
            </w:tcBorders>
            <w:shd w:val="clear" w:color="auto" w:fill="auto"/>
            <w:noWrap/>
            <w:vAlign w:val="center"/>
          </w:tcPr>
          <w:p w:rsidR="00462E46" w:rsidRPr="00D5469A" w:rsidRDefault="00462E46" w:rsidP="00462E46">
            <w:pPr>
              <w:jc w:val="right"/>
              <w:rPr>
                <w:b/>
                <w:bCs/>
                <w:color w:val="auto"/>
                <w:szCs w:val="22"/>
              </w:rPr>
            </w:pPr>
            <w:r>
              <w:rPr>
                <w:b/>
                <w:bCs/>
                <w:color w:val="auto"/>
                <w:szCs w:val="22"/>
              </w:rPr>
              <w:t>Dec-17</w:t>
            </w:r>
          </w:p>
        </w:tc>
      </w:tr>
      <w:tr w:rsidR="00462E46" w:rsidRPr="00D5469A" w:rsidTr="00462E46">
        <w:trPr>
          <w:trHeight w:hRule="exact" w:val="259"/>
        </w:trPr>
        <w:tc>
          <w:tcPr>
            <w:tcW w:w="4068" w:type="dxa"/>
            <w:tcBorders>
              <w:top w:val="single" w:sz="12" w:space="0" w:color="auto"/>
            </w:tcBorders>
            <w:shd w:val="clear" w:color="auto" w:fill="auto"/>
            <w:noWrap/>
            <w:vAlign w:val="center"/>
          </w:tcPr>
          <w:p w:rsidR="00462E46" w:rsidRPr="00D5469A" w:rsidRDefault="00462E46" w:rsidP="00462E46">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79,902</w:t>
            </w:r>
          </w:p>
        </w:tc>
        <w:tc>
          <w:tcPr>
            <w:tcW w:w="900" w:type="dxa"/>
            <w:tcBorders>
              <w:top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82,882</w:t>
            </w:r>
          </w:p>
        </w:tc>
        <w:tc>
          <w:tcPr>
            <w:tcW w:w="900" w:type="dxa"/>
            <w:tcBorders>
              <w:top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73,336</w:t>
            </w:r>
          </w:p>
        </w:tc>
        <w:tc>
          <w:tcPr>
            <w:tcW w:w="990" w:type="dxa"/>
            <w:tcBorders>
              <w:top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70,567</w:t>
            </w:r>
          </w:p>
        </w:tc>
        <w:tc>
          <w:tcPr>
            <w:tcW w:w="900" w:type="dxa"/>
            <w:tcBorders>
              <w:top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77,717</w:t>
            </w:r>
          </w:p>
        </w:tc>
        <w:tc>
          <w:tcPr>
            <w:tcW w:w="792" w:type="dxa"/>
            <w:tcBorders>
              <w:top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81,425</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170" w:type="dxa"/>
            <w:shd w:val="clear" w:color="auto" w:fill="auto"/>
            <w:noWrap/>
            <w:vAlign w:val="center"/>
          </w:tcPr>
          <w:p w:rsidR="00462E46" w:rsidRDefault="00462E46" w:rsidP="00462E46">
            <w:pPr>
              <w:jc w:val="right"/>
              <w:rPr>
                <w:sz w:val="14"/>
                <w:szCs w:val="14"/>
              </w:rPr>
            </w:pPr>
            <w:r>
              <w:rPr>
                <w:sz w:val="14"/>
                <w:szCs w:val="14"/>
              </w:rPr>
              <w:t>40,598</w:t>
            </w:r>
          </w:p>
        </w:tc>
        <w:tc>
          <w:tcPr>
            <w:tcW w:w="900" w:type="dxa"/>
            <w:shd w:val="clear" w:color="auto" w:fill="auto"/>
            <w:noWrap/>
            <w:vAlign w:val="center"/>
          </w:tcPr>
          <w:p w:rsidR="00462E46" w:rsidRDefault="00462E46" w:rsidP="00462E46">
            <w:pPr>
              <w:jc w:val="right"/>
              <w:rPr>
                <w:sz w:val="14"/>
                <w:szCs w:val="14"/>
              </w:rPr>
            </w:pPr>
            <w:r>
              <w:rPr>
                <w:sz w:val="14"/>
                <w:szCs w:val="14"/>
              </w:rPr>
              <w:t>49,515</w:t>
            </w:r>
          </w:p>
        </w:tc>
        <w:tc>
          <w:tcPr>
            <w:tcW w:w="900" w:type="dxa"/>
            <w:shd w:val="clear" w:color="auto" w:fill="auto"/>
            <w:noWrap/>
            <w:vAlign w:val="center"/>
          </w:tcPr>
          <w:p w:rsidR="00462E46" w:rsidRDefault="00462E46" w:rsidP="00462E46">
            <w:pPr>
              <w:jc w:val="right"/>
              <w:rPr>
                <w:sz w:val="14"/>
                <w:szCs w:val="14"/>
              </w:rPr>
            </w:pPr>
            <w:r>
              <w:rPr>
                <w:sz w:val="14"/>
                <w:szCs w:val="14"/>
              </w:rPr>
              <w:t>43,052</w:t>
            </w:r>
          </w:p>
        </w:tc>
        <w:tc>
          <w:tcPr>
            <w:tcW w:w="990" w:type="dxa"/>
            <w:shd w:val="clear" w:color="auto" w:fill="auto"/>
            <w:noWrap/>
            <w:vAlign w:val="center"/>
          </w:tcPr>
          <w:p w:rsidR="00462E46" w:rsidRDefault="00462E46" w:rsidP="00462E46">
            <w:pPr>
              <w:jc w:val="right"/>
              <w:rPr>
                <w:sz w:val="14"/>
                <w:szCs w:val="14"/>
              </w:rPr>
            </w:pPr>
            <w:r>
              <w:rPr>
                <w:sz w:val="14"/>
                <w:szCs w:val="14"/>
              </w:rPr>
              <w:t>24,909</w:t>
            </w:r>
          </w:p>
        </w:tc>
        <w:tc>
          <w:tcPr>
            <w:tcW w:w="900" w:type="dxa"/>
            <w:shd w:val="clear" w:color="auto" w:fill="auto"/>
            <w:noWrap/>
            <w:vAlign w:val="center"/>
          </w:tcPr>
          <w:p w:rsidR="00462E46" w:rsidRDefault="00462E46" w:rsidP="00462E46">
            <w:pPr>
              <w:jc w:val="right"/>
              <w:rPr>
                <w:sz w:val="14"/>
                <w:szCs w:val="14"/>
              </w:rPr>
            </w:pPr>
            <w:r>
              <w:rPr>
                <w:sz w:val="14"/>
                <w:szCs w:val="14"/>
              </w:rPr>
              <w:t>25,543</w:t>
            </w:r>
          </w:p>
        </w:tc>
        <w:tc>
          <w:tcPr>
            <w:tcW w:w="792" w:type="dxa"/>
            <w:shd w:val="clear" w:color="auto" w:fill="auto"/>
            <w:noWrap/>
            <w:vAlign w:val="center"/>
          </w:tcPr>
          <w:p w:rsidR="00462E46" w:rsidRDefault="00462E46" w:rsidP="00462E46">
            <w:pPr>
              <w:jc w:val="right"/>
              <w:rPr>
                <w:sz w:val="14"/>
                <w:szCs w:val="14"/>
              </w:rPr>
            </w:pPr>
            <w:r>
              <w:rPr>
                <w:sz w:val="14"/>
                <w:szCs w:val="14"/>
              </w:rPr>
              <w:t>23,707</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462E46" w:rsidRDefault="00462E46" w:rsidP="00462E46">
            <w:pPr>
              <w:jc w:val="right"/>
              <w:rPr>
                <w:sz w:val="14"/>
                <w:szCs w:val="14"/>
              </w:rPr>
            </w:pPr>
            <w:r>
              <w:rPr>
                <w:sz w:val="14"/>
                <w:szCs w:val="14"/>
              </w:rPr>
              <w:t>39,304</w:t>
            </w:r>
          </w:p>
        </w:tc>
        <w:tc>
          <w:tcPr>
            <w:tcW w:w="900" w:type="dxa"/>
            <w:shd w:val="clear" w:color="auto" w:fill="auto"/>
            <w:noWrap/>
            <w:vAlign w:val="center"/>
          </w:tcPr>
          <w:p w:rsidR="00462E46" w:rsidRDefault="00462E46" w:rsidP="00462E46">
            <w:pPr>
              <w:jc w:val="right"/>
              <w:rPr>
                <w:sz w:val="14"/>
                <w:szCs w:val="14"/>
              </w:rPr>
            </w:pPr>
            <w:r>
              <w:rPr>
                <w:sz w:val="14"/>
                <w:szCs w:val="14"/>
              </w:rPr>
              <w:t>33,367</w:t>
            </w:r>
          </w:p>
        </w:tc>
        <w:tc>
          <w:tcPr>
            <w:tcW w:w="900" w:type="dxa"/>
            <w:shd w:val="clear" w:color="auto" w:fill="auto"/>
            <w:noWrap/>
            <w:vAlign w:val="center"/>
          </w:tcPr>
          <w:p w:rsidR="00462E46" w:rsidRDefault="00462E46" w:rsidP="00462E46">
            <w:pPr>
              <w:jc w:val="right"/>
              <w:rPr>
                <w:sz w:val="14"/>
                <w:szCs w:val="14"/>
              </w:rPr>
            </w:pPr>
            <w:r>
              <w:rPr>
                <w:sz w:val="14"/>
                <w:szCs w:val="14"/>
              </w:rPr>
              <w:t>30,284</w:t>
            </w:r>
          </w:p>
        </w:tc>
        <w:tc>
          <w:tcPr>
            <w:tcW w:w="990" w:type="dxa"/>
            <w:shd w:val="clear" w:color="auto" w:fill="auto"/>
            <w:noWrap/>
            <w:vAlign w:val="center"/>
          </w:tcPr>
          <w:p w:rsidR="00462E46" w:rsidRDefault="00462E46" w:rsidP="00462E46">
            <w:pPr>
              <w:jc w:val="right"/>
              <w:rPr>
                <w:sz w:val="14"/>
                <w:szCs w:val="14"/>
              </w:rPr>
            </w:pPr>
            <w:r>
              <w:rPr>
                <w:sz w:val="14"/>
                <w:szCs w:val="14"/>
              </w:rPr>
              <w:t>45,658</w:t>
            </w:r>
          </w:p>
        </w:tc>
        <w:tc>
          <w:tcPr>
            <w:tcW w:w="900" w:type="dxa"/>
            <w:shd w:val="clear" w:color="auto" w:fill="auto"/>
            <w:noWrap/>
            <w:vAlign w:val="center"/>
          </w:tcPr>
          <w:p w:rsidR="00462E46" w:rsidRDefault="00462E46" w:rsidP="00462E46">
            <w:pPr>
              <w:jc w:val="right"/>
              <w:rPr>
                <w:sz w:val="14"/>
                <w:szCs w:val="14"/>
              </w:rPr>
            </w:pPr>
            <w:r>
              <w:rPr>
                <w:sz w:val="14"/>
                <w:szCs w:val="14"/>
              </w:rPr>
              <w:t>52,174</w:t>
            </w:r>
          </w:p>
        </w:tc>
        <w:tc>
          <w:tcPr>
            <w:tcW w:w="792" w:type="dxa"/>
            <w:shd w:val="clear" w:color="auto" w:fill="auto"/>
            <w:noWrap/>
            <w:vAlign w:val="center"/>
          </w:tcPr>
          <w:p w:rsidR="00462E46" w:rsidRDefault="00462E46" w:rsidP="00462E46">
            <w:pPr>
              <w:jc w:val="right"/>
              <w:rPr>
                <w:sz w:val="14"/>
                <w:szCs w:val="14"/>
              </w:rPr>
            </w:pPr>
            <w:r>
              <w:rPr>
                <w:sz w:val="14"/>
                <w:szCs w:val="14"/>
              </w:rPr>
              <w:t>57,718</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462E46" w:rsidRDefault="00462E46" w:rsidP="00462E46">
            <w:pPr>
              <w:jc w:val="right"/>
              <w:rPr>
                <w:b/>
                <w:bCs/>
                <w:sz w:val="14"/>
                <w:szCs w:val="14"/>
              </w:rPr>
            </w:pPr>
            <w:r>
              <w:rPr>
                <w:b/>
                <w:bCs/>
                <w:sz w:val="14"/>
                <w:szCs w:val="14"/>
              </w:rPr>
              <w:t>8,841</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7,577</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11,940</w:t>
            </w:r>
          </w:p>
        </w:tc>
        <w:tc>
          <w:tcPr>
            <w:tcW w:w="990" w:type="dxa"/>
            <w:shd w:val="clear" w:color="auto" w:fill="auto"/>
            <w:noWrap/>
            <w:vAlign w:val="center"/>
          </w:tcPr>
          <w:p w:rsidR="00462E46" w:rsidRDefault="00462E46" w:rsidP="00462E46">
            <w:pPr>
              <w:jc w:val="right"/>
              <w:rPr>
                <w:b/>
                <w:bCs/>
                <w:sz w:val="14"/>
                <w:szCs w:val="14"/>
              </w:rPr>
            </w:pPr>
            <w:r>
              <w:rPr>
                <w:b/>
                <w:bCs/>
                <w:sz w:val="14"/>
                <w:szCs w:val="14"/>
              </w:rPr>
              <w:t>18,955</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20,590</w:t>
            </w:r>
          </w:p>
        </w:tc>
        <w:tc>
          <w:tcPr>
            <w:tcW w:w="792" w:type="dxa"/>
            <w:shd w:val="clear" w:color="auto" w:fill="auto"/>
            <w:noWrap/>
            <w:vAlign w:val="center"/>
          </w:tcPr>
          <w:p w:rsidR="00462E46" w:rsidRDefault="00462E46" w:rsidP="00462E46">
            <w:pPr>
              <w:jc w:val="right"/>
              <w:rPr>
                <w:b/>
                <w:bCs/>
                <w:sz w:val="14"/>
                <w:szCs w:val="14"/>
              </w:rPr>
            </w:pPr>
            <w:r>
              <w:rPr>
                <w:b/>
                <w:bCs/>
                <w:sz w:val="14"/>
                <w:szCs w:val="14"/>
              </w:rPr>
              <w:t>23,769</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170" w:type="dxa"/>
            <w:shd w:val="clear" w:color="auto" w:fill="auto"/>
            <w:noWrap/>
            <w:vAlign w:val="center"/>
          </w:tcPr>
          <w:p w:rsidR="00462E46" w:rsidRDefault="00462E46" w:rsidP="00462E46">
            <w:pPr>
              <w:jc w:val="right"/>
              <w:rPr>
                <w:sz w:val="14"/>
                <w:szCs w:val="14"/>
              </w:rPr>
            </w:pPr>
            <w:r>
              <w:rPr>
                <w:sz w:val="14"/>
                <w:szCs w:val="14"/>
              </w:rPr>
              <w:t>3,682</w:t>
            </w:r>
          </w:p>
        </w:tc>
        <w:tc>
          <w:tcPr>
            <w:tcW w:w="900" w:type="dxa"/>
            <w:shd w:val="clear" w:color="auto" w:fill="auto"/>
            <w:noWrap/>
            <w:vAlign w:val="center"/>
          </w:tcPr>
          <w:p w:rsidR="00462E46" w:rsidRDefault="00462E46" w:rsidP="00462E46">
            <w:pPr>
              <w:jc w:val="right"/>
              <w:rPr>
                <w:sz w:val="14"/>
                <w:szCs w:val="14"/>
              </w:rPr>
            </w:pPr>
            <w:r>
              <w:rPr>
                <w:sz w:val="14"/>
                <w:szCs w:val="14"/>
              </w:rPr>
              <w:t>3,231</w:t>
            </w:r>
          </w:p>
        </w:tc>
        <w:tc>
          <w:tcPr>
            <w:tcW w:w="900" w:type="dxa"/>
            <w:shd w:val="clear" w:color="auto" w:fill="auto"/>
            <w:noWrap/>
            <w:vAlign w:val="center"/>
          </w:tcPr>
          <w:p w:rsidR="00462E46" w:rsidRDefault="00462E46" w:rsidP="00462E46">
            <w:pPr>
              <w:jc w:val="right"/>
              <w:rPr>
                <w:sz w:val="14"/>
                <w:szCs w:val="14"/>
              </w:rPr>
            </w:pPr>
            <w:r>
              <w:rPr>
                <w:sz w:val="14"/>
                <w:szCs w:val="14"/>
              </w:rPr>
              <w:t>5,516</w:t>
            </w:r>
          </w:p>
        </w:tc>
        <w:tc>
          <w:tcPr>
            <w:tcW w:w="990" w:type="dxa"/>
            <w:shd w:val="clear" w:color="auto" w:fill="auto"/>
            <w:noWrap/>
            <w:vAlign w:val="center"/>
          </w:tcPr>
          <w:p w:rsidR="00462E46" w:rsidRDefault="00462E46" w:rsidP="00462E46">
            <w:pPr>
              <w:jc w:val="right"/>
              <w:rPr>
                <w:sz w:val="14"/>
                <w:szCs w:val="14"/>
              </w:rPr>
            </w:pPr>
            <w:r>
              <w:rPr>
                <w:sz w:val="14"/>
                <w:szCs w:val="14"/>
              </w:rPr>
              <w:t>3,858</w:t>
            </w:r>
          </w:p>
        </w:tc>
        <w:tc>
          <w:tcPr>
            <w:tcW w:w="900" w:type="dxa"/>
            <w:shd w:val="clear" w:color="auto" w:fill="auto"/>
            <w:noWrap/>
            <w:vAlign w:val="center"/>
          </w:tcPr>
          <w:p w:rsidR="00462E46" w:rsidRDefault="00462E46" w:rsidP="00462E46">
            <w:pPr>
              <w:jc w:val="right"/>
              <w:rPr>
                <w:sz w:val="14"/>
                <w:szCs w:val="14"/>
              </w:rPr>
            </w:pPr>
            <w:r>
              <w:rPr>
                <w:sz w:val="14"/>
                <w:szCs w:val="14"/>
              </w:rPr>
              <w:t>2,464</w:t>
            </w:r>
          </w:p>
        </w:tc>
        <w:tc>
          <w:tcPr>
            <w:tcW w:w="792" w:type="dxa"/>
            <w:shd w:val="clear" w:color="auto" w:fill="auto"/>
            <w:noWrap/>
            <w:vAlign w:val="center"/>
          </w:tcPr>
          <w:p w:rsidR="00462E46" w:rsidRDefault="00462E46" w:rsidP="00462E46">
            <w:pPr>
              <w:jc w:val="right"/>
              <w:rPr>
                <w:sz w:val="14"/>
                <w:szCs w:val="14"/>
              </w:rPr>
            </w:pPr>
            <w:r>
              <w:rPr>
                <w:sz w:val="14"/>
                <w:szCs w:val="14"/>
              </w:rPr>
              <w:t>2,788</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462E46" w:rsidRDefault="00462E46" w:rsidP="00462E46">
            <w:pPr>
              <w:jc w:val="right"/>
              <w:rPr>
                <w:sz w:val="14"/>
                <w:szCs w:val="14"/>
              </w:rPr>
            </w:pPr>
            <w:r>
              <w:rPr>
                <w:sz w:val="14"/>
                <w:szCs w:val="14"/>
              </w:rPr>
              <w:t>1,578</w:t>
            </w:r>
          </w:p>
        </w:tc>
        <w:tc>
          <w:tcPr>
            <w:tcW w:w="900" w:type="dxa"/>
            <w:shd w:val="clear" w:color="auto" w:fill="auto"/>
            <w:noWrap/>
            <w:vAlign w:val="center"/>
          </w:tcPr>
          <w:p w:rsidR="00462E46" w:rsidRDefault="00462E46" w:rsidP="00462E46">
            <w:pPr>
              <w:jc w:val="right"/>
              <w:rPr>
                <w:sz w:val="14"/>
                <w:szCs w:val="14"/>
              </w:rPr>
            </w:pPr>
            <w:r>
              <w:rPr>
                <w:sz w:val="14"/>
                <w:szCs w:val="14"/>
              </w:rPr>
              <w:t>45</w:t>
            </w:r>
          </w:p>
        </w:tc>
        <w:tc>
          <w:tcPr>
            <w:tcW w:w="900" w:type="dxa"/>
            <w:shd w:val="clear" w:color="auto" w:fill="auto"/>
            <w:noWrap/>
            <w:vAlign w:val="center"/>
          </w:tcPr>
          <w:p w:rsidR="00462E46" w:rsidRDefault="00462E46" w:rsidP="00462E46">
            <w:pPr>
              <w:jc w:val="right"/>
              <w:rPr>
                <w:sz w:val="14"/>
                <w:szCs w:val="14"/>
              </w:rPr>
            </w:pPr>
            <w:r>
              <w:rPr>
                <w:sz w:val="14"/>
                <w:szCs w:val="14"/>
              </w:rPr>
              <w:t>2,676</w:t>
            </w:r>
          </w:p>
        </w:tc>
        <w:tc>
          <w:tcPr>
            <w:tcW w:w="990" w:type="dxa"/>
            <w:shd w:val="clear" w:color="auto" w:fill="auto"/>
            <w:noWrap/>
            <w:vAlign w:val="center"/>
          </w:tcPr>
          <w:p w:rsidR="00462E46" w:rsidRDefault="00462E46" w:rsidP="00462E46">
            <w:pPr>
              <w:jc w:val="right"/>
              <w:rPr>
                <w:sz w:val="14"/>
                <w:szCs w:val="14"/>
              </w:rPr>
            </w:pPr>
            <w:r>
              <w:rPr>
                <w:sz w:val="14"/>
                <w:szCs w:val="14"/>
              </w:rPr>
              <w:t>8,839</w:t>
            </w:r>
          </w:p>
        </w:tc>
        <w:tc>
          <w:tcPr>
            <w:tcW w:w="900" w:type="dxa"/>
            <w:shd w:val="clear" w:color="auto" w:fill="auto"/>
            <w:noWrap/>
            <w:vAlign w:val="center"/>
          </w:tcPr>
          <w:p w:rsidR="00462E46" w:rsidRDefault="00462E46" w:rsidP="00462E46">
            <w:pPr>
              <w:jc w:val="right"/>
              <w:rPr>
                <w:sz w:val="14"/>
                <w:szCs w:val="14"/>
              </w:rPr>
            </w:pPr>
            <w:r>
              <w:rPr>
                <w:sz w:val="14"/>
                <w:szCs w:val="14"/>
              </w:rPr>
              <w:t>11,369</w:t>
            </w:r>
          </w:p>
        </w:tc>
        <w:tc>
          <w:tcPr>
            <w:tcW w:w="792" w:type="dxa"/>
            <w:shd w:val="clear" w:color="auto" w:fill="auto"/>
            <w:noWrap/>
            <w:vAlign w:val="center"/>
          </w:tcPr>
          <w:p w:rsidR="00462E46" w:rsidRDefault="00462E46" w:rsidP="00462E46">
            <w:pPr>
              <w:jc w:val="right"/>
              <w:rPr>
                <w:sz w:val="14"/>
                <w:szCs w:val="14"/>
              </w:rPr>
            </w:pPr>
            <w:r>
              <w:rPr>
                <w:sz w:val="14"/>
                <w:szCs w:val="14"/>
              </w:rPr>
              <w:t>13,320</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462E46" w:rsidRDefault="00462E46" w:rsidP="00462E46">
            <w:pPr>
              <w:jc w:val="right"/>
              <w:rPr>
                <w:sz w:val="14"/>
                <w:szCs w:val="14"/>
              </w:rPr>
            </w:pPr>
            <w:r>
              <w:rPr>
                <w:sz w:val="14"/>
                <w:szCs w:val="14"/>
              </w:rPr>
              <w:t>763</w:t>
            </w:r>
          </w:p>
        </w:tc>
        <w:tc>
          <w:tcPr>
            <w:tcW w:w="900" w:type="dxa"/>
            <w:shd w:val="clear" w:color="auto" w:fill="auto"/>
            <w:noWrap/>
            <w:vAlign w:val="center"/>
          </w:tcPr>
          <w:p w:rsidR="00462E46" w:rsidRDefault="00462E46" w:rsidP="00462E46">
            <w:pPr>
              <w:jc w:val="right"/>
              <w:rPr>
                <w:sz w:val="14"/>
                <w:szCs w:val="14"/>
              </w:rPr>
            </w:pPr>
            <w:r>
              <w:rPr>
                <w:sz w:val="14"/>
                <w:szCs w:val="14"/>
              </w:rPr>
              <w:t>77</w:t>
            </w:r>
          </w:p>
        </w:tc>
        <w:tc>
          <w:tcPr>
            <w:tcW w:w="900" w:type="dxa"/>
            <w:shd w:val="clear" w:color="auto" w:fill="auto"/>
            <w:noWrap/>
            <w:vAlign w:val="center"/>
          </w:tcPr>
          <w:p w:rsidR="00462E46" w:rsidRDefault="00462E46" w:rsidP="00462E46">
            <w:pPr>
              <w:jc w:val="right"/>
              <w:rPr>
                <w:sz w:val="14"/>
                <w:szCs w:val="14"/>
              </w:rPr>
            </w:pPr>
            <w:r>
              <w:rPr>
                <w:sz w:val="14"/>
                <w:szCs w:val="14"/>
              </w:rPr>
              <w:t>331</w:t>
            </w:r>
          </w:p>
        </w:tc>
        <w:tc>
          <w:tcPr>
            <w:tcW w:w="990" w:type="dxa"/>
            <w:shd w:val="clear" w:color="auto" w:fill="auto"/>
            <w:noWrap/>
            <w:vAlign w:val="center"/>
          </w:tcPr>
          <w:p w:rsidR="00462E46" w:rsidRDefault="00462E46" w:rsidP="00462E46">
            <w:pPr>
              <w:jc w:val="right"/>
              <w:rPr>
                <w:sz w:val="14"/>
                <w:szCs w:val="14"/>
              </w:rPr>
            </w:pPr>
            <w:r>
              <w:rPr>
                <w:sz w:val="14"/>
                <w:szCs w:val="14"/>
              </w:rPr>
              <w:t>3,133</w:t>
            </w:r>
          </w:p>
        </w:tc>
        <w:tc>
          <w:tcPr>
            <w:tcW w:w="900" w:type="dxa"/>
            <w:shd w:val="clear" w:color="auto" w:fill="auto"/>
            <w:noWrap/>
            <w:vAlign w:val="center"/>
          </w:tcPr>
          <w:p w:rsidR="00462E46" w:rsidRDefault="00462E46" w:rsidP="00462E46">
            <w:pPr>
              <w:jc w:val="right"/>
              <w:rPr>
                <w:sz w:val="14"/>
                <w:szCs w:val="14"/>
              </w:rPr>
            </w:pPr>
            <w:r>
              <w:rPr>
                <w:sz w:val="14"/>
                <w:szCs w:val="14"/>
              </w:rPr>
              <w:t>2,954</w:t>
            </w:r>
          </w:p>
        </w:tc>
        <w:tc>
          <w:tcPr>
            <w:tcW w:w="792" w:type="dxa"/>
            <w:shd w:val="clear" w:color="auto" w:fill="auto"/>
            <w:noWrap/>
            <w:vAlign w:val="center"/>
          </w:tcPr>
          <w:p w:rsidR="00462E46" w:rsidRDefault="00462E46" w:rsidP="00462E46">
            <w:pPr>
              <w:jc w:val="right"/>
              <w:rPr>
                <w:sz w:val="14"/>
                <w:szCs w:val="14"/>
              </w:rPr>
            </w:pPr>
            <w:r>
              <w:rPr>
                <w:sz w:val="14"/>
                <w:szCs w:val="14"/>
              </w:rPr>
              <w:t>3,818</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462E46" w:rsidRDefault="00462E46" w:rsidP="00462E46">
            <w:pPr>
              <w:jc w:val="right"/>
              <w:rPr>
                <w:sz w:val="14"/>
                <w:szCs w:val="14"/>
              </w:rPr>
            </w:pPr>
            <w:r>
              <w:rPr>
                <w:sz w:val="14"/>
                <w:szCs w:val="14"/>
              </w:rPr>
              <w:t>1,770</w:t>
            </w:r>
          </w:p>
        </w:tc>
        <w:tc>
          <w:tcPr>
            <w:tcW w:w="900" w:type="dxa"/>
            <w:shd w:val="clear" w:color="auto" w:fill="auto"/>
            <w:noWrap/>
            <w:vAlign w:val="center"/>
          </w:tcPr>
          <w:p w:rsidR="00462E46" w:rsidRDefault="00462E46" w:rsidP="00462E46">
            <w:pPr>
              <w:jc w:val="right"/>
              <w:rPr>
                <w:sz w:val="14"/>
                <w:szCs w:val="14"/>
              </w:rPr>
            </w:pPr>
            <w:r>
              <w:rPr>
                <w:sz w:val="14"/>
                <w:szCs w:val="14"/>
              </w:rPr>
              <w:t>3,726</w:t>
            </w:r>
          </w:p>
        </w:tc>
        <w:tc>
          <w:tcPr>
            <w:tcW w:w="900" w:type="dxa"/>
            <w:shd w:val="clear" w:color="auto" w:fill="auto"/>
            <w:noWrap/>
            <w:vAlign w:val="center"/>
          </w:tcPr>
          <w:p w:rsidR="00462E46" w:rsidRDefault="00462E46" w:rsidP="00462E46">
            <w:pPr>
              <w:jc w:val="right"/>
              <w:rPr>
                <w:sz w:val="14"/>
                <w:szCs w:val="14"/>
              </w:rPr>
            </w:pPr>
            <w:r>
              <w:rPr>
                <w:sz w:val="14"/>
                <w:szCs w:val="14"/>
              </w:rPr>
              <w:t>766</w:t>
            </w:r>
          </w:p>
        </w:tc>
        <w:tc>
          <w:tcPr>
            <w:tcW w:w="990" w:type="dxa"/>
            <w:shd w:val="clear" w:color="auto" w:fill="auto"/>
            <w:noWrap/>
            <w:vAlign w:val="center"/>
          </w:tcPr>
          <w:p w:rsidR="00462E46" w:rsidRDefault="00462E46" w:rsidP="00462E46">
            <w:pPr>
              <w:jc w:val="right"/>
              <w:rPr>
                <w:sz w:val="14"/>
                <w:szCs w:val="14"/>
              </w:rPr>
            </w:pPr>
            <w:r>
              <w:rPr>
                <w:sz w:val="14"/>
                <w:szCs w:val="14"/>
              </w:rPr>
              <w:t>24</w:t>
            </w:r>
          </w:p>
        </w:tc>
        <w:tc>
          <w:tcPr>
            <w:tcW w:w="900" w:type="dxa"/>
            <w:shd w:val="clear" w:color="auto" w:fill="auto"/>
            <w:noWrap/>
            <w:vAlign w:val="center"/>
          </w:tcPr>
          <w:p w:rsidR="00462E46" w:rsidRDefault="00462E46" w:rsidP="00462E46">
            <w:pPr>
              <w:jc w:val="right"/>
              <w:rPr>
                <w:sz w:val="14"/>
                <w:szCs w:val="14"/>
              </w:rPr>
            </w:pPr>
            <w:r>
              <w:rPr>
                <w:sz w:val="14"/>
                <w:szCs w:val="14"/>
              </w:rPr>
              <w:t>25</w:t>
            </w:r>
          </w:p>
        </w:tc>
        <w:tc>
          <w:tcPr>
            <w:tcW w:w="792" w:type="dxa"/>
            <w:shd w:val="clear" w:color="auto" w:fill="auto"/>
            <w:noWrap/>
            <w:vAlign w:val="center"/>
          </w:tcPr>
          <w:p w:rsidR="00462E46" w:rsidRDefault="00462E46" w:rsidP="00462E46">
            <w:pPr>
              <w:jc w:val="right"/>
              <w:rPr>
                <w:sz w:val="14"/>
                <w:szCs w:val="14"/>
              </w:rPr>
            </w:pPr>
            <w:r>
              <w:rPr>
                <w:sz w:val="14"/>
                <w:szCs w:val="14"/>
              </w:rPr>
              <w:t>43</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462E46" w:rsidRDefault="00462E46" w:rsidP="00462E46">
            <w:pPr>
              <w:jc w:val="right"/>
              <w:rPr>
                <w:sz w:val="14"/>
                <w:szCs w:val="14"/>
              </w:rPr>
            </w:pPr>
            <w:r>
              <w:rPr>
                <w:sz w:val="14"/>
                <w:szCs w:val="14"/>
              </w:rPr>
              <w:t>1,049</w:t>
            </w:r>
          </w:p>
        </w:tc>
        <w:tc>
          <w:tcPr>
            <w:tcW w:w="900" w:type="dxa"/>
            <w:shd w:val="clear" w:color="auto" w:fill="auto"/>
            <w:noWrap/>
            <w:vAlign w:val="center"/>
          </w:tcPr>
          <w:p w:rsidR="00462E46" w:rsidRDefault="00462E46" w:rsidP="00462E46">
            <w:pPr>
              <w:jc w:val="right"/>
              <w:rPr>
                <w:sz w:val="14"/>
                <w:szCs w:val="14"/>
              </w:rPr>
            </w:pPr>
            <w:r>
              <w:rPr>
                <w:sz w:val="14"/>
                <w:szCs w:val="14"/>
              </w:rPr>
              <w:t>498</w:t>
            </w:r>
          </w:p>
        </w:tc>
        <w:tc>
          <w:tcPr>
            <w:tcW w:w="900" w:type="dxa"/>
            <w:shd w:val="clear" w:color="auto" w:fill="auto"/>
            <w:noWrap/>
            <w:vAlign w:val="center"/>
          </w:tcPr>
          <w:p w:rsidR="00462E46" w:rsidRDefault="00462E46" w:rsidP="00462E46">
            <w:pPr>
              <w:jc w:val="right"/>
              <w:rPr>
                <w:sz w:val="14"/>
                <w:szCs w:val="14"/>
              </w:rPr>
            </w:pPr>
            <w:r>
              <w:rPr>
                <w:sz w:val="14"/>
                <w:szCs w:val="14"/>
              </w:rPr>
              <w:t>2,651</w:t>
            </w:r>
          </w:p>
        </w:tc>
        <w:tc>
          <w:tcPr>
            <w:tcW w:w="990" w:type="dxa"/>
            <w:shd w:val="clear" w:color="auto" w:fill="auto"/>
            <w:noWrap/>
            <w:vAlign w:val="center"/>
          </w:tcPr>
          <w:p w:rsidR="00462E46" w:rsidRDefault="00462E46" w:rsidP="00462E46">
            <w:pPr>
              <w:jc w:val="right"/>
              <w:rPr>
                <w:sz w:val="14"/>
                <w:szCs w:val="14"/>
              </w:rPr>
            </w:pPr>
            <w:r>
              <w:rPr>
                <w:sz w:val="14"/>
                <w:szCs w:val="14"/>
              </w:rPr>
              <w:t>3,100</w:t>
            </w:r>
          </w:p>
        </w:tc>
        <w:tc>
          <w:tcPr>
            <w:tcW w:w="900" w:type="dxa"/>
            <w:shd w:val="clear" w:color="auto" w:fill="auto"/>
            <w:noWrap/>
            <w:vAlign w:val="center"/>
          </w:tcPr>
          <w:p w:rsidR="00462E46" w:rsidRPr="00506EDF" w:rsidRDefault="00462E46" w:rsidP="00462E46">
            <w:pPr>
              <w:jc w:val="right"/>
              <w:rPr>
                <w:sz w:val="14"/>
                <w:szCs w:val="14"/>
              </w:rPr>
            </w:pPr>
            <w:r w:rsidRPr="00506EDF">
              <w:rPr>
                <w:sz w:val="14"/>
                <w:szCs w:val="14"/>
              </w:rPr>
              <w:t>3,779</w:t>
            </w:r>
          </w:p>
        </w:tc>
        <w:tc>
          <w:tcPr>
            <w:tcW w:w="792" w:type="dxa"/>
            <w:shd w:val="clear" w:color="auto" w:fill="auto"/>
            <w:noWrap/>
            <w:vAlign w:val="center"/>
          </w:tcPr>
          <w:p w:rsidR="00462E46" w:rsidRDefault="00462E46" w:rsidP="00462E46">
            <w:pPr>
              <w:jc w:val="right"/>
              <w:rPr>
                <w:sz w:val="14"/>
                <w:szCs w:val="14"/>
              </w:rPr>
            </w:pPr>
            <w:r>
              <w:rPr>
                <w:sz w:val="14"/>
                <w:szCs w:val="14"/>
              </w:rPr>
              <w:t>3,800</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462E46" w:rsidRDefault="00462E46" w:rsidP="00462E46">
            <w:pPr>
              <w:jc w:val="right"/>
              <w:rPr>
                <w:b/>
                <w:bCs/>
                <w:sz w:val="14"/>
                <w:szCs w:val="14"/>
              </w:rPr>
            </w:pPr>
            <w:r>
              <w:rPr>
                <w:b/>
                <w:bCs/>
                <w:sz w:val="14"/>
                <w:szCs w:val="14"/>
              </w:rPr>
              <w:t>827</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824</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827</w:t>
            </w:r>
          </w:p>
        </w:tc>
        <w:tc>
          <w:tcPr>
            <w:tcW w:w="990" w:type="dxa"/>
            <w:shd w:val="clear" w:color="auto" w:fill="auto"/>
            <w:noWrap/>
            <w:vAlign w:val="center"/>
          </w:tcPr>
          <w:p w:rsidR="00462E46" w:rsidRDefault="00462E46" w:rsidP="00462E46">
            <w:pPr>
              <w:jc w:val="right"/>
              <w:rPr>
                <w:b/>
                <w:bCs/>
                <w:sz w:val="14"/>
                <w:szCs w:val="14"/>
              </w:rPr>
            </w:pPr>
            <w:r>
              <w:rPr>
                <w:b/>
                <w:bCs/>
                <w:sz w:val="14"/>
                <w:szCs w:val="14"/>
              </w:rPr>
              <w:t>675</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773</w:t>
            </w:r>
          </w:p>
        </w:tc>
        <w:tc>
          <w:tcPr>
            <w:tcW w:w="792" w:type="dxa"/>
            <w:shd w:val="clear" w:color="auto" w:fill="auto"/>
            <w:noWrap/>
            <w:vAlign w:val="center"/>
          </w:tcPr>
          <w:p w:rsidR="00462E46" w:rsidRDefault="00462E46" w:rsidP="00462E46">
            <w:pPr>
              <w:jc w:val="right"/>
              <w:rPr>
                <w:b/>
                <w:bCs/>
                <w:sz w:val="14"/>
                <w:szCs w:val="14"/>
              </w:rPr>
            </w:pPr>
            <w:r>
              <w:rPr>
                <w:b/>
                <w:bCs/>
                <w:sz w:val="14"/>
                <w:szCs w:val="14"/>
              </w:rPr>
              <w:t>627</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462E46" w:rsidRDefault="00462E46" w:rsidP="00462E46">
            <w:pPr>
              <w:jc w:val="right"/>
              <w:rPr>
                <w:b/>
                <w:bCs/>
                <w:sz w:val="14"/>
                <w:szCs w:val="14"/>
              </w:rPr>
            </w:pPr>
            <w:r>
              <w:rPr>
                <w:b/>
                <w:bCs/>
                <w:sz w:val="14"/>
                <w:szCs w:val="14"/>
              </w:rPr>
              <w:t>-</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w:t>
            </w:r>
          </w:p>
        </w:tc>
        <w:tc>
          <w:tcPr>
            <w:tcW w:w="990" w:type="dxa"/>
            <w:shd w:val="clear" w:color="auto" w:fill="auto"/>
            <w:noWrap/>
            <w:vAlign w:val="center"/>
          </w:tcPr>
          <w:p w:rsidR="00462E46" w:rsidRDefault="00462E46" w:rsidP="00462E46">
            <w:pPr>
              <w:jc w:val="right"/>
              <w:rPr>
                <w:b/>
                <w:bCs/>
                <w:sz w:val="14"/>
                <w:szCs w:val="14"/>
              </w:rPr>
            </w:pPr>
            <w:r>
              <w:rPr>
                <w:b/>
                <w:bCs/>
                <w:sz w:val="14"/>
                <w:szCs w:val="14"/>
              </w:rPr>
              <w:t>1,479</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1,429</w:t>
            </w:r>
          </w:p>
        </w:tc>
        <w:tc>
          <w:tcPr>
            <w:tcW w:w="792" w:type="dxa"/>
            <w:shd w:val="clear" w:color="auto" w:fill="auto"/>
            <w:noWrap/>
            <w:vAlign w:val="center"/>
          </w:tcPr>
          <w:p w:rsidR="00462E46" w:rsidRDefault="00462E46" w:rsidP="00462E46">
            <w:pPr>
              <w:jc w:val="right"/>
              <w:rPr>
                <w:b/>
                <w:bCs/>
                <w:sz w:val="14"/>
                <w:szCs w:val="14"/>
              </w:rPr>
            </w:pPr>
            <w:r>
              <w:rPr>
                <w:b/>
                <w:bCs/>
                <w:sz w:val="14"/>
                <w:szCs w:val="14"/>
              </w:rPr>
              <w:t>1,527</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462E46" w:rsidRDefault="00462E46" w:rsidP="00462E46">
            <w:pPr>
              <w:jc w:val="right"/>
              <w:rPr>
                <w:b/>
                <w:bCs/>
                <w:sz w:val="14"/>
                <w:szCs w:val="14"/>
              </w:rPr>
            </w:pPr>
            <w:r>
              <w:rPr>
                <w:b/>
                <w:bCs/>
                <w:sz w:val="14"/>
                <w:szCs w:val="14"/>
              </w:rPr>
              <w:t>445</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89</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192</w:t>
            </w:r>
          </w:p>
        </w:tc>
        <w:tc>
          <w:tcPr>
            <w:tcW w:w="990" w:type="dxa"/>
            <w:shd w:val="clear" w:color="auto" w:fill="auto"/>
            <w:noWrap/>
            <w:vAlign w:val="center"/>
          </w:tcPr>
          <w:p w:rsidR="00462E46" w:rsidRDefault="00462E46" w:rsidP="00462E46">
            <w:pPr>
              <w:jc w:val="right"/>
              <w:rPr>
                <w:b/>
                <w:bCs/>
                <w:sz w:val="14"/>
                <w:szCs w:val="14"/>
              </w:rPr>
            </w:pPr>
            <w:r>
              <w:rPr>
                <w:b/>
                <w:bCs/>
                <w:sz w:val="14"/>
                <w:szCs w:val="14"/>
              </w:rPr>
              <w:t>877</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893</w:t>
            </w:r>
          </w:p>
        </w:tc>
        <w:tc>
          <w:tcPr>
            <w:tcW w:w="792" w:type="dxa"/>
            <w:shd w:val="clear" w:color="auto" w:fill="auto"/>
            <w:noWrap/>
            <w:vAlign w:val="center"/>
          </w:tcPr>
          <w:p w:rsidR="00462E46" w:rsidRDefault="00462E46" w:rsidP="00462E46">
            <w:pPr>
              <w:jc w:val="right"/>
              <w:rPr>
                <w:b/>
                <w:bCs/>
                <w:sz w:val="14"/>
                <w:szCs w:val="14"/>
              </w:rPr>
            </w:pPr>
            <w:r>
              <w:rPr>
                <w:b/>
                <w:bCs/>
                <w:sz w:val="14"/>
                <w:szCs w:val="14"/>
              </w:rPr>
              <w:t>855</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462E46" w:rsidRDefault="00462E46" w:rsidP="00462E46">
            <w:pPr>
              <w:jc w:val="right"/>
              <w:rPr>
                <w:b/>
                <w:bCs/>
                <w:sz w:val="14"/>
                <w:szCs w:val="14"/>
              </w:rPr>
            </w:pPr>
            <w:r>
              <w:rPr>
                <w:b/>
                <w:bCs/>
                <w:sz w:val="14"/>
                <w:szCs w:val="14"/>
              </w:rPr>
              <w:t>59,239</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71,717</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70,458</w:t>
            </w:r>
          </w:p>
        </w:tc>
        <w:tc>
          <w:tcPr>
            <w:tcW w:w="990" w:type="dxa"/>
            <w:shd w:val="clear" w:color="auto" w:fill="auto"/>
            <w:noWrap/>
            <w:vAlign w:val="center"/>
          </w:tcPr>
          <w:p w:rsidR="00462E46" w:rsidRDefault="00462E46" w:rsidP="00462E46">
            <w:pPr>
              <w:jc w:val="right"/>
              <w:rPr>
                <w:b/>
                <w:bCs/>
                <w:sz w:val="14"/>
                <w:szCs w:val="14"/>
              </w:rPr>
            </w:pPr>
            <w:r>
              <w:rPr>
                <w:b/>
                <w:bCs/>
                <w:sz w:val="14"/>
                <w:szCs w:val="14"/>
              </w:rPr>
              <w:t>93,149</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102,056</w:t>
            </w:r>
          </w:p>
        </w:tc>
        <w:tc>
          <w:tcPr>
            <w:tcW w:w="792" w:type="dxa"/>
            <w:shd w:val="clear" w:color="auto" w:fill="auto"/>
            <w:noWrap/>
            <w:vAlign w:val="center"/>
          </w:tcPr>
          <w:p w:rsidR="00462E46" w:rsidRDefault="00462E46" w:rsidP="00462E46">
            <w:pPr>
              <w:jc w:val="right"/>
              <w:rPr>
                <w:b/>
                <w:bCs/>
                <w:sz w:val="14"/>
                <w:szCs w:val="14"/>
              </w:rPr>
            </w:pPr>
            <w:r>
              <w:rPr>
                <w:b/>
                <w:bCs/>
                <w:sz w:val="14"/>
                <w:szCs w:val="14"/>
              </w:rPr>
              <w:t>121,125</w:t>
            </w:r>
          </w:p>
        </w:tc>
      </w:tr>
      <w:tr w:rsidR="00462E46" w:rsidRPr="00D5469A" w:rsidTr="00462E46">
        <w:trPr>
          <w:trHeight w:hRule="exact" w:val="288"/>
        </w:trPr>
        <w:tc>
          <w:tcPr>
            <w:tcW w:w="4068" w:type="dxa"/>
            <w:shd w:val="clear" w:color="auto" w:fill="auto"/>
            <w:noWrap/>
            <w:vAlign w:val="center"/>
          </w:tcPr>
          <w:p w:rsidR="00462E46" w:rsidRPr="00D5469A" w:rsidRDefault="00462E46" w:rsidP="00462E46">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462E46" w:rsidRDefault="00462E46" w:rsidP="00462E46">
            <w:pPr>
              <w:jc w:val="right"/>
              <w:rPr>
                <w:b/>
                <w:bCs/>
                <w:sz w:val="14"/>
                <w:szCs w:val="14"/>
              </w:rPr>
            </w:pPr>
            <w:r>
              <w:rPr>
                <w:b/>
                <w:bCs/>
                <w:sz w:val="14"/>
                <w:szCs w:val="14"/>
              </w:rPr>
              <w:t>2,420</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2,627</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2,805</w:t>
            </w:r>
          </w:p>
        </w:tc>
        <w:tc>
          <w:tcPr>
            <w:tcW w:w="990" w:type="dxa"/>
            <w:shd w:val="clear" w:color="auto" w:fill="auto"/>
            <w:noWrap/>
            <w:vAlign w:val="center"/>
          </w:tcPr>
          <w:p w:rsidR="00462E46" w:rsidRDefault="00462E46" w:rsidP="00462E46">
            <w:pPr>
              <w:jc w:val="right"/>
              <w:rPr>
                <w:b/>
                <w:bCs/>
                <w:sz w:val="14"/>
                <w:szCs w:val="14"/>
              </w:rPr>
            </w:pPr>
            <w:r>
              <w:rPr>
                <w:b/>
                <w:bCs/>
                <w:sz w:val="14"/>
                <w:szCs w:val="14"/>
              </w:rPr>
              <w:t>4,963</w:t>
            </w:r>
          </w:p>
        </w:tc>
        <w:tc>
          <w:tcPr>
            <w:tcW w:w="900" w:type="dxa"/>
            <w:shd w:val="clear" w:color="auto" w:fill="auto"/>
            <w:noWrap/>
            <w:vAlign w:val="center"/>
          </w:tcPr>
          <w:p w:rsidR="00462E46" w:rsidRDefault="00BE4A58" w:rsidP="00462E46">
            <w:pPr>
              <w:jc w:val="right"/>
              <w:rPr>
                <w:b/>
                <w:bCs/>
                <w:sz w:val="14"/>
                <w:szCs w:val="14"/>
              </w:rPr>
            </w:pPr>
            <w:r>
              <w:rPr>
                <w:b/>
                <w:bCs/>
                <w:sz w:val="14"/>
                <w:szCs w:val="14"/>
              </w:rPr>
              <w:t>5,653</w:t>
            </w:r>
          </w:p>
        </w:tc>
        <w:tc>
          <w:tcPr>
            <w:tcW w:w="792" w:type="dxa"/>
            <w:shd w:val="clear" w:color="auto" w:fill="auto"/>
            <w:noWrap/>
            <w:vAlign w:val="center"/>
          </w:tcPr>
          <w:p w:rsidR="00462E46" w:rsidRDefault="00462E46" w:rsidP="00462E46">
            <w:pPr>
              <w:jc w:val="right"/>
              <w:rPr>
                <w:b/>
                <w:bCs/>
                <w:sz w:val="14"/>
                <w:szCs w:val="14"/>
              </w:rPr>
            </w:pPr>
            <w:r>
              <w:rPr>
                <w:b/>
                <w:bCs/>
                <w:sz w:val="14"/>
                <w:szCs w:val="14"/>
              </w:rPr>
              <w:t>6,743</w:t>
            </w:r>
          </w:p>
        </w:tc>
      </w:tr>
      <w:tr w:rsidR="00462E46" w:rsidRPr="00D5469A" w:rsidTr="00462E46">
        <w:trPr>
          <w:trHeight w:hRule="exact" w:val="259"/>
        </w:trPr>
        <w:tc>
          <w:tcPr>
            <w:tcW w:w="4068" w:type="dxa"/>
            <w:shd w:val="clear" w:color="auto" w:fill="auto"/>
            <w:noWrap/>
            <w:vAlign w:val="center"/>
          </w:tcPr>
          <w:p w:rsidR="00462E46" w:rsidRPr="00D5469A" w:rsidRDefault="00462E46" w:rsidP="00462E46">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462E46" w:rsidRDefault="00462E46" w:rsidP="00462E46">
            <w:pPr>
              <w:jc w:val="right"/>
              <w:rPr>
                <w:b/>
                <w:bCs/>
                <w:sz w:val="14"/>
                <w:szCs w:val="14"/>
              </w:rPr>
            </w:pPr>
            <w:r>
              <w:rPr>
                <w:b/>
                <w:bCs/>
                <w:sz w:val="14"/>
                <w:szCs w:val="14"/>
              </w:rPr>
              <w:t>-</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w:t>
            </w:r>
          </w:p>
        </w:tc>
        <w:tc>
          <w:tcPr>
            <w:tcW w:w="990" w:type="dxa"/>
            <w:shd w:val="clear" w:color="auto" w:fill="auto"/>
            <w:noWrap/>
            <w:vAlign w:val="center"/>
          </w:tcPr>
          <w:p w:rsidR="00462E46" w:rsidRDefault="00462E46" w:rsidP="00462E46">
            <w:pPr>
              <w:jc w:val="right"/>
              <w:rPr>
                <w:b/>
                <w:bCs/>
                <w:sz w:val="14"/>
                <w:szCs w:val="14"/>
              </w:rPr>
            </w:pPr>
            <w:r>
              <w:rPr>
                <w:b/>
                <w:bCs/>
                <w:sz w:val="14"/>
                <w:szCs w:val="14"/>
              </w:rPr>
              <w:t>-</w:t>
            </w:r>
          </w:p>
        </w:tc>
        <w:tc>
          <w:tcPr>
            <w:tcW w:w="900" w:type="dxa"/>
            <w:shd w:val="clear" w:color="auto" w:fill="auto"/>
            <w:noWrap/>
            <w:vAlign w:val="center"/>
          </w:tcPr>
          <w:p w:rsidR="00462E46" w:rsidRDefault="00462E46" w:rsidP="00462E46">
            <w:pPr>
              <w:jc w:val="right"/>
              <w:rPr>
                <w:b/>
                <w:bCs/>
                <w:sz w:val="14"/>
                <w:szCs w:val="14"/>
              </w:rPr>
            </w:pPr>
            <w:r>
              <w:rPr>
                <w:b/>
                <w:bCs/>
                <w:sz w:val="14"/>
                <w:szCs w:val="14"/>
              </w:rPr>
              <w:t>-</w:t>
            </w:r>
          </w:p>
        </w:tc>
        <w:tc>
          <w:tcPr>
            <w:tcW w:w="792" w:type="dxa"/>
            <w:shd w:val="clear" w:color="auto" w:fill="auto"/>
            <w:noWrap/>
            <w:vAlign w:val="center"/>
          </w:tcPr>
          <w:p w:rsidR="00462E46" w:rsidRDefault="00462E46" w:rsidP="00462E46">
            <w:pPr>
              <w:jc w:val="right"/>
              <w:rPr>
                <w:b/>
                <w:bCs/>
                <w:sz w:val="14"/>
                <w:szCs w:val="14"/>
              </w:rPr>
            </w:pPr>
            <w:r>
              <w:rPr>
                <w:b/>
                <w:bCs/>
                <w:sz w:val="14"/>
                <w:szCs w:val="14"/>
              </w:rPr>
              <w:t>-</w:t>
            </w:r>
          </w:p>
        </w:tc>
      </w:tr>
      <w:tr w:rsidR="00462E46" w:rsidRPr="00D5469A" w:rsidTr="00462E46">
        <w:trPr>
          <w:trHeight w:hRule="exact" w:val="259"/>
        </w:trPr>
        <w:tc>
          <w:tcPr>
            <w:tcW w:w="4068" w:type="dxa"/>
            <w:tcBorders>
              <w:bottom w:val="single" w:sz="12" w:space="0" w:color="auto"/>
            </w:tcBorders>
            <w:shd w:val="clear" w:color="auto" w:fill="auto"/>
            <w:noWrap/>
            <w:vAlign w:val="center"/>
          </w:tcPr>
          <w:p w:rsidR="00462E46" w:rsidRPr="00D5469A" w:rsidRDefault="00462E46" w:rsidP="00462E46">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462E46" w:rsidRDefault="00462E46" w:rsidP="00462E46">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462E46" w:rsidRDefault="00462E46" w:rsidP="00462E46">
            <w:pPr>
              <w:jc w:val="right"/>
              <w:rPr>
                <w:sz w:val="14"/>
                <w:szCs w:val="14"/>
              </w:rPr>
            </w:pPr>
            <w:r>
              <w:rPr>
                <w:sz w:val="14"/>
                <w:szCs w:val="14"/>
              </w:rPr>
              <w:t>..</w:t>
            </w:r>
          </w:p>
        </w:tc>
        <w:tc>
          <w:tcPr>
            <w:tcW w:w="990" w:type="dxa"/>
            <w:tcBorders>
              <w:bottom w:val="single" w:sz="12" w:space="0" w:color="auto"/>
            </w:tcBorders>
            <w:shd w:val="clear" w:color="auto" w:fill="auto"/>
            <w:noWrap/>
            <w:vAlign w:val="center"/>
          </w:tcPr>
          <w:p w:rsidR="00462E46" w:rsidRDefault="00462E46" w:rsidP="00462E46">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462E46" w:rsidRDefault="00462E46" w:rsidP="00462E46">
            <w:pPr>
              <w:jc w:val="right"/>
              <w:rPr>
                <w:sz w:val="14"/>
                <w:szCs w:val="14"/>
              </w:rPr>
            </w:pPr>
            <w:r>
              <w:rPr>
                <w:sz w:val="14"/>
                <w:szCs w:val="14"/>
              </w:rPr>
              <w:t>..</w:t>
            </w:r>
          </w:p>
        </w:tc>
        <w:tc>
          <w:tcPr>
            <w:tcW w:w="792" w:type="dxa"/>
            <w:tcBorders>
              <w:bottom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1</w:t>
            </w:r>
          </w:p>
        </w:tc>
      </w:tr>
      <w:tr w:rsidR="00462E46" w:rsidRPr="00D5469A" w:rsidTr="00462E46">
        <w:trPr>
          <w:trHeight w:hRule="exact" w:val="259"/>
        </w:trPr>
        <w:tc>
          <w:tcPr>
            <w:tcW w:w="4068" w:type="dxa"/>
            <w:tcBorders>
              <w:top w:val="single" w:sz="12" w:space="0" w:color="auto"/>
              <w:bottom w:val="single" w:sz="12" w:space="0" w:color="auto"/>
            </w:tcBorders>
            <w:shd w:val="clear" w:color="auto" w:fill="auto"/>
            <w:noWrap/>
            <w:vAlign w:val="center"/>
          </w:tcPr>
          <w:p w:rsidR="00462E46" w:rsidRPr="00D5469A" w:rsidRDefault="00462E46" w:rsidP="00462E46">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151,676</w:t>
            </w:r>
          </w:p>
        </w:tc>
        <w:tc>
          <w:tcPr>
            <w:tcW w:w="900" w:type="dxa"/>
            <w:tcBorders>
              <w:top w:val="single" w:sz="12" w:space="0" w:color="auto"/>
              <w:bottom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165,717</w:t>
            </w:r>
          </w:p>
        </w:tc>
        <w:tc>
          <w:tcPr>
            <w:tcW w:w="900" w:type="dxa"/>
            <w:tcBorders>
              <w:top w:val="single" w:sz="12" w:space="0" w:color="auto"/>
              <w:bottom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159,558</w:t>
            </w:r>
          </w:p>
        </w:tc>
        <w:tc>
          <w:tcPr>
            <w:tcW w:w="990" w:type="dxa"/>
            <w:tcBorders>
              <w:top w:val="single" w:sz="12" w:space="0" w:color="auto"/>
              <w:bottom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190,665</w:t>
            </w:r>
          </w:p>
        </w:tc>
        <w:tc>
          <w:tcPr>
            <w:tcW w:w="900" w:type="dxa"/>
            <w:tcBorders>
              <w:top w:val="single" w:sz="12" w:space="0" w:color="auto"/>
              <w:bottom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209,111</w:t>
            </w:r>
          </w:p>
        </w:tc>
        <w:tc>
          <w:tcPr>
            <w:tcW w:w="792" w:type="dxa"/>
            <w:tcBorders>
              <w:top w:val="single" w:sz="12" w:space="0" w:color="auto"/>
              <w:bottom w:val="single" w:sz="12" w:space="0" w:color="auto"/>
            </w:tcBorders>
            <w:shd w:val="clear" w:color="auto" w:fill="auto"/>
            <w:noWrap/>
            <w:vAlign w:val="center"/>
          </w:tcPr>
          <w:p w:rsidR="00462E46" w:rsidRDefault="00462E46" w:rsidP="00462E46">
            <w:pPr>
              <w:jc w:val="right"/>
              <w:rPr>
                <w:b/>
                <w:bCs/>
                <w:sz w:val="14"/>
                <w:szCs w:val="14"/>
              </w:rPr>
            </w:pPr>
            <w:r>
              <w:rPr>
                <w:b/>
                <w:bCs/>
                <w:sz w:val="14"/>
                <w:szCs w:val="14"/>
              </w:rPr>
              <w:t>236,072</w:t>
            </w:r>
          </w:p>
        </w:tc>
      </w:tr>
      <w:tr w:rsidR="00691090" w:rsidRPr="00D5469A" w:rsidTr="008E70CB">
        <w:trPr>
          <w:trHeight w:val="216"/>
        </w:trPr>
        <w:tc>
          <w:tcPr>
            <w:tcW w:w="9720" w:type="dxa"/>
            <w:gridSpan w:val="7"/>
            <w:tcBorders>
              <w:top w:val="single" w:sz="12" w:space="0" w:color="auto"/>
            </w:tcBorders>
            <w:shd w:val="clear" w:color="auto" w:fill="auto"/>
            <w:noWrap/>
            <w:vAlign w:val="center"/>
          </w:tcPr>
          <w:p w:rsidR="00691090" w:rsidRPr="00D5469A" w:rsidRDefault="00691090" w:rsidP="00462E46">
            <w:pPr>
              <w:jc w:val="right"/>
              <w:rPr>
                <w:b/>
                <w:bCs/>
                <w:color w:val="auto"/>
                <w:szCs w:val="16"/>
              </w:rPr>
            </w:pPr>
            <w:r>
              <w:rPr>
                <w:sz w:val="14"/>
                <w:szCs w:val="14"/>
              </w:rPr>
              <w:t>Source: Statistics &amp; Data Warehouse Department SBP</w:t>
            </w:r>
          </w:p>
        </w:tc>
      </w:tr>
    </w:tbl>
    <w:tbl>
      <w:tblPr>
        <w:tblpPr w:leftFromText="180" w:rightFromText="180" w:vertAnchor="text" w:horzAnchor="margin" w:tblpX="-77" w:tblpY="5945"/>
        <w:tblOverlap w:val="never"/>
        <w:tblW w:w="9643" w:type="dxa"/>
        <w:tblLayout w:type="fixed"/>
        <w:tblCellMar>
          <w:left w:w="115" w:type="dxa"/>
          <w:right w:w="144" w:type="dxa"/>
        </w:tblCellMar>
        <w:tblLook w:val="04A0"/>
      </w:tblPr>
      <w:tblGrid>
        <w:gridCol w:w="3317"/>
        <w:gridCol w:w="900"/>
        <w:gridCol w:w="1260"/>
        <w:gridCol w:w="900"/>
        <w:gridCol w:w="990"/>
        <w:gridCol w:w="1260"/>
        <w:gridCol w:w="1016"/>
      </w:tblGrid>
      <w:tr w:rsidR="00861018" w:rsidRPr="00D5469A" w:rsidTr="00861018">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861018">
            <w:pPr>
              <w:rPr>
                <w:b/>
                <w:bCs/>
                <w:color w:val="auto"/>
                <w:sz w:val="28"/>
                <w:szCs w:val="28"/>
              </w:rPr>
            </w:pPr>
            <w:r>
              <w:rPr>
                <w:b/>
                <w:bCs/>
                <w:color w:val="auto"/>
                <w:sz w:val="28"/>
                <w:szCs w:val="28"/>
              </w:rPr>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861018">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861018">
            <w:pPr>
              <w:jc w:val="right"/>
              <w:rPr>
                <w:color w:val="auto"/>
                <w:szCs w:val="16"/>
              </w:rPr>
            </w:pPr>
            <w:r w:rsidRPr="00D5469A">
              <w:rPr>
                <w:color w:val="auto"/>
                <w:szCs w:val="16"/>
              </w:rPr>
              <w:t>(Million Rupees)</w:t>
            </w:r>
          </w:p>
        </w:tc>
      </w:tr>
      <w:tr w:rsidR="0040006F" w:rsidRPr="00D5469A" w:rsidTr="00EE3BB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40006F">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62E46" w:rsidP="0040006F">
            <w:pPr>
              <w:rPr>
                <w:b/>
                <w:color w:val="auto"/>
                <w:szCs w:val="16"/>
              </w:rPr>
            </w:pPr>
            <w:r>
              <w:rPr>
                <w:b/>
                <w:color w:val="auto"/>
                <w:szCs w:val="16"/>
              </w:rPr>
              <w:t>Dec</w:t>
            </w:r>
            <w:r w:rsidR="0040006F" w:rsidRPr="00D5469A">
              <w:rPr>
                <w:b/>
                <w:color w:val="auto"/>
                <w:szCs w:val="16"/>
              </w:rPr>
              <w:t>-1</w:t>
            </w:r>
            <w:r w:rsidR="0040006F">
              <w:rPr>
                <w:b/>
                <w:color w:val="auto"/>
                <w:szCs w:val="16"/>
              </w:rPr>
              <w:t>6</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462E46" w:rsidP="0040006F">
            <w:pPr>
              <w:rPr>
                <w:b/>
                <w:color w:val="auto"/>
                <w:szCs w:val="16"/>
              </w:rPr>
            </w:pPr>
            <w:r>
              <w:rPr>
                <w:b/>
                <w:bCs/>
                <w:color w:val="auto"/>
                <w:szCs w:val="22"/>
              </w:rPr>
              <w:t>Dec</w:t>
            </w:r>
            <w:r w:rsidR="00322666">
              <w:rPr>
                <w:b/>
                <w:bCs/>
                <w:color w:val="auto"/>
                <w:szCs w:val="22"/>
              </w:rPr>
              <w:t>-17</w:t>
            </w:r>
          </w:p>
        </w:tc>
      </w:tr>
      <w:tr w:rsidR="0040006F" w:rsidRPr="00D5469A" w:rsidTr="00EE3BB1">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40006F">
            <w:pPr>
              <w:rPr>
                <w:b/>
                <w:bCs/>
                <w:color w:val="auto"/>
                <w:szCs w:val="16"/>
              </w:rPr>
            </w:pPr>
          </w:p>
        </w:tc>
        <w:tc>
          <w:tcPr>
            <w:tcW w:w="900"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40006F">
            <w:pPr>
              <w:rPr>
                <w:b/>
                <w:bCs/>
                <w:color w:val="auto"/>
                <w:szCs w:val="16"/>
              </w:rPr>
            </w:pPr>
            <w:r w:rsidRPr="00D5469A">
              <w:rPr>
                <w:b/>
                <w:bCs/>
                <w:color w:val="auto"/>
                <w:szCs w:val="16"/>
              </w:rPr>
              <w:t>Total</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hideMark/>
          </w:tcPr>
          <w:p w:rsidR="00462E46" w:rsidRPr="00D5469A" w:rsidRDefault="00462E46" w:rsidP="00462E46">
            <w:pPr>
              <w:jc w:val="left"/>
              <w:rPr>
                <w:b/>
                <w:bCs/>
                <w:color w:val="auto"/>
                <w:szCs w:val="16"/>
              </w:rPr>
            </w:pPr>
            <w:r w:rsidRPr="00D5469A">
              <w:rPr>
                <w:b/>
                <w:bCs/>
                <w:color w:val="auto"/>
                <w:szCs w:val="16"/>
              </w:rPr>
              <w:t>1 Non-financial corporations</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91,947</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3,941</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95,889</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101,421</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5,889</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107,310</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462E46" w:rsidRPr="00D5469A" w:rsidRDefault="00462E46" w:rsidP="00462E46">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1,853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749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2,602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3,311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714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4,026</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462E46" w:rsidRPr="00D5469A" w:rsidRDefault="00462E46" w:rsidP="00462E46">
            <w:pPr>
              <w:ind w:firstLineChars="100" w:firstLine="160"/>
              <w:jc w:val="left"/>
              <w:rPr>
                <w:color w:val="auto"/>
                <w:szCs w:val="16"/>
              </w:rPr>
            </w:pPr>
            <w:r w:rsidRPr="00D5469A">
              <w:rPr>
                <w:color w:val="auto"/>
                <w:szCs w:val="16"/>
              </w:rPr>
              <w:t>ii Private</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90,094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3,192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93,287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98,110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5,175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103,284</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462E46" w:rsidRPr="00D5469A" w:rsidRDefault="00462E46" w:rsidP="00462E46">
            <w:pPr>
              <w:jc w:val="left"/>
              <w:rPr>
                <w:b/>
                <w:bCs/>
                <w:color w:val="auto"/>
                <w:szCs w:val="16"/>
              </w:rPr>
            </w:pPr>
            <w:r w:rsidRPr="00D5469A">
              <w:rPr>
                <w:b/>
                <w:bCs/>
                <w:color w:val="auto"/>
                <w:szCs w:val="16"/>
              </w:rPr>
              <w:t>2 Financial Corporations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12,244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2,759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15,004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11,975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12,702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24,676</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462E46" w:rsidRPr="00D5469A" w:rsidRDefault="00462E46" w:rsidP="00462E46">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11,010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11,012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5,579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553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6,131</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462E46" w:rsidRPr="00D5469A" w:rsidRDefault="00462E46" w:rsidP="00462E46">
            <w:pPr>
              <w:ind w:firstLineChars="100" w:firstLine="160"/>
              <w:jc w:val="left"/>
              <w:rPr>
                <w:color w:val="auto"/>
                <w:szCs w:val="16"/>
              </w:rPr>
            </w:pPr>
            <w:r w:rsidRPr="00D5469A">
              <w:rPr>
                <w:color w:val="auto"/>
                <w:szCs w:val="16"/>
              </w:rPr>
              <w:t>ii Other deposit accepting institutions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462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13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475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5,083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371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5,455</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462E46" w:rsidRPr="00D5469A" w:rsidRDefault="00462E46" w:rsidP="00462E46">
            <w:pPr>
              <w:ind w:firstLineChars="100" w:firstLine="160"/>
              <w:jc w:val="left"/>
              <w:rPr>
                <w:color w:val="auto"/>
                <w:szCs w:val="16"/>
              </w:rPr>
            </w:pPr>
            <w:r w:rsidRPr="00D5469A">
              <w:rPr>
                <w:color w:val="auto"/>
                <w:szCs w:val="16"/>
              </w:rPr>
              <w:t>iii Financial intermediaries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194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2,742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2,937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637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11,777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12,414</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462E46" w:rsidRPr="00D5469A" w:rsidRDefault="00462E46" w:rsidP="00462E46">
            <w:pPr>
              <w:ind w:firstLineChars="100" w:firstLine="160"/>
              <w:jc w:val="left"/>
              <w:rPr>
                <w:color w:val="auto"/>
                <w:szCs w:val="16"/>
              </w:rPr>
            </w:pPr>
            <w:r w:rsidRPr="00D5469A">
              <w:rPr>
                <w:color w:val="auto"/>
                <w:szCs w:val="16"/>
              </w:rPr>
              <w:t>iv Financial auxiliaries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578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578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676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676</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462E46" w:rsidRPr="00D5469A" w:rsidRDefault="00462E46" w:rsidP="00462E46">
            <w:pPr>
              <w:ind w:firstLineChars="100" w:firstLine="160"/>
              <w:jc w:val="left"/>
              <w:rPr>
                <w:color w:val="auto"/>
                <w:szCs w:val="16"/>
              </w:rPr>
            </w:pPr>
            <w:r w:rsidRPr="00D5469A">
              <w:rPr>
                <w:color w:val="auto"/>
                <w:szCs w:val="16"/>
              </w:rPr>
              <w:t>v Insurance and pension funds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2D42D6" w:rsidP="00462E46">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sz w:val="14"/>
                <w:szCs w:val="14"/>
              </w:rPr>
            </w:pPr>
            <w:r>
              <w:rPr>
                <w:sz w:val="14"/>
                <w:szCs w:val="14"/>
              </w:rPr>
              <w:t>1</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462E46" w:rsidRPr="00D5469A" w:rsidRDefault="00462E46" w:rsidP="00462E46">
            <w:pPr>
              <w:jc w:val="left"/>
              <w:rPr>
                <w:b/>
                <w:bCs/>
                <w:color w:val="auto"/>
                <w:szCs w:val="16"/>
              </w:rPr>
            </w:pPr>
            <w:r w:rsidRPr="00D5469A">
              <w:rPr>
                <w:b/>
                <w:bCs/>
                <w:color w:val="auto"/>
                <w:szCs w:val="16"/>
              </w:rPr>
              <w:t>3 Central Government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462E46" w:rsidRPr="00D5469A" w:rsidRDefault="00462E46" w:rsidP="00462E46">
            <w:pPr>
              <w:jc w:val="left"/>
              <w:rPr>
                <w:b/>
                <w:bCs/>
                <w:color w:val="auto"/>
                <w:szCs w:val="16"/>
              </w:rPr>
            </w:pPr>
            <w:r w:rsidRPr="00D5469A">
              <w:rPr>
                <w:b/>
                <w:bCs/>
                <w:color w:val="auto"/>
                <w:szCs w:val="16"/>
              </w:rPr>
              <w:t>4 Provincial Governments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462E46" w:rsidRPr="00D5469A" w:rsidRDefault="00462E46" w:rsidP="00462E46">
            <w:pPr>
              <w:jc w:val="left"/>
              <w:rPr>
                <w:b/>
                <w:bCs/>
                <w:color w:val="auto"/>
                <w:szCs w:val="16"/>
              </w:rPr>
            </w:pPr>
            <w:r w:rsidRPr="00D5469A">
              <w:rPr>
                <w:b/>
                <w:bCs/>
                <w:color w:val="auto"/>
                <w:szCs w:val="16"/>
              </w:rPr>
              <w:t>5 Local Governments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462E46" w:rsidRPr="00D5469A" w:rsidRDefault="00462E46" w:rsidP="00462E46">
            <w:pPr>
              <w:jc w:val="left"/>
              <w:rPr>
                <w:b/>
                <w:bCs/>
                <w:color w:val="auto"/>
                <w:szCs w:val="16"/>
              </w:rPr>
            </w:pPr>
            <w:r w:rsidRPr="00D5469A">
              <w:rPr>
                <w:b/>
                <w:bCs/>
                <w:color w:val="auto"/>
                <w:szCs w:val="16"/>
              </w:rPr>
              <w:t>6 Household</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17,502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12,640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30,142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33,352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11,448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44,800</w:t>
            </w:r>
          </w:p>
        </w:tc>
      </w:tr>
      <w:tr w:rsidR="00462E46" w:rsidRPr="00D5469A" w:rsidTr="00462E46">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462E46" w:rsidRPr="00D5469A" w:rsidRDefault="00462E46" w:rsidP="00462E46">
            <w:pPr>
              <w:jc w:val="left"/>
              <w:rPr>
                <w:b/>
                <w:bCs/>
                <w:color w:val="auto"/>
                <w:szCs w:val="16"/>
              </w:rPr>
            </w:pPr>
            <w:r w:rsidRPr="00D5469A">
              <w:rPr>
                <w:b/>
                <w:bCs/>
                <w:color w:val="auto"/>
                <w:szCs w:val="16"/>
              </w:rPr>
              <w:t>7 Non-profit Institutions (NPIs) Serving Households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17</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462E46" w:rsidRPr="00D5469A" w:rsidRDefault="00462E46" w:rsidP="00462E46">
            <w:pPr>
              <w:jc w:val="left"/>
              <w:rPr>
                <w:b/>
                <w:bCs/>
                <w:color w:val="auto"/>
                <w:szCs w:val="16"/>
              </w:rPr>
            </w:pPr>
            <w:r w:rsidRPr="00D5469A">
              <w:rPr>
                <w:b/>
                <w:bCs/>
                <w:color w:val="auto"/>
                <w:szCs w:val="16"/>
              </w:rPr>
              <w:t>8 Non-Residents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r>
      <w:tr w:rsidR="00462E46" w:rsidRPr="00D5469A" w:rsidTr="00462E46">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462E46" w:rsidRPr="00D5469A" w:rsidRDefault="00462E46" w:rsidP="00462E46">
            <w:pPr>
              <w:ind w:left="167" w:hanging="167"/>
              <w:jc w:val="left"/>
              <w:rPr>
                <w:b/>
                <w:bCs/>
                <w:color w:val="auto"/>
                <w:szCs w:val="16"/>
              </w:rPr>
            </w:pPr>
            <w:r w:rsidRPr="00D5469A">
              <w:rPr>
                <w:b/>
                <w:bCs/>
                <w:color w:val="auto"/>
                <w:szCs w:val="16"/>
              </w:rPr>
              <w:t>9 Bills purchased and discounted (inland bills)</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12</w:t>
            </w:r>
          </w:p>
        </w:tc>
      </w:tr>
      <w:tr w:rsidR="00462E46" w:rsidRPr="00D5469A" w:rsidTr="00462E46">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hideMark/>
          </w:tcPr>
          <w:p w:rsidR="00462E46" w:rsidRPr="00D5469A" w:rsidRDefault="00462E46" w:rsidP="00462E46">
            <w:pPr>
              <w:jc w:val="left"/>
              <w:rPr>
                <w:b/>
                <w:bCs/>
                <w:color w:val="auto"/>
                <w:szCs w:val="16"/>
              </w:rPr>
            </w:pPr>
            <w:r w:rsidRPr="00D5469A">
              <w:rPr>
                <w:b/>
                <w:bCs/>
                <w:color w:val="auto"/>
                <w:szCs w:val="16"/>
              </w:rPr>
              <w:t>10 Other Advances and Financial Leases</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95,107</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10,603</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105,710</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130,058</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12,135</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142,193</w:t>
            </w:r>
          </w:p>
        </w:tc>
      </w:tr>
      <w:tr w:rsidR="00462E46" w:rsidRPr="00D5469A" w:rsidTr="00462E46">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462E46" w:rsidRPr="00D5469A" w:rsidRDefault="00462E46" w:rsidP="00462E46">
            <w:pPr>
              <w:rPr>
                <w:b/>
                <w:bCs/>
                <w:color w:val="auto"/>
                <w:szCs w:val="16"/>
              </w:rPr>
            </w:pPr>
            <w:r w:rsidRPr="00D5469A">
              <w:rPr>
                <w:b/>
                <w:bCs/>
                <w:color w:val="auto"/>
                <w:szCs w:val="16"/>
              </w:rPr>
              <w:t>Total</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216,817</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29,944</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246,762</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276,823</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42,185</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462E46" w:rsidRDefault="00462E46" w:rsidP="00462E46">
            <w:pPr>
              <w:jc w:val="right"/>
              <w:rPr>
                <w:b/>
                <w:bCs/>
                <w:sz w:val="14"/>
                <w:szCs w:val="14"/>
              </w:rPr>
            </w:pPr>
            <w:r>
              <w:rPr>
                <w:b/>
                <w:bCs/>
                <w:sz w:val="14"/>
                <w:szCs w:val="14"/>
              </w:rPr>
              <w:t>319,008</w:t>
            </w:r>
          </w:p>
        </w:tc>
      </w:tr>
      <w:tr w:rsidR="00462E46" w:rsidRPr="00D5469A" w:rsidTr="00CE7FA4">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691090" w:rsidRDefault="00691090" w:rsidP="00691090">
            <w:pPr>
              <w:jc w:val="right"/>
              <w:rPr>
                <w:color w:val="auto"/>
                <w:sz w:val="12"/>
                <w:szCs w:val="16"/>
              </w:rPr>
            </w:pPr>
            <w:r>
              <w:rPr>
                <w:sz w:val="14"/>
                <w:szCs w:val="14"/>
              </w:rPr>
              <w:t>Source: Statistics &amp; Data Warehouse Department SBP</w:t>
            </w:r>
          </w:p>
          <w:p w:rsidR="00462E46" w:rsidRPr="00D5469A" w:rsidRDefault="00462E46" w:rsidP="00462E46">
            <w:pPr>
              <w:jc w:val="left"/>
              <w:rPr>
                <w:color w:val="auto"/>
                <w:sz w:val="12"/>
                <w:szCs w:val="16"/>
              </w:rPr>
            </w:pPr>
            <w:r w:rsidRPr="00D5469A">
              <w:rPr>
                <w:color w:val="auto"/>
                <w:sz w:val="12"/>
                <w:szCs w:val="16"/>
              </w:rPr>
              <w:t>* This includes Depository NBFCs, DFIs and MFIs.</w:t>
            </w:r>
          </w:p>
          <w:p w:rsidR="00462E46" w:rsidRPr="00D5469A" w:rsidRDefault="00462E46" w:rsidP="00462E46">
            <w:pPr>
              <w:jc w:val="left"/>
              <w:rPr>
                <w:color w:val="auto"/>
                <w:sz w:val="12"/>
                <w:szCs w:val="16"/>
              </w:rPr>
            </w:pPr>
            <w:r w:rsidRPr="00D5469A">
              <w:rPr>
                <w:color w:val="auto"/>
                <w:sz w:val="12"/>
                <w:szCs w:val="16"/>
              </w:rPr>
              <w:t>** This includes Non Depository NBFCs and HBFC.</w:t>
            </w:r>
          </w:p>
        </w:tc>
      </w:tr>
    </w:tbl>
    <w:p w:rsidR="00C63C9B" w:rsidRPr="00D5469A" w:rsidRDefault="002A6AAD" w:rsidP="0069571C">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6C5EB0" w:rsidP="0040006F">
            <w:pPr>
              <w:rPr>
                <w:b/>
                <w:color w:val="auto"/>
                <w:szCs w:val="16"/>
              </w:rPr>
            </w:pPr>
            <w:r>
              <w:rPr>
                <w:b/>
                <w:color w:val="auto"/>
                <w:szCs w:val="16"/>
              </w:rPr>
              <w:t>Dec</w:t>
            </w:r>
            <w:r w:rsidR="0040006F" w:rsidRPr="00D5469A">
              <w:rPr>
                <w:b/>
                <w:color w:val="auto"/>
                <w:szCs w:val="16"/>
              </w:rPr>
              <w:t>-1</w:t>
            </w:r>
            <w:r w:rsidR="0040006F">
              <w:rPr>
                <w:b/>
                <w:color w:val="auto"/>
                <w:szCs w:val="16"/>
              </w:rPr>
              <w:t>6</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6C5EB0" w:rsidP="0040006F">
            <w:pPr>
              <w:rPr>
                <w:b/>
                <w:color w:val="auto"/>
                <w:szCs w:val="16"/>
              </w:rPr>
            </w:pPr>
            <w:r>
              <w:rPr>
                <w:b/>
                <w:color w:val="auto"/>
                <w:szCs w:val="16"/>
              </w:rPr>
              <w:t>Dec</w:t>
            </w:r>
            <w:r w:rsidR="0040006F">
              <w:rPr>
                <w:b/>
                <w:color w:val="auto"/>
                <w:szCs w:val="16"/>
              </w:rPr>
              <w:t>-17</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109,590</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83,201</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192,791</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148,800</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81,327</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230,127</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7,434</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9,684</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17,118</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6,959</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17,840</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24,799</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213</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2,552</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2,765</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141</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4,173</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4,314</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7,221</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7,132</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14,353</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6,818</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13,666</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20,485</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15,874</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22,600</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38,474</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26,986</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34,745</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61,731</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8,140</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5,785</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13,925</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16,578</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10,777</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27,355</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2,283</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4,237</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6,520</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9,890</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4,170</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14,060</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5,451</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12,578</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18,029</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518</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19,798</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20,315</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86,281</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50,106</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136,387</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114,855</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28,731</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143,585</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r>
      <w:tr w:rsidR="006C5EB0" w:rsidRPr="00D5469A" w:rsidTr="006C5EB0">
        <w:trPr>
          <w:trHeight w:hRule="exact" w:val="268"/>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812</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812</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12</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12</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35,268</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369,656</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404,924</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35,527</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358,621</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394,147</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11,661</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357,596</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369,257</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11,044</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341,947</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352,991</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1,616</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279,540</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281,157</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1,519</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206,180</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207,699</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10,045</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78,055</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88,101</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9,525</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135,767</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145,292</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21,389</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11,974</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33,363</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22,032</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16,590</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38,622</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10,951</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2,514</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13,465</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13,053</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1,070</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14,123</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964</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1,922</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2,886</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1,352</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5,984</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7,336</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8,850</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6,842</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15,693</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5,092</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8,727</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13,818</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346</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348</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1,865</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8</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1,873</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277</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693</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970</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671</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801</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sz w:val="14"/>
                <w:szCs w:val="14"/>
              </w:rPr>
            </w:pPr>
            <w:r>
              <w:rPr>
                <w:sz w:val="14"/>
                <w:szCs w:val="14"/>
              </w:rPr>
              <w:t>1,471</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r>
      <w:tr w:rsidR="006C5EB0" w:rsidRPr="00D5469A" w:rsidTr="006C5EB0">
        <w:trPr>
          <w:trHeight w:hRule="exact" w:val="259"/>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r>
      <w:tr w:rsidR="006C5EB0" w:rsidRPr="00D5469A" w:rsidTr="006C5EB0">
        <w:trPr>
          <w:trHeight w:hRule="exact" w:val="288"/>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r>
      <w:tr w:rsidR="006C5EB0" w:rsidRPr="00D5469A" w:rsidTr="006C5EB0">
        <w:trPr>
          <w:trHeight w:hRule="exact" w:val="318"/>
        </w:trPr>
        <w:tc>
          <w:tcPr>
            <w:tcW w:w="4068" w:type="dxa"/>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w:t>
            </w:r>
          </w:p>
        </w:tc>
      </w:tr>
      <w:tr w:rsidR="006C5EB0" w:rsidRPr="00D5469A" w:rsidTr="006C5EB0">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6C5EB0" w:rsidRPr="00D5469A" w:rsidRDefault="006C5EB0" w:rsidP="006C5EB0">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2,217</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86</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2,304</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2,451</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83</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6C5EB0" w:rsidRDefault="006C5EB0" w:rsidP="006C5EB0">
            <w:pPr>
              <w:jc w:val="right"/>
              <w:rPr>
                <w:b/>
                <w:bCs/>
                <w:sz w:val="14"/>
                <w:szCs w:val="14"/>
              </w:rPr>
            </w:pPr>
            <w:r>
              <w:rPr>
                <w:b/>
                <w:bCs/>
                <w:sz w:val="14"/>
                <w:szCs w:val="14"/>
              </w:rPr>
              <w:t>2,534</w:t>
            </w:r>
          </w:p>
        </w:tc>
      </w:tr>
      <w:tr w:rsidR="006C5EB0" w:rsidRPr="00D5469A" w:rsidTr="006C5EB0">
        <w:trPr>
          <w:trHeight w:hRule="exact" w:val="288"/>
        </w:trPr>
        <w:tc>
          <w:tcPr>
            <w:tcW w:w="4068" w:type="dxa"/>
            <w:tcBorders>
              <w:top w:val="single" w:sz="12" w:space="0" w:color="auto"/>
              <w:bottom w:val="single" w:sz="12" w:space="0" w:color="auto"/>
            </w:tcBorders>
            <w:shd w:val="clear" w:color="auto" w:fill="auto"/>
            <w:noWrap/>
            <w:vAlign w:val="center"/>
          </w:tcPr>
          <w:p w:rsidR="006C5EB0" w:rsidRPr="00D5469A" w:rsidRDefault="006C5EB0" w:rsidP="006C5EB0">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6C5EB0" w:rsidRDefault="006C5EB0" w:rsidP="006C5EB0">
            <w:pPr>
              <w:jc w:val="right"/>
              <w:rPr>
                <w:b/>
                <w:bCs/>
                <w:sz w:val="14"/>
                <w:szCs w:val="14"/>
              </w:rPr>
            </w:pPr>
            <w:r>
              <w:rPr>
                <w:b/>
                <w:bCs/>
                <w:sz w:val="14"/>
                <w:szCs w:val="14"/>
              </w:rPr>
              <w:t>144,858</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6C5EB0" w:rsidRDefault="006C5EB0" w:rsidP="006C5EB0">
            <w:pPr>
              <w:jc w:val="right"/>
              <w:rPr>
                <w:b/>
                <w:bCs/>
                <w:sz w:val="14"/>
                <w:szCs w:val="14"/>
              </w:rPr>
            </w:pPr>
            <w:r>
              <w:rPr>
                <w:b/>
                <w:bCs/>
                <w:sz w:val="14"/>
                <w:szCs w:val="14"/>
              </w:rPr>
              <w:t>452,857</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6C5EB0" w:rsidRDefault="006C5EB0" w:rsidP="006C5EB0">
            <w:pPr>
              <w:jc w:val="right"/>
              <w:rPr>
                <w:b/>
                <w:bCs/>
                <w:sz w:val="14"/>
                <w:szCs w:val="14"/>
              </w:rPr>
            </w:pPr>
            <w:r>
              <w:rPr>
                <w:b/>
                <w:bCs/>
                <w:sz w:val="14"/>
                <w:szCs w:val="14"/>
              </w:rPr>
              <w:t>597,715</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6C5EB0" w:rsidRDefault="006C5EB0" w:rsidP="006C5EB0">
            <w:pPr>
              <w:jc w:val="right"/>
              <w:rPr>
                <w:b/>
                <w:bCs/>
                <w:sz w:val="14"/>
                <w:szCs w:val="14"/>
              </w:rPr>
            </w:pPr>
            <w:r>
              <w:rPr>
                <w:b/>
                <w:bCs/>
                <w:sz w:val="14"/>
                <w:szCs w:val="14"/>
              </w:rPr>
              <w:t>184,326</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6C5EB0" w:rsidRDefault="006C5EB0" w:rsidP="006C5EB0">
            <w:pPr>
              <w:jc w:val="right"/>
              <w:rPr>
                <w:b/>
                <w:bCs/>
                <w:sz w:val="14"/>
                <w:szCs w:val="14"/>
              </w:rPr>
            </w:pPr>
            <w:r>
              <w:rPr>
                <w:b/>
                <w:bCs/>
                <w:sz w:val="14"/>
                <w:szCs w:val="14"/>
              </w:rPr>
              <w:t>439,948</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6C5EB0" w:rsidRDefault="006C5EB0" w:rsidP="006C5EB0">
            <w:pPr>
              <w:jc w:val="right"/>
              <w:rPr>
                <w:b/>
                <w:bCs/>
                <w:sz w:val="14"/>
                <w:szCs w:val="14"/>
              </w:rPr>
            </w:pPr>
            <w:r>
              <w:rPr>
                <w:b/>
                <w:bCs/>
                <w:sz w:val="14"/>
                <w:szCs w:val="14"/>
              </w:rPr>
              <w:t>624,274</w:t>
            </w:r>
          </w:p>
        </w:tc>
      </w:tr>
      <w:tr w:rsidR="006C5EB0" w:rsidRPr="00D5469A" w:rsidTr="007828BE">
        <w:trPr>
          <w:trHeight w:hRule="exact" w:val="247"/>
        </w:trPr>
        <w:tc>
          <w:tcPr>
            <w:tcW w:w="10008" w:type="dxa"/>
            <w:gridSpan w:val="7"/>
            <w:tcBorders>
              <w:top w:val="single" w:sz="12" w:space="0" w:color="auto"/>
            </w:tcBorders>
            <w:shd w:val="clear" w:color="auto" w:fill="auto"/>
            <w:noWrap/>
            <w:vAlign w:val="center"/>
          </w:tcPr>
          <w:p w:rsidR="006C5EB0" w:rsidRPr="00D5469A" w:rsidRDefault="00691090" w:rsidP="00691090">
            <w:pPr>
              <w:jc w:val="right"/>
              <w:rPr>
                <w:color w:val="auto"/>
                <w:sz w:val="12"/>
                <w:szCs w:val="16"/>
              </w:rPr>
            </w:pPr>
            <w:r>
              <w:rPr>
                <w:sz w:val="14"/>
                <w:szCs w:val="14"/>
              </w:rPr>
              <w:t>Source: Statistics &amp; Data Warehouse Department SBP</w:t>
            </w:r>
          </w:p>
        </w:tc>
      </w:tr>
      <w:tr w:rsidR="00691090" w:rsidRPr="00D5469A" w:rsidTr="007828BE">
        <w:trPr>
          <w:trHeight w:hRule="exact" w:val="235"/>
        </w:trPr>
        <w:tc>
          <w:tcPr>
            <w:tcW w:w="10008" w:type="dxa"/>
            <w:gridSpan w:val="7"/>
            <w:shd w:val="clear" w:color="auto" w:fill="auto"/>
            <w:noWrap/>
            <w:vAlign w:val="center"/>
          </w:tcPr>
          <w:p w:rsidR="00691090" w:rsidRPr="00D5469A" w:rsidRDefault="00691090" w:rsidP="00691090">
            <w:pPr>
              <w:jc w:val="left"/>
              <w:rPr>
                <w:color w:val="auto"/>
                <w:sz w:val="12"/>
                <w:szCs w:val="16"/>
              </w:rPr>
            </w:pPr>
            <w:r w:rsidRPr="00D5469A">
              <w:rPr>
                <w:color w:val="auto"/>
                <w:sz w:val="12"/>
                <w:szCs w:val="16"/>
              </w:rPr>
              <w:t>* This includes Depository NBFCs, DFIs and MFIs.</w:t>
            </w:r>
          </w:p>
        </w:tc>
      </w:tr>
      <w:tr w:rsidR="00691090" w:rsidRPr="00D5469A" w:rsidTr="007828BE">
        <w:trPr>
          <w:trHeight w:hRule="exact" w:val="235"/>
        </w:trPr>
        <w:tc>
          <w:tcPr>
            <w:tcW w:w="10008" w:type="dxa"/>
            <w:gridSpan w:val="7"/>
            <w:shd w:val="clear" w:color="auto" w:fill="auto"/>
            <w:noWrap/>
            <w:vAlign w:val="center"/>
          </w:tcPr>
          <w:p w:rsidR="00691090" w:rsidRPr="00D5469A" w:rsidRDefault="00691090" w:rsidP="00691090">
            <w:pPr>
              <w:jc w:val="left"/>
              <w:rPr>
                <w:color w:val="auto"/>
                <w:sz w:val="12"/>
                <w:szCs w:val="16"/>
              </w:rPr>
            </w:pPr>
            <w:r w:rsidRPr="00D5469A">
              <w:rPr>
                <w:color w:val="auto"/>
                <w:sz w:val="12"/>
                <w:szCs w:val="16"/>
              </w:rPr>
              <w:t>** This includes Non Depository NBFCs and HBFC.</w:t>
            </w:r>
          </w:p>
        </w:tc>
      </w:tr>
    </w:tbl>
    <w:p w:rsidR="00B433FE" w:rsidRPr="0004205B" w:rsidRDefault="00C63C9B" w:rsidP="00601FB0">
      <w:pPr>
        <w:rPr>
          <w:color w:val="auto"/>
        </w:rPr>
      </w:pPr>
      <w:r w:rsidRPr="00D5469A">
        <w:rPr>
          <w:color w:val="auto"/>
        </w:rPr>
        <w:br w:type="textWrapping" w:clear="all"/>
      </w:r>
    </w:p>
    <w:sectPr w:rsidR="00B433FE" w:rsidRPr="0004205B" w:rsidSect="00DF368E">
      <w:footerReference w:type="even" r:id="rId15"/>
      <w:footerReference w:type="default" r:id="rId16"/>
      <w:type w:val="continuous"/>
      <w:pgSz w:w="13680" w:h="16560" w:code="1"/>
      <w:pgMar w:top="432" w:right="2160" w:bottom="1008" w:left="2160" w:header="432" w:footer="1008" w:gutter="0"/>
      <w:pgNumType w:start="10"/>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A38" w:rsidRDefault="00565A38">
      <w:r>
        <w:separator/>
      </w:r>
    </w:p>
  </w:endnote>
  <w:endnote w:type="continuationSeparator" w:id="0">
    <w:p w:rsidR="00565A38" w:rsidRDefault="00565A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A38" w:rsidRDefault="00565A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565A38" w:rsidRDefault="00565A38">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A38" w:rsidRPr="008961D3" w:rsidRDefault="00565A38"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3B6A4E">
      <w:rPr>
        <w:noProof/>
        <w:sz w:val="20"/>
      </w:rPr>
      <w:t>13</w:t>
    </w:r>
    <w:r w:rsidRPr="008961D3">
      <w:rPr>
        <w:sz w:val="20"/>
      </w:rPr>
      <w:fldChar w:fldCharType="end"/>
    </w:r>
  </w:p>
  <w:p w:rsidR="00565A38" w:rsidRPr="008961D3" w:rsidRDefault="00565A38">
    <w:pPr>
      <w:pStyle w:val="Footer"/>
      <w:ind w:firstLine="36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A38" w:rsidRDefault="00565A38">
      <w:r>
        <w:separator/>
      </w:r>
    </w:p>
  </w:footnote>
  <w:footnote w:type="continuationSeparator" w:id="0">
    <w:p w:rsidR="00565A38" w:rsidRDefault="00565A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201DB"/>
    <w:multiLevelType w:val="hybridMultilevel"/>
    <w:tmpl w:val="A69AD5B8"/>
    <w:lvl w:ilvl="0" w:tplc="2AFA44B0">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1">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12"/>
  </w:num>
  <w:num w:numId="6">
    <w:abstractNumId w:val="11"/>
  </w:num>
  <w:num w:numId="7">
    <w:abstractNumId w:val="7"/>
  </w:num>
  <w:num w:numId="8">
    <w:abstractNumId w:val="9"/>
  </w:num>
  <w:num w:numId="9">
    <w:abstractNumId w:val="4"/>
  </w:num>
  <w:num w:numId="10">
    <w:abstractNumId w:val="0"/>
  </w:num>
  <w:num w:numId="11">
    <w:abstractNumId w:val="6"/>
  </w:num>
  <w:num w:numId="12">
    <w:abstractNumId w:val="3"/>
  </w:num>
  <w:num w:numId="13">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B2EB3"/>
    <w:rsid w:val="00000540"/>
    <w:rsid w:val="00000677"/>
    <w:rsid w:val="00000778"/>
    <w:rsid w:val="00000AAD"/>
    <w:rsid w:val="00000BFB"/>
    <w:rsid w:val="00000DB0"/>
    <w:rsid w:val="00000DEC"/>
    <w:rsid w:val="00000F18"/>
    <w:rsid w:val="0000107A"/>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C34"/>
    <w:rsid w:val="0002218D"/>
    <w:rsid w:val="00022D21"/>
    <w:rsid w:val="0002317E"/>
    <w:rsid w:val="00023204"/>
    <w:rsid w:val="0002395A"/>
    <w:rsid w:val="00023C74"/>
    <w:rsid w:val="00023EC9"/>
    <w:rsid w:val="00023FA2"/>
    <w:rsid w:val="000249D8"/>
    <w:rsid w:val="00024D85"/>
    <w:rsid w:val="00024E7B"/>
    <w:rsid w:val="00024FC9"/>
    <w:rsid w:val="000250A4"/>
    <w:rsid w:val="00025915"/>
    <w:rsid w:val="00026B74"/>
    <w:rsid w:val="00026CDC"/>
    <w:rsid w:val="00026F19"/>
    <w:rsid w:val="0002709E"/>
    <w:rsid w:val="0002712E"/>
    <w:rsid w:val="00027507"/>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3C2"/>
    <w:rsid w:val="00037F3D"/>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ECD"/>
    <w:rsid w:val="0005303D"/>
    <w:rsid w:val="0005311C"/>
    <w:rsid w:val="0005319E"/>
    <w:rsid w:val="00053403"/>
    <w:rsid w:val="000536CC"/>
    <w:rsid w:val="0005375B"/>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9066B"/>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B6"/>
    <w:rsid w:val="000A48CC"/>
    <w:rsid w:val="000A4A45"/>
    <w:rsid w:val="000A4B38"/>
    <w:rsid w:val="000A4BB3"/>
    <w:rsid w:val="000A4BB4"/>
    <w:rsid w:val="000A55B7"/>
    <w:rsid w:val="000A5CDF"/>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7AA"/>
    <w:rsid w:val="000C7365"/>
    <w:rsid w:val="000C77CB"/>
    <w:rsid w:val="000D03F8"/>
    <w:rsid w:val="000D0568"/>
    <w:rsid w:val="000D113B"/>
    <w:rsid w:val="000D2042"/>
    <w:rsid w:val="000D268D"/>
    <w:rsid w:val="000D3041"/>
    <w:rsid w:val="000D3236"/>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132B"/>
    <w:rsid w:val="000E1720"/>
    <w:rsid w:val="000E1E84"/>
    <w:rsid w:val="000E2B27"/>
    <w:rsid w:val="000E2E70"/>
    <w:rsid w:val="000E2FA5"/>
    <w:rsid w:val="000E40F6"/>
    <w:rsid w:val="000E41CA"/>
    <w:rsid w:val="000E46DE"/>
    <w:rsid w:val="000E4A83"/>
    <w:rsid w:val="000E5288"/>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D98"/>
    <w:rsid w:val="00112271"/>
    <w:rsid w:val="00112647"/>
    <w:rsid w:val="00112705"/>
    <w:rsid w:val="0011314D"/>
    <w:rsid w:val="0011330C"/>
    <w:rsid w:val="001133B3"/>
    <w:rsid w:val="0011359E"/>
    <w:rsid w:val="0011391B"/>
    <w:rsid w:val="00113A88"/>
    <w:rsid w:val="00114916"/>
    <w:rsid w:val="00114E31"/>
    <w:rsid w:val="00114EFF"/>
    <w:rsid w:val="00114F07"/>
    <w:rsid w:val="001152AA"/>
    <w:rsid w:val="0011556E"/>
    <w:rsid w:val="00115973"/>
    <w:rsid w:val="00115C95"/>
    <w:rsid w:val="00115D30"/>
    <w:rsid w:val="00115D62"/>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AE8"/>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95E"/>
    <w:rsid w:val="00173C2D"/>
    <w:rsid w:val="00173E8F"/>
    <w:rsid w:val="0017400E"/>
    <w:rsid w:val="001740B7"/>
    <w:rsid w:val="001742B1"/>
    <w:rsid w:val="001742F1"/>
    <w:rsid w:val="00174BAB"/>
    <w:rsid w:val="00174C58"/>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636E"/>
    <w:rsid w:val="001E6A68"/>
    <w:rsid w:val="001E7587"/>
    <w:rsid w:val="001E7AF1"/>
    <w:rsid w:val="001E7DE5"/>
    <w:rsid w:val="001E7E41"/>
    <w:rsid w:val="001F000E"/>
    <w:rsid w:val="001F09FB"/>
    <w:rsid w:val="001F0DF0"/>
    <w:rsid w:val="001F1910"/>
    <w:rsid w:val="001F1A2C"/>
    <w:rsid w:val="001F1DE3"/>
    <w:rsid w:val="001F1F44"/>
    <w:rsid w:val="001F1F99"/>
    <w:rsid w:val="001F26D5"/>
    <w:rsid w:val="001F2AFF"/>
    <w:rsid w:val="001F2B04"/>
    <w:rsid w:val="001F2DD6"/>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40ED"/>
    <w:rsid w:val="00204659"/>
    <w:rsid w:val="00204E5C"/>
    <w:rsid w:val="00205475"/>
    <w:rsid w:val="00205C35"/>
    <w:rsid w:val="00205D46"/>
    <w:rsid w:val="002061B0"/>
    <w:rsid w:val="002065D0"/>
    <w:rsid w:val="00206DBE"/>
    <w:rsid w:val="0020705F"/>
    <w:rsid w:val="0020719E"/>
    <w:rsid w:val="00207BB3"/>
    <w:rsid w:val="0021001A"/>
    <w:rsid w:val="00210943"/>
    <w:rsid w:val="00210D97"/>
    <w:rsid w:val="00211E92"/>
    <w:rsid w:val="0021202E"/>
    <w:rsid w:val="0021204D"/>
    <w:rsid w:val="00212A3E"/>
    <w:rsid w:val="00212A4F"/>
    <w:rsid w:val="00212F62"/>
    <w:rsid w:val="0021333C"/>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9D7"/>
    <w:rsid w:val="00221BAD"/>
    <w:rsid w:val="00222160"/>
    <w:rsid w:val="00223390"/>
    <w:rsid w:val="002235B4"/>
    <w:rsid w:val="0022393F"/>
    <w:rsid w:val="00223A5E"/>
    <w:rsid w:val="00223C88"/>
    <w:rsid w:val="00223DAE"/>
    <w:rsid w:val="00224054"/>
    <w:rsid w:val="00224362"/>
    <w:rsid w:val="00224BE5"/>
    <w:rsid w:val="00224E08"/>
    <w:rsid w:val="002254CC"/>
    <w:rsid w:val="002255EB"/>
    <w:rsid w:val="002256DE"/>
    <w:rsid w:val="002257AF"/>
    <w:rsid w:val="002272B7"/>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C01"/>
    <w:rsid w:val="00244C25"/>
    <w:rsid w:val="00246C3F"/>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2757"/>
    <w:rsid w:val="00262B14"/>
    <w:rsid w:val="00262B5E"/>
    <w:rsid w:val="00262DC9"/>
    <w:rsid w:val="00262FBF"/>
    <w:rsid w:val="00263275"/>
    <w:rsid w:val="002635F7"/>
    <w:rsid w:val="00263AB4"/>
    <w:rsid w:val="00263EEE"/>
    <w:rsid w:val="002649AF"/>
    <w:rsid w:val="00264CCC"/>
    <w:rsid w:val="00264DD7"/>
    <w:rsid w:val="00265339"/>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3AE"/>
    <w:rsid w:val="002E69D1"/>
    <w:rsid w:val="002E6DE8"/>
    <w:rsid w:val="002E7027"/>
    <w:rsid w:val="002E74EB"/>
    <w:rsid w:val="002E75DC"/>
    <w:rsid w:val="002F01AC"/>
    <w:rsid w:val="002F0449"/>
    <w:rsid w:val="002F1219"/>
    <w:rsid w:val="002F13EE"/>
    <w:rsid w:val="002F1454"/>
    <w:rsid w:val="002F176D"/>
    <w:rsid w:val="002F24C1"/>
    <w:rsid w:val="002F25DC"/>
    <w:rsid w:val="002F2A74"/>
    <w:rsid w:val="002F2CB0"/>
    <w:rsid w:val="002F2E2A"/>
    <w:rsid w:val="002F35A8"/>
    <w:rsid w:val="002F430A"/>
    <w:rsid w:val="002F44FF"/>
    <w:rsid w:val="002F4600"/>
    <w:rsid w:val="002F473E"/>
    <w:rsid w:val="002F52D3"/>
    <w:rsid w:val="002F55BF"/>
    <w:rsid w:val="002F574B"/>
    <w:rsid w:val="002F5EDF"/>
    <w:rsid w:val="002F760A"/>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602A"/>
    <w:rsid w:val="003061AA"/>
    <w:rsid w:val="003061B6"/>
    <w:rsid w:val="0030651A"/>
    <w:rsid w:val="003065A7"/>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C26"/>
    <w:rsid w:val="00317BBD"/>
    <w:rsid w:val="00320A81"/>
    <w:rsid w:val="00320BE4"/>
    <w:rsid w:val="0032161B"/>
    <w:rsid w:val="00321F52"/>
    <w:rsid w:val="00322150"/>
    <w:rsid w:val="003223F1"/>
    <w:rsid w:val="00322484"/>
    <w:rsid w:val="00322666"/>
    <w:rsid w:val="00322964"/>
    <w:rsid w:val="00322BCF"/>
    <w:rsid w:val="003235F0"/>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5E2"/>
    <w:rsid w:val="00365B92"/>
    <w:rsid w:val="00365C65"/>
    <w:rsid w:val="00365F22"/>
    <w:rsid w:val="003664E1"/>
    <w:rsid w:val="003666BD"/>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63C"/>
    <w:rsid w:val="003751BF"/>
    <w:rsid w:val="00375634"/>
    <w:rsid w:val="003758E1"/>
    <w:rsid w:val="00375AD4"/>
    <w:rsid w:val="00375C50"/>
    <w:rsid w:val="00375D3C"/>
    <w:rsid w:val="00376054"/>
    <w:rsid w:val="00376962"/>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7429"/>
    <w:rsid w:val="003A76DC"/>
    <w:rsid w:val="003B0261"/>
    <w:rsid w:val="003B07D7"/>
    <w:rsid w:val="003B132E"/>
    <w:rsid w:val="003B23D0"/>
    <w:rsid w:val="003B24D8"/>
    <w:rsid w:val="003B2EB3"/>
    <w:rsid w:val="003B3B40"/>
    <w:rsid w:val="003B426C"/>
    <w:rsid w:val="003B481E"/>
    <w:rsid w:val="003B4932"/>
    <w:rsid w:val="003B4A01"/>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DA9"/>
    <w:rsid w:val="003E593F"/>
    <w:rsid w:val="003E5B3D"/>
    <w:rsid w:val="003E5B9D"/>
    <w:rsid w:val="003E690F"/>
    <w:rsid w:val="003E6A1E"/>
    <w:rsid w:val="003E6D3F"/>
    <w:rsid w:val="003E7F86"/>
    <w:rsid w:val="003F0024"/>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F84"/>
    <w:rsid w:val="00434FC3"/>
    <w:rsid w:val="004358E1"/>
    <w:rsid w:val="00435941"/>
    <w:rsid w:val="004359BC"/>
    <w:rsid w:val="00435A4E"/>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C1D"/>
    <w:rsid w:val="00450FF9"/>
    <w:rsid w:val="0045121F"/>
    <w:rsid w:val="00451A9B"/>
    <w:rsid w:val="00451CC8"/>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BAE"/>
    <w:rsid w:val="004B5E95"/>
    <w:rsid w:val="004B63D6"/>
    <w:rsid w:val="004B778B"/>
    <w:rsid w:val="004B7881"/>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E87"/>
    <w:rsid w:val="004D705B"/>
    <w:rsid w:val="004D741A"/>
    <w:rsid w:val="004D74DF"/>
    <w:rsid w:val="004D7BDF"/>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EDF"/>
    <w:rsid w:val="0050761E"/>
    <w:rsid w:val="00507B1E"/>
    <w:rsid w:val="00507EDB"/>
    <w:rsid w:val="00510231"/>
    <w:rsid w:val="00510964"/>
    <w:rsid w:val="00510A36"/>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D98"/>
    <w:rsid w:val="00524EFD"/>
    <w:rsid w:val="00525566"/>
    <w:rsid w:val="00525841"/>
    <w:rsid w:val="00525C98"/>
    <w:rsid w:val="00525ECE"/>
    <w:rsid w:val="00526199"/>
    <w:rsid w:val="00526334"/>
    <w:rsid w:val="0052679B"/>
    <w:rsid w:val="0052679F"/>
    <w:rsid w:val="00526D3B"/>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868"/>
    <w:rsid w:val="005539F4"/>
    <w:rsid w:val="00553A74"/>
    <w:rsid w:val="005542BD"/>
    <w:rsid w:val="005542F8"/>
    <w:rsid w:val="00554470"/>
    <w:rsid w:val="00554663"/>
    <w:rsid w:val="005547DF"/>
    <w:rsid w:val="005549B8"/>
    <w:rsid w:val="005549DF"/>
    <w:rsid w:val="00554AD2"/>
    <w:rsid w:val="00554CA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45C8"/>
    <w:rsid w:val="00564C8C"/>
    <w:rsid w:val="005655CB"/>
    <w:rsid w:val="00565A38"/>
    <w:rsid w:val="0056605E"/>
    <w:rsid w:val="005664B4"/>
    <w:rsid w:val="005666F0"/>
    <w:rsid w:val="00566D67"/>
    <w:rsid w:val="00567530"/>
    <w:rsid w:val="005677EB"/>
    <w:rsid w:val="00567C20"/>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5D"/>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3099"/>
    <w:rsid w:val="005B3454"/>
    <w:rsid w:val="005B34C1"/>
    <w:rsid w:val="005B3708"/>
    <w:rsid w:val="005B3788"/>
    <w:rsid w:val="005B39DB"/>
    <w:rsid w:val="005B40EF"/>
    <w:rsid w:val="005B4126"/>
    <w:rsid w:val="005B4635"/>
    <w:rsid w:val="005B51D3"/>
    <w:rsid w:val="005B5DA6"/>
    <w:rsid w:val="005B5DAA"/>
    <w:rsid w:val="005B60D9"/>
    <w:rsid w:val="005B6393"/>
    <w:rsid w:val="005B63EC"/>
    <w:rsid w:val="005B6629"/>
    <w:rsid w:val="005B69D2"/>
    <w:rsid w:val="005B6C24"/>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516E"/>
    <w:rsid w:val="005D53C4"/>
    <w:rsid w:val="005D5708"/>
    <w:rsid w:val="005D5744"/>
    <w:rsid w:val="005D583A"/>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DDD"/>
    <w:rsid w:val="00624EF2"/>
    <w:rsid w:val="00624F27"/>
    <w:rsid w:val="00624FEE"/>
    <w:rsid w:val="00625492"/>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2080"/>
    <w:rsid w:val="006521E7"/>
    <w:rsid w:val="00653051"/>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900BF"/>
    <w:rsid w:val="00690120"/>
    <w:rsid w:val="00690AAA"/>
    <w:rsid w:val="00690B4C"/>
    <w:rsid w:val="00690D3B"/>
    <w:rsid w:val="00690EF8"/>
    <w:rsid w:val="00691090"/>
    <w:rsid w:val="0069138A"/>
    <w:rsid w:val="006915B3"/>
    <w:rsid w:val="00691B77"/>
    <w:rsid w:val="00691BAB"/>
    <w:rsid w:val="00691C9E"/>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F95"/>
    <w:rsid w:val="006A2092"/>
    <w:rsid w:val="006A228B"/>
    <w:rsid w:val="006A33B1"/>
    <w:rsid w:val="006A358D"/>
    <w:rsid w:val="006A3A57"/>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EA0"/>
    <w:rsid w:val="006C5185"/>
    <w:rsid w:val="006C51C0"/>
    <w:rsid w:val="006C5241"/>
    <w:rsid w:val="006C57B8"/>
    <w:rsid w:val="006C5A35"/>
    <w:rsid w:val="006C5EB0"/>
    <w:rsid w:val="006C684B"/>
    <w:rsid w:val="006C6CA6"/>
    <w:rsid w:val="006C706A"/>
    <w:rsid w:val="006C7417"/>
    <w:rsid w:val="006C7E23"/>
    <w:rsid w:val="006C7F1F"/>
    <w:rsid w:val="006C7FD4"/>
    <w:rsid w:val="006D00B7"/>
    <w:rsid w:val="006D0AC4"/>
    <w:rsid w:val="006D0CD5"/>
    <w:rsid w:val="006D1046"/>
    <w:rsid w:val="006D109F"/>
    <w:rsid w:val="006D17D6"/>
    <w:rsid w:val="006D18B1"/>
    <w:rsid w:val="006D1E21"/>
    <w:rsid w:val="006D20E3"/>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B0081"/>
    <w:rsid w:val="007B0881"/>
    <w:rsid w:val="007B0DFC"/>
    <w:rsid w:val="007B10FC"/>
    <w:rsid w:val="007B1751"/>
    <w:rsid w:val="007B1998"/>
    <w:rsid w:val="007B1B4A"/>
    <w:rsid w:val="007B247A"/>
    <w:rsid w:val="007B25C0"/>
    <w:rsid w:val="007B2603"/>
    <w:rsid w:val="007B2A9F"/>
    <w:rsid w:val="007B3371"/>
    <w:rsid w:val="007B3AA9"/>
    <w:rsid w:val="007B3EC4"/>
    <w:rsid w:val="007B44C7"/>
    <w:rsid w:val="007B4774"/>
    <w:rsid w:val="007B496A"/>
    <w:rsid w:val="007B4DBB"/>
    <w:rsid w:val="007B4EA7"/>
    <w:rsid w:val="007B55B0"/>
    <w:rsid w:val="007B55FF"/>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8B2"/>
    <w:rsid w:val="007E6C9D"/>
    <w:rsid w:val="007E6CC9"/>
    <w:rsid w:val="007E76E8"/>
    <w:rsid w:val="007E7705"/>
    <w:rsid w:val="007E7C8D"/>
    <w:rsid w:val="007F021E"/>
    <w:rsid w:val="007F0909"/>
    <w:rsid w:val="007F14D5"/>
    <w:rsid w:val="007F2276"/>
    <w:rsid w:val="007F27FE"/>
    <w:rsid w:val="007F28B8"/>
    <w:rsid w:val="007F2B17"/>
    <w:rsid w:val="007F38BA"/>
    <w:rsid w:val="007F4296"/>
    <w:rsid w:val="007F4431"/>
    <w:rsid w:val="007F448D"/>
    <w:rsid w:val="007F4780"/>
    <w:rsid w:val="007F4D22"/>
    <w:rsid w:val="007F4EE7"/>
    <w:rsid w:val="007F4F45"/>
    <w:rsid w:val="007F4FFA"/>
    <w:rsid w:val="007F59D6"/>
    <w:rsid w:val="007F5F99"/>
    <w:rsid w:val="007F6F69"/>
    <w:rsid w:val="007F7163"/>
    <w:rsid w:val="007F7654"/>
    <w:rsid w:val="007F78A1"/>
    <w:rsid w:val="007F7ABC"/>
    <w:rsid w:val="008008D2"/>
    <w:rsid w:val="00800A25"/>
    <w:rsid w:val="00800C18"/>
    <w:rsid w:val="00801B70"/>
    <w:rsid w:val="00801B71"/>
    <w:rsid w:val="00802461"/>
    <w:rsid w:val="008030A4"/>
    <w:rsid w:val="0080360D"/>
    <w:rsid w:val="00803A7D"/>
    <w:rsid w:val="00804030"/>
    <w:rsid w:val="00804082"/>
    <w:rsid w:val="008044F4"/>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5D6"/>
    <w:rsid w:val="0081072B"/>
    <w:rsid w:val="00811468"/>
    <w:rsid w:val="008115A1"/>
    <w:rsid w:val="0081210C"/>
    <w:rsid w:val="00812164"/>
    <w:rsid w:val="00812494"/>
    <w:rsid w:val="00812BC4"/>
    <w:rsid w:val="00812CDD"/>
    <w:rsid w:val="008131C3"/>
    <w:rsid w:val="0081329F"/>
    <w:rsid w:val="0081353D"/>
    <w:rsid w:val="0081371A"/>
    <w:rsid w:val="00813AB7"/>
    <w:rsid w:val="00813BE1"/>
    <w:rsid w:val="00814BC8"/>
    <w:rsid w:val="00814CA9"/>
    <w:rsid w:val="00814EBA"/>
    <w:rsid w:val="00815236"/>
    <w:rsid w:val="00815312"/>
    <w:rsid w:val="0081532C"/>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FB4"/>
    <w:rsid w:val="00881B45"/>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71"/>
    <w:rsid w:val="00886334"/>
    <w:rsid w:val="0088691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2550"/>
    <w:rsid w:val="008A2872"/>
    <w:rsid w:val="008A2D27"/>
    <w:rsid w:val="008A3816"/>
    <w:rsid w:val="008A3C15"/>
    <w:rsid w:val="008A3E1A"/>
    <w:rsid w:val="008A4859"/>
    <w:rsid w:val="008A4D0D"/>
    <w:rsid w:val="008A4D7F"/>
    <w:rsid w:val="008A5467"/>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A2F"/>
    <w:rsid w:val="008B4272"/>
    <w:rsid w:val="008B42EA"/>
    <w:rsid w:val="008B4416"/>
    <w:rsid w:val="008B4788"/>
    <w:rsid w:val="008B4B39"/>
    <w:rsid w:val="008B5B1D"/>
    <w:rsid w:val="008B614F"/>
    <w:rsid w:val="008B685F"/>
    <w:rsid w:val="008B68BE"/>
    <w:rsid w:val="008B69CB"/>
    <w:rsid w:val="008B6A7C"/>
    <w:rsid w:val="008B6AD8"/>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71F4"/>
    <w:rsid w:val="008D7277"/>
    <w:rsid w:val="008D7590"/>
    <w:rsid w:val="008D77FB"/>
    <w:rsid w:val="008E16C0"/>
    <w:rsid w:val="008E18C1"/>
    <w:rsid w:val="008E19C6"/>
    <w:rsid w:val="008E1B3B"/>
    <w:rsid w:val="008E1C48"/>
    <w:rsid w:val="008E1CC3"/>
    <w:rsid w:val="008E1CDE"/>
    <w:rsid w:val="008E29F1"/>
    <w:rsid w:val="008E2F73"/>
    <w:rsid w:val="008E3F18"/>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2FD"/>
    <w:rsid w:val="00916489"/>
    <w:rsid w:val="009167C9"/>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FDA"/>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286"/>
    <w:rsid w:val="009573EF"/>
    <w:rsid w:val="0095747D"/>
    <w:rsid w:val="009576C6"/>
    <w:rsid w:val="009577F1"/>
    <w:rsid w:val="0095781D"/>
    <w:rsid w:val="00957A82"/>
    <w:rsid w:val="009606D4"/>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C8E"/>
    <w:rsid w:val="00965F18"/>
    <w:rsid w:val="00966477"/>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B0145"/>
    <w:rsid w:val="009B033B"/>
    <w:rsid w:val="009B0607"/>
    <w:rsid w:val="009B0B30"/>
    <w:rsid w:val="009B11F1"/>
    <w:rsid w:val="009B16A3"/>
    <w:rsid w:val="009B17EE"/>
    <w:rsid w:val="009B1968"/>
    <w:rsid w:val="009B1A6C"/>
    <w:rsid w:val="009B22A5"/>
    <w:rsid w:val="009B27A2"/>
    <w:rsid w:val="009B2876"/>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E21"/>
    <w:rsid w:val="009C11C1"/>
    <w:rsid w:val="009C258D"/>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797"/>
    <w:rsid w:val="009D6921"/>
    <w:rsid w:val="009D6CCD"/>
    <w:rsid w:val="009D6FE7"/>
    <w:rsid w:val="009D77BA"/>
    <w:rsid w:val="009D78C2"/>
    <w:rsid w:val="009E0C3E"/>
    <w:rsid w:val="009E13B7"/>
    <w:rsid w:val="009E15A8"/>
    <w:rsid w:val="009E1C06"/>
    <w:rsid w:val="009E1CDF"/>
    <w:rsid w:val="009E1D1D"/>
    <w:rsid w:val="009E1EC2"/>
    <w:rsid w:val="009E29CB"/>
    <w:rsid w:val="009E2C3E"/>
    <w:rsid w:val="009E2F09"/>
    <w:rsid w:val="009E2F6C"/>
    <w:rsid w:val="009E34DD"/>
    <w:rsid w:val="009E46BB"/>
    <w:rsid w:val="009E4744"/>
    <w:rsid w:val="009E5216"/>
    <w:rsid w:val="009E53A5"/>
    <w:rsid w:val="009E5D21"/>
    <w:rsid w:val="009E5D2B"/>
    <w:rsid w:val="009E61E5"/>
    <w:rsid w:val="009E6522"/>
    <w:rsid w:val="009E6C7A"/>
    <w:rsid w:val="009E6EFD"/>
    <w:rsid w:val="009E78BE"/>
    <w:rsid w:val="009E7E78"/>
    <w:rsid w:val="009F07DE"/>
    <w:rsid w:val="009F0808"/>
    <w:rsid w:val="009F0F9D"/>
    <w:rsid w:val="009F1B02"/>
    <w:rsid w:val="009F1E7E"/>
    <w:rsid w:val="009F1F91"/>
    <w:rsid w:val="009F1FE8"/>
    <w:rsid w:val="009F2009"/>
    <w:rsid w:val="009F22D5"/>
    <w:rsid w:val="009F41F4"/>
    <w:rsid w:val="009F49A6"/>
    <w:rsid w:val="009F5514"/>
    <w:rsid w:val="009F58DC"/>
    <w:rsid w:val="009F5CAB"/>
    <w:rsid w:val="009F5CF1"/>
    <w:rsid w:val="009F64D9"/>
    <w:rsid w:val="009F65F7"/>
    <w:rsid w:val="009F6E32"/>
    <w:rsid w:val="009F6E7F"/>
    <w:rsid w:val="009F6FBD"/>
    <w:rsid w:val="009F6FF2"/>
    <w:rsid w:val="009F7CC7"/>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1460"/>
    <w:rsid w:val="00A21D6E"/>
    <w:rsid w:val="00A2216A"/>
    <w:rsid w:val="00A22652"/>
    <w:rsid w:val="00A22D22"/>
    <w:rsid w:val="00A23115"/>
    <w:rsid w:val="00A2360A"/>
    <w:rsid w:val="00A24130"/>
    <w:rsid w:val="00A24424"/>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FA0"/>
    <w:rsid w:val="00A310F4"/>
    <w:rsid w:val="00A31A36"/>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6F1"/>
    <w:rsid w:val="00A40792"/>
    <w:rsid w:val="00A408B9"/>
    <w:rsid w:val="00A41501"/>
    <w:rsid w:val="00A415CF"/>
    <w:rsid w:val="00A41D3D"/>
    <w:rsid w:val="00A425CD"/>
    <w:rsid w:val="00A42CFB"/>
    <w:rsid w:val="00A433B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FC7"/>
    <w:rsid w:val="00A51FE4"/>
    <w:rsid w:val="00A523D1"/>
    <w:rsid w:val="00A52708"/>
    <w:rsid w:val="00A52995"/>
    <w:rsid w:val="00A52B43"/>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759"/>
    <w:rsid w:val="00A65E92"/>
    <w:rsid w:val="00A66092"/>
    <w:rsid w:val="00A6629C"/>
    <w:rsid w:val="00A6646C"/>
    <w:rsid w:val="00A6701A"/>
    <w:rsid w:val="00A678C8"/>
    <w:rsid w:val="00A67A3D"/>
    <w:rsid w:val="00A7002F"/>
    <w:rsid w:val="00A7016E"/>
    <w:rsid w:val="00A70473"/>
    <w:rsid w:val="00A70527"/>
    <w:rsid w:val="00A707B5"/>
    <w:rsid w:val="00A70A5C"/>
    <w:rsid w:val="00A70E2C"/>
    <w:rsid w:val="00A71804"/>
    <w:rsid w:val="00A71A1A"/>
    <w:rsid w:val="00A71B1C"/>
    <w:rsid w:val="00A71D17"/>
    <w:rsid w:val="00A71FA2"/>
    <w:rsid w:val="00A72048"/>
    <w:rsid w:val="00A720F6"/>
    <w:rsid w:val="00A727B6"/>
    <w:rsid w:val="00A737CF"/>
    <w:rsid w:val="00A74607"/>
    <w:rsid w:val="00A74A0B"/>
    <w:rsid w:val="00A75528"/>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7F8B"/>
    <w:rsid w:val="00AB7FCB"/>
    <w:rsid w:val="00AB7FE7"/>
    <w:rsid w:val="00AC00B9"/>
    <w:rsid w:val="00AC0693"/>
    <w:rsid w:val="00AC0BB9"/>
    <w:rsid w:val="00AC0DAB"/>
    <w:rsid w:val="00AC0F68"/>
    <w:rsid w:val="00AC1317"/>
    <w:rsid w:val="00AC2556"/>
    <w:rsid w:val="00AC301B"/>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4483"/>
    <w:rsid w:val="00AD44B3"/>
    <w:rsid w:val="00AD4746"/>
    <w:rsid w:val="00AD49EC"/>
    <w:rsid w:val="00AD4B6A"/>
    <w:rsid w:val="00AD4C6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1EE"/>
    <w:rsid w:val="00B006F4"/>
    <w:rsid w:val="00B007E3"/>
    <w:rsid w:val="00B00CF5"/>
    <w:rsid w:val="00B01300"/>
    <w:rsid w:val="00B016F7"/>
    <w:rsid w:val="00B01758"/>
    <w:rsid w:val="00B01C11"/>
    <w:rsid w:val="00B0266A"/>
    <w:rsid w:val="00B026E6"/>
    <w:rsid w:val="00B02A03"/>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225"/>
    <w:rsid w:val="00B15E7F"/>
    <w:rsid w:val="00B163BA"/>
    <w:rsid w:val="00B16AA7"/>
    <w:rsid w:val="00B16D28"/>
    <w:rsid w:val="00B1711F"/>
    <w:rsid w:val="00B173B4"/>
    <w:rsid w:val="00B17C87"/>
    <w:rsid w:val="00B17DC4"/>
    <w:rsid w:val="00B202CB"/>
    <w:rsid w:val="00B20442"/>
    <w:rsid w:val="00B20A3C"/>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943"/>
    <w:rsid w:val="00B300E8"/>
    <w:rsid w:val="00B30650"/>
    <w:rsid w:val="00B30697"/>
    <w:rsid w:val="00B3089A"/>
    <w:rsid w:val="00B308E2"/>
    <w:rsid w:val="00B31109"/>
    <w:rsid w:val="00B31794"/>
    <w:rsid w:val="00B31897"/>
    <w:rsid w:val="00B31F7F"/>
    <w:rsid w:val="00B32351"/>
    <w:rsid w:val="00B323A7"/>
    <w:rsid w:val="00B327CA"/>
    <w:rsid w:val="00B3425E"/>
    <w:rsid w:val="00B34EB5"/>
    <w:rsid w:val="00B34F49"/>
    <w:rsid w:val="00B35148"/>
    <w:rsid w:val="00B35323"/>
    <w:rsid w:val="00B35478"/>
    <w:rsid w:val="00B35748"/>
    <w:rsid w:val="00B35DAC"/>
    <w:rsid w:val="00B360F0"/>
    <w:rsid w:val="00B363C0"/>
    <w:rsid w:val="00B3645C"/>
    <w:rsid w:val="00B36722"/>
    <w:rsid w:val="00B3675E"/>
    <w:rsid w:val="00B36A84"/>
    <w:rsid w:val="00B37549"/>
    <w:rsid w:val="00B40078"/>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708"/>
    <w:rsid w:val="00B53ACE"/>
    <w:rsid w:val="00B54D25"/>
    <w:rsid w:val="00B5514C"/>
    <w:rsid w:val="00B5548E"/>
    <w:rsid w:val="00B55495"/>
    <w:rsid w:val="00B559A3"/>
    <w:rsid w:val="00B55DB9"/>
    <w:rsid w:val="00B55F83"/>
    <w:rsid w:val="00B560EA"/>
    <w:rsid w:val="00B5654A"/>
    <w:rsid w:val="00B56DEE"/>
    <w:rsid w:val="00B56F8E"/>
    <w:rsid w:val="00B57503"/>
    <w:rsid w:val="00B57844"/>
    <w:rsid w:val="00B57AC3"/>
    <w:rsid w:val="00B57CE3"/>
    <w:rsid w:val="00B60062"/>
    <w:rsid w:val="00B6007B"/>
    <w:rsid w:val="00B604E2"/>
    <w:rsid w:val="00B60519"/>
    <w:rsid w:val="00B60557"/>
    <w:rsid w:val="00B6070A"/>
    <w:rsid w:val="00B60C1B"/>
    <w:rsid w:val="00B60EBF"/>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C66"/>
    <w:rsid w:val="00B76E33"/>
    <w:rsid w:val="00B76F9A"/>
    <w:rsid w:val="00B77647"/>
    <w:rsid w:val="00B77A5B"/>
    <w:rsid w:val="00B77BA9"/>
    <w:rsid w:val="00B8038C"/>
    <w:rsid w:val="00B80A56"/>
    <w:rsid w:val="00B80A96"/>
    <w:rsid w:val="00B814BE"/>
    <w:rsid w:val="00B81B0B"/>
    <w:rsid w:val="00B822AC"/>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AD7"/>
    <w:rsid w:val="00B93308"/>
    <w:rsid w:val="00B934D0"/>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4159"/>
    <w:rsid w:val="00BA41D8"/>
    <w:rsid w:val="00BA4405"/>
    <w:rsid w:val="00BA5043"/>
    <w:rsid w:val="00BA56C2"/>
    <w:rsid w:val="00BA57A0"/>
    <w:rsid w:val="00BA6B77"/>
    <w:rsid w:val="00BA711F"/>
    <w:rsid w:val="00BA781A"/>
    <w:rsid w:val="00BA7AF1"/>
    <w:rsid w:val="00BA7C3A"/>
    <w:rsid w:val="00BA7D4B"/>
    <w:rsid w:val="00BA7EA0"/>
    <w:rsid w:val="00BB0156"/>
    <w:rsid w:val="00BB027F"/>
    <w:rsid w:val="00BB0321"/>
    <w:rsid w:val="00BB0814"/>
    <w:rsid w:val="00BB0BDA"/>
    <w:rsid w:val="00BB1C62"/>
    <w:rsid w:val="00BB1D3D"/>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354F"/>
    <w:rsid w:val="00BD361A"/>
    <w:rsid w:val="00BD39BF"/>
    <w:rsid w:val="00BD3B27"/>
    <w:rsid w:val="00BD3CE0"/>
    <w:rsid w:val="00BD5001"/>
    <w:rsid w:val="00BD50C7"/>
    <w:rsid w:val="00BD55C1"/>
    <w:rsid w:val="00BD5A99"/>
    <w:rsid w:val="00BD63BF"/>
    <w:rsid w:val="00BD65A3"/>
    <w:rsid w:val="00BD6A8E"/>
    <w:rsid w:val="00BD7427"/>
    <w:rsid w:val="00BD7B28"/>
    <w:rsid w:val="00BE00F1"/>
    <w:rsid w:val="00BE024E"/>
    <w:rsid w:val="00BE055B"/>
    <w:rsid w:val="00BE1599"/>
    <w:rsid w:val="00BE1C0C"/>
    <w:rsid w:val="00BE2B59"/>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12E1"/>
    <w:rsid w:val="00BF1650"/>
    <w:rsid w:val="00BF1791"/>
    <w:rsid w:val="00BF19C5"/>
    <w:rsid w:val="00BF1C3D"/>
    <w:rsid w:val="00BF1D2F"/>
    <w:rsid w:val="00BF1ECD"/>
    <w:rsid w:val="00BF2033"/>
    <w:rsid w:val="00BF25C3"/>
    <w:rsid w:val="00BF2D4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64"/>
    <w:rsid w:val="00BF59EC"/>
    <w:rsid w:val="00BF5D45"/>
    <w:rsid w:val="00BF5DFD"/>
    <w:rsid w:val="00BF6E95"/>
    <w:rsid w:val="00BF6F18"/>
    <w:rsid w:val="00BF6FDB"/>
    <w:rsid w:val="00BF7091"/>
    <w:rsid w:val="00BF750A"/>
    <w:rsid w:val="00BF7B27"/>
    <w:rsid w:val="00BF7F8E"/>
    <w:rsid w:val="00C00764"/>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3080"/>
    <w:rsid w:val="00C13465"/>
    <w:rsid w:val="00C13802"/>
    <w:rsid w:val="00C13A42"/>
    <w:rsid w:val="00C14068"/>
    <w:rsid w:val="00C1464F"/>
    <w:rsid w:val="00C15585"/>
    <w:rsid w:val="00C15869"/>
    <w:rsid w:val="00C15D46"/>
    <w:rsid w:val="00C15F89"/>
    <w:rsid w:val="00C16176"/>
    <w:rsid w:val="00C161BA"/>
    <w:rsid w:val="00C1688B"/>
    <w:rsid w:val="00C1693B"/>
    <w:rsid w:val="00C17456"/>
    <w:rsid w:val="00C17828"/>
    <w:rsid w:val="00C17F01"/>
    <w:rsid w:val="00C17FA0"/>
    <w:rsid w:val="00C20149"/>
    <w:rsid w:val="00C20544"/>
    <w:rsid w:val="00C2068B"/>
    <w:rsid w:val="00C20F74"/>
    <w:rsid w:val="00C21231"/>
    <w:rsid w:val="00C21309"/>
    <w:rsid w:val="00C220F5"/>
    <w:rsid w:val="00C227A4"/>
    <w:rsid w:val="00C22830"/>
    <w:rsid w:val="00C2310F"/>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ECE"/>
    <w:rsid w:val="00C408A3"/>
    <w:rsid w:val="00C408D4"/>
    <w:rsid w:val="00C410C4"/>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50"/>
    <w:rsid w:val="00C502F6"/>
    <w:rsid w:val="00C5049A"/>
    <w:rsid w:val="00C50988"/>
    <w:rsid w:val="00C50D65"/>
    <w:rsid w:val="00C50EC7"/>
    <w:rsid w:val="00C5178C"/>
    <w:rsid w:val="00C52154"/>
    <w:rsid w:val="00C521D7"/>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F6"/>
    <w:rsid w:val="00C65EEB"/>
    <w:rsid w:val="00C6679F"/>
    <w:rsid w:val="00C66909"/>
    <w:rsid w:val="00C66C05"/>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802"/>
    <w:rsid w:val="00C949F7"/>
    <w:rsid w:val="00C94C5A"/>
    <w:rsid w:val="00C95440"/>
    <w:rsid w:val="00C954DD"/>
    <w:rsid w:val="00C97116"/>
    <w:rsid w:val="00C97461"/>
    <w:rsid w:val="00C975BE"/>
    <w:rsid w:val="00C9785B"/>
    <w:rsid w:val="00C97EDB"/>
    <w:rsid w:val="00CA01E2"/>
    <w:rsid w:val="00CA022D"/>
    <w:rsid w:val="00CA0AD2"/>
    <w:rsid w:val="00CA0CD8"/>
    <w:rsid w:val="00CA12E0"/>
    <w:rsid w:val="00CA12E5"/>
    <w:rsid w:val="00CA1BBB"/>
    <w:rsid w:val="00CA2CB5"/>
    <w:rsid w:val="00CA3093"/>
    <w:rsid w:val="00CA3F20"/>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5D1"/>
    <w:rsid w:val="00CB23A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A47"/>
    <w:rsid w:val="00CC3C06"/>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EDD"/>
    <w:rsid w:val="00D01F5F"/>
    <w:rsid w:val="00D020FF"/>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D0A"/>
    <w:rsid w:val="00D25039"/>
    <w:rsid w:val="00D2523B"/>
    <w:rsid w:val="00D25551"/>
    <w:rsid w:val="00D25822"/>
    <w:rsid w:val="00D25A42"/>
    <w:rsid w:val="00D25A72"/>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A25"/>
    <w:rsid w:val="00D40D6E"/>
    <w:rsid w:val="00D41EF1"/>
    <w:rsid w:val="00D41FEE"/>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60E1"/>
    <w:rsid w:val="00D46223"/>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EB1"/>
    <w:rsid w:val="00D72F99"/>
    <w:rsid w:val="00D733ED"/>
    <w:rsid w:val="00D733FD"/>
    <w:rsid w:val="00D73640"/>
    <w:rsid w:val="00D73E27"/>
    <w:rsid w:val="00D74015"/>
    <w:rsid w:val="00D74084"/>
    <w:rsid w:val="00D741E3"/>
    <w:rsid w:val="00D7445D"/>
    <w:rsid w:val="00D749B1"/>
    <w:rsid w:val="00D74A7B"/>
    <w:rsid w:val="00D75194"/>
    <w:rsid w:val="00D75E4E"/>
    <w:rsid w:val="00D76479"/>
    <w:rsid w:val="00D766AD"/>
    <w:rsid w:val="00D76E0F"/>
    <w:rsid w:val="00D76F28"/>
    <w:rsid w:val="00D77B2F"/>
    <w:rsid w:val="00D77BAB"/>
    <w:rsid w:val="00D8032B"/>
    <w:rsid w:val="00D8077B"/>
    <w:rsid w:val="00D808BD"/>
    <w:rsid w:val="00D808FA"/>
    <w:rsid w:val="00D80F70"/>
    <w:rsid w:val="00D8113D"/>
    <w:rsid w:val="00D82370"/>
    <w:rsid w:val="00D825AA"/>
    <w:rsid w:val="00D826F5"/>
    <w:rsid w:val="00D82888"/>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14F1"/>
    <w:rsid w:val="00DD20A2"/>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FA"/>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F85"/>
    <w:rsid w:val="00EA7F8D"/>
    <w:rsid w:val="00EA7FC0"/>
    <w:rsid w:val="00EB00D4"/>
    <w:rsid w:val="00EB0CA1"/>
    <w:rsid w:val="00EB0CE8"/>
    <w:rsid w:val="00EB11D9"/>
    <w:rsid w:val="00EB1254"/>
    <w:rsid w:val="00EB1721"/>
    <w:rsid w:val="00EB1C5F"/>
    <w:rsid w:val="00EB2015"/>
    <w:rsid w:val="00EB2375"/>
    <w:rsid w:val="00EB2A76"/>
    <w:rsid w:val="00EB2BA8"/>
    <w:rsid w:val="00EB2BBA"/>
    <w:rsid w:val="00EB2E3C"/>
    <w:rsid w:val="00EB321A"/>
    <w:rsid w:val="00EB3338"/>
    <w:rsid w:val="00EB33E7"/>
    <w:rsid w:val="00EB41E0"/>
    <w:rsid w:val="00EB4567"/>
    <w:rsid w:val="00EB4901"/>
    <w:rsid w:val="00EB4BA0"/>
    <w:rsid w:val="00EB5853"/>
    <w:rsid w:val="00EB5AF5"/>
    <w:rsid w:val="00EB5C6F"/>
    <w:rsid w:val="00EB5CD4"/>
    <w:rsid w:val="00EB5E78"/>
    <w:rsid w:val="00EB6385"/>
    <w:rsid w:val="00EB6495"/>
    <w:rsid w:val="00EB65CA"/>
    <w:rsid w:val="00EB68F6"/>
    <w:rsid w:val="00EB6C4D"/>
    <w:rsid w:val="00EB7150"/>
    <w:rsid w:val="00EB75DC"/>
    <w:rsid w:val="00EB7638"/>
    <w:rsid w:val="00EB7A3F"/>
    <w:rsid w:val="00EC0128"/>
    <w:rsid w:val="00EC0648"/>
    <w:rsid w:val="00EC0798"/>
    <w:rsid w:val="00EC087A"/>
    <w:rsid w:val="00EC0C5D"/>
    <w:rsid w:val="00EC1628"/>
    <w:rsid w:val="00EC1869"/>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EF3"/>
    <w:rsid w:val="00ED4748"/>
    <w:rsid w:val="00ED474D"/>
    <w:rsid w:val="00ED4C10"/>
    <w:rsid w:val="00ED5049"/>
    <w:rsid w:val="00ED5460"/>
    <w:rsid w:val="00ED62CE"/>
    <w:rsid w:val="00ED63D7"/>
    <w:rsid w:val="00ED65B7"/>
    <w:rsid w:val="00ED6765"/>
    <w:rsid w:val="00ED6EEE"/>
    <w:rsid w:val="00ED72C0"/>
    <w:rsid w:val="00ED770C"/>
    <w:rsid w:val="00ED77FD"/>
    <w:rsid w:val="00ED7A97"/>
    <w:rsid w:val="00EE04C6"/>
    <w:rsid w:val="00EE0A2A"/>
    <w:rsid w:val="00EE1534"/>
    <w:rsid w:val="00EE1794"/>
    <w:rsid w:val="00EE17DB"/>
    <w:rsid w:val="00EE1D4E"/>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CB7"/>
    <w:rsid w:val="00F02052"/>
    <w:rsid w:val="00F020B3"/>
    <w:rsid w:val="00F02E2D"/>
    <w:rsid w:val="00F02EFE"/>
    <w:rsid w:val="00F02F3C"/>
    <w:rsid w:val="00F03210"/>
    <w:rsid w:val="00F0331F"/>
    <w:rsid w:val="00F03415"/>
    <w:rsid w:val="00F036CD"/>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8C5"/>
    <w:rsid w:val="00F34E4F"/>
    <w:rsid w:val="00F355DE"/>
    <w:rsid w:val="00F35679"/>
    <w:rsid w:val="00F35BB9"/>
    <w:rsid w:val="00F3690F"/>
    <w:rsid w:val="00F36B68"/>
    <w:rsid w:val="00F36D98"/>
    <w:rsid w:val="00F3717F"/>
    <w:rsid w:val="00F4020D"/>
    <w:rsid w:val="00F407E1"/>
    <w:rsid w:val="00F4099D"/>
    <w:rsid w:val="00F40A96"/>
    <w:rsid w:val="00F40CDF"/>
    <w:rsid w:val="00F40D7C"/>
    <w:rsid w:val="00F41169"/>
    <w:rsid w:val="00F41392"/>
    <w:rsid w:val="00F413E6"/>
    <w:rsid w:val="00F41F27"/>
    <w:rsid w:val="00F42429"/>
    <w:rsid w:val="00F4282E"/>
    <w:rsid w:val="00F428A5"/>
    <w:rsid w:val="00F4360F"/>
    <w:rsid w:val="00F43730"/>
    <w:rsid w:val="00F43956"/>
    <w:rsid w:val="00F43E30"/>
    <w:rsid w:val="00F43F39"/>
    <w:rsid w:val="00F44052"/>
    <w:rsid w:val="00F44C20"/>
    <w:rsid w:val="00F45115"/>
    <w:rsid w:val="00F4511C"/>
    <w:rsid w:val="00F451C2"/>
    <w:rsid w:val="00F4546C"/>
    <w:rsid w:val="00F45DAA"/>
    <w:rsid w:val="00F4668F"/>
    <w:rsid w:val="00F466AE"/>
    <w:rsid w:val="00F468BC"/>
    <w:rsid w:val="00F46A76"/>
    <w:rsid w:val="00F46CD6"/>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475"/>
    <w:rsid w:val="00F744CF"/>
    <w:rsid w:val="00F74726"/>
    <w:rsid w:val="00F74C02"/>
    <w:rsid w:val="00F75EF0"/>
    <w:rsid w:val="00F761B8"/>
    <w:rsid w:val="00F763B4"/>
    <w:rsid w:val="00F7645E"/>
    <w:rsid w:val="00F766A7"/>
    <w:rsid w:val="00F76C99"/>
    <w:rsid w:val="00F7716B"/>
    <w:rsid w:val="00F778CE"/>
    <w:rsid w:val="00F77B86"/>
    <w:rsid w:val="00F80D61"/>
    <w:rsid w:val="00F80E8D"/>
    <w:rsid w:val="00F8139F"/>
    <w:rsid w:val="00F819DF"/>
    <w:rsid w:val="00F81AD8"/>
    <w:rsid w:val="00F81E7E"/>
    <w:rsid w:val="00F82468"/>
    <w:rsid w:val="00F82478"/>
    <w:rsid w:val="00F82742"/>
    <w:rsid w:val="00F82A3F"/>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842"/>
    <w:rsid w:val="00FA0A23"/>
    <w:rsid w:val="00FA0E51"/>
    <w:rsid w:val="00FA1123"/>
    <w:rsid w:val="00FA18A9"/>
    <w:rsid w:val="00FA18C8"/>
    <w:rsid w:val="00FA2731"/>
    <w:rsid w:val="00FA29A7"/>
    <w:rsid w:val="00FA2B17"/>
    <w:rsid w:val="00FA2CB5"/>
    <w:rsid w:val="00FA2FBA"/>
    <w:rsid w:val="00FA36D7"/>
    <w:rsid w:val="00FA3DB6"/>
    <w:rsid w:val="00FA434E"/>
    <w:rsid w:val="00FA48E0"/>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4C5"/>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epositoryArch.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ecodata/AnaAccDepArch.xls"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S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C8825-10BF-4059-ABEF-D93F3406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14</Pages>
  <Words>7628</Words>
  <Characters>48873</Characters>
  <Application>Microsoft Office Word</Application>
  <DocSecurity>0</DocSecurity>
  <Lines>407</Lines>
  <Paragraphs>112</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56389</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sajjad9129</cp:lastModifiedBy>
  <cp:revision>138</cp:revision>
  <cp:lastPrinted>2017-11-30T11:38:00Z</cp:lastPrinted>
  <dcterms:created xsi:type="dcterms:W3CDTF">2017-08-23T10:08:00Z</dcterms:created>
  <dcterms:modified xsi:type="dcterms:W3CDTF">2018-04-30T12:11:00Z</dcterms:modified>
</cp:coreProperties>
</file>