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r w:rsidR="004D4FAD" w:rsidRPr="006F593A">
        <w:rPr>
          <w:sz w:val="20"/>
          <w:szCs w:val="20"/>
        </w:rPr>
        <w:t>corporations</w:t>
      </w:r>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CF3544" w:rsidP="00CF3544">
      <w:pPr>
        <w:jc w:val="both"/>
        <w:rPr>
          <w:sz w:val="20"/>
          <w:szCs w:val="20"/>
        </w:rPr>
      </w:pPr>
      <w:r w:rsidRPr="006F593A">
        <w:rPr>
          <w:sz w:val="20"/>
          <w:szCs w:val="20"/>
        </w:rPr>
        <w:t>NBFCs are categorized into eight groups, development finance institutions, leasing companies, investment banks, modarba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i.e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6F593A" w:rsidRDefault="006E5768" w:rsidP="00837B4D">
      <w:pPr>
        <w:jc w:val="both"/>
        <w:rPr>
          <w:b/>
          <w:sz w:val="28"/>
          <w:szCs w:val="28"/>
          <w:u w:val="single"/>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tabs>
          <w:tab w:val="num" w:pos="360"/>
        </w:tabs>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2308F0" w:rsidRPr="006F593A" w:rsidRDefault="002308F0" w:rsidP="00837B4D">
      <w:pPr>
        <w:tabs>
          <w:tab w:val="num" w:pos="360"/>
        </w:tabs>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2308F0" w:rsidRPr="006F593A" w:rsidRDefault="002308F0" w:rsidP="00837B4D">
      <w:pPr>
        <w:ind w:firstLine="720"/>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rsidR="002308F0" w:rsidRPr="006F593A" w:rsidRDefault="002308F0" w:rsidP="00837B4D">
      <w:pPr>
        <w:ind w:firstLine="72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2308F0" w:rsidRPr="006F593A" w:rsidRDefault="002308F0" w:rsidP="00837B4D">
      <w:pPr>
        <w:ind w:left="36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cheque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707E81" w:rsidRDefault="00707E81" w:rsidP="004D0527">
      <w:pPr>
        <w:tabs>
          <w:tab w:val="left" w:pos="709"/>
        </w:tabs>
        <w:jc w:val="both"/>
        <w:rPr>
          <w:b/>
          <w:sz w:val="20"/>
          <w:szCs w:val="20"/>
        </w:rPr>
      </w:pPr>
    </w:p>
    <w:p w:rsidR="00707E81" w:rsidRDefault="00707E81" w:rsidP="004D0527">
      <w:pPr>
        <w:tabs>
          <w:tab w:val="left" w:pos="709"/>
        </w:tabs>
        <w:jc w:val="both"/>
        <w:rPr>
          <w:b/>
          <w:sz w:val="20"/>
          <w:szCs w:val="20"/>
        </w:rPr>
      </w:pPr>
    </w:p>
    <w:p w:rsidR="004D0527" w:rsidRPr="006F593A" w:rsidRDefault="004D0527" w:rsidP="004D0527">
      <w:pPr>
        <w:tabs>
          <w:tab w:val="left" w:pos="709"/>
        </w:tabs>
        <w:jc w:val="both"/>
        <w:rPr>
          <w:b/>
          <w:sz w:val="20"/>
          <w:szCs w:val="20"/>
        </w:rPr>
      </w:pPr>
      <w:r w:rsidRPr="006F593A">
        <w:rPr>
          <w:b/>
          <w:sz w:val="20"/>
          <w:szCs w:val="20"/>
        </w:rPr>
        <w:lastRenderedPageBreak/>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187E8D" w:rsidRPr="00DC6F24" w:rsidRDefault="00187E8D" w:rsidP="00187E8D">
      <w:pPr>
        <w:ind w:left="450"/>
        <w:jc w:val="both"/>
        <w:rPr>
          <w:b/>
          <w:sz w:val="20"/>
          <w:szCs w:val="20"/>
        </w:rPr>
      </w:pPr>
      <w:r w:rsidRPr="00DC6F24">
        <w:rPr>
          <w:b/>
          <w:sz w:val="20"/>
          <w:szCs w:val="20"/>
        </w:rPr>
        <w:t>Goods</w:t>
      </w:r>
      <w:r w:rsidRPr="00DC6F24">
        <w:rPr>
          <w:b/>
          <w:sz w:val="20"/>
          <w:szCs w:val="20"/>
        </w:rPr>
        <w:tab/>
      </w:r>
    </w:p>
    <w:p w:rsidR="00187E8D" w:rsidRPr="00DC6F24" w:rsidRDefault="00187E8D" w:rsidP="00187E8D">
      <w:pPr>
        <w:ind w:left="450"/>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General Merchandise on fob basis</w:t>
      </w:r>
    </w:p>
    <w:p w:rsidR="00187E8D" w:rsidRPr="00DC6F24" w:rsidRDefault="00187E8D" w:rsidP="00187E8D">
      <w:pPr>
        <w:autoSpaceDE w:val="0"/>
        <w:autoSpaceDN w:val="0"/>
        <w:adjustRightInd w:val="0"/>
        <w:ind w:left="720"/>
        <w:jc w:val="both"/>
        <w:rPr>
          <w:sz w:val="20"/>
          <w:szCs w:val="20"/>
        </w:rPr>
      </w:pPr>
      <w:r w:rsidRPr="00DC6F24">
        <w:rPr>
          <w:sz w:val="20"/>
          <w:szCs w:val="20"/>
        </w:rPr>
        <w:t>General merchandise on a balance of payments cover goods whose economic ownership is changed between a resident and a nonresident.</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 xml:space="preserve">Goods under </w:t>
      </w:r>
      <w:r>
        <w:rPr>
          <w:b/>
          <w:bCs/>
          <w:sz w:val="20"/>
          <w:szCs w:val="20"/>
        </w:rPr>
        <w:t>M</w:t>
      </w:r>
      <w:r w:rsidRPr="00DC6F24">
        <w:rPr>
          <w:b/>
          <w:bCs/>
          <w:sz w:val="20"/>
          <w:szCs w:val="20"/>
        </w:rPr>
        <w:t>erchanting</w:t>
      </w:r>
    </w:p>
    <w:p w:rsidR="00187E8D" w:rsidRPr="00DC6F24" w:rsidRDefault="00187E8D" w:rsidP="00187E8D">
      <w:pPr>
        <w:autoSpaceDE w:val="0"/>
        <w:autoSpaceDN w:val="0"/>
        <w:adjustRightInd w:val="0"/>
        <w:ind w:left="720"/>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187E8D" w:rsidRPr="00DC6F24" w:rsidRDefault="00187E8D" w:rsidP="00187E8D">
      <w:pPr>
        <w:autoSpaceDE w:val="0"/>
        <w:autoSpaceDN w:val="0"/>
        <w:adjustRightInd w:val="0"/>
        <w:ind w:left="720"/>
        <w:rPr>
          <w:sz w:val="20"/>
          <w:szCs w:val="20"/>
        </w:rPr>
      </w:pPr>
    </w:p>
    <w:p w:rsidR="00187E8D" w:rsidRPr="00DC6F24" w:rsidRDefault="00187E8D" w:rsidP="00187E8D">
      <w:pPr>
        <w:ind w:left="720"/>
        <w:jc w:val="both"/>
        <w:rPr>
          <w:b/>
          <w:bCs/>
          <w:sz w:val="20"/>
          <w:szCs w:val="20"/>
        </w:rPr>
      </w:pPr>
      <w:r w:rsidRPr="00DC6F24">
        <w:rPr>
          <w:b/>
          <w:bCs/>
          <w:sz w:val="20"/>
          <w:szCs w:val="20"/>
        </w:rPr>
        <w:t>Non-Monetary Gold</w:t>
      </w:r>
    </w:p>
    <w:p w:rsidR="00187E8D" w:rsidRPr="00DC6F24" w:rsidRDefault="00187E8D" w:rsidP="00187E8D">
      <w:pPr>
        <w:ind w:left="720"/>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187E8D">
      <w:pPr>
        <w:ind w:left="450"/>
        <w:jc w:val="both"/>
        <w:rPr>
          <w:b/>
          <w:bCs/>
          <w:sz w:val="20"/>
          <w:szCs w:val="20"/>
        </w:rPr>
      </w:pPr>
      <w:r w:rsidRPr="00DC6F24">
        <w:rPr>
          <w:b/>
          <w:bCs/>
          <w:sz w:val="20"/>
          <w:szCs w:val="20"/>
        </w:rPr>
        <w:t>Services</w:t>
      </w:r>
    </w:p>
    <w:p w:rsidR="00187E8D" w:rsidRPr="00DC6F24" w:rsidRDefault="00187E8D" w:rsidP="003F3C65">
      <w:pPr>
        <w:ind w:left="450"/>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187E8D">
      <w:pPr>
        <w:ind w:left="900"/>
        <w:jc w:val="both"/>
        <w:rPr>
          <w:b/>
          <w:sz w:val="20"/>
          <w:szCs w:val="20"/>
        </w:rPr>
      </w:pPr>
      <w:r w:rsidRPr="00DC6F24">
        <w:rPr>
          <w:b/>
          <w:sz w:val="20"/>
          <w:szCs w:val="20"/>
        </w:rPr>
        <w:t>Manufacturing services on physical inputs owned by others</w:t>
      </w:r>
    </w:p>
    <w:p w:rsidR="00187E8D" w:rsidRPr="00DC6F24" w:rsidRDefault="00187E8D" w:rsidP="00187E8D">
      <w:pPr>
        <w:ind w:left="900"/>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187E8D">
      <w:pPr>
        <w:ind w:left="900"/>
        <w:jc w:val="both"/>
        <w:rPr>
          <w:bCs/>
          <w:sz w:val="20"/>
          <w:szCs w:val="20"/>
        </w:rPr>
      </w:pPr>
    </w:p>
    <w:p w:rsidR="00187E8D" w:rsidRPr="00DC6F24" w:rsidRDefault="00187E8D" w:rsidP="00187E8D">
      <w:pPr>
        <w:ind w:left="900"/>
        <w:jc w:val="both"/>
        <w:rPr>
          <w:b/>
          <w:sz w:val="20"/>
          <w:szCs w:val="20"/>
        </w:rPr>
      </w:pPr>
      <w:r w:rsidRPr="00DC6F24">
        <w:rPr>
          <w:b/>
          <w:sz w:val="20"/>
          <w:szCs w:val="20"/>
        </w:rPr>
        <w:lastRenderedPageBreak/>
        <w:t>Maintenance and repair ser</w:t>
      </w:r>
      <w:r>
        <w:rPr>
          <w:b/>
          <w:sz w:val="20"/>
          <w:szCs w:val="20"/>
        </w:rPr>
        <w:t>vices</w:t>
      </w:r>
    </w:p>
    <w:p w:rsidR="00187E8D" w:rsidRPr="00DC6F24" w:rsidRDefault="00187E8D" w:rsidP="00187E8D">
      <w:pPr>
        <w:ind w:left="900"/>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Transport</w:t>
      </w:r>
    </w:p>
    <w:p w:rsidR="00187E8D" w:rsidRPr="00DC6F24" w:rsidRDefault="00187E8D" w:rsidP="00187E8D">
      <w:pPr>
        <w:ind w:left="900"/>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Travel</w:t>
      </w:r>
    </w:p>
    <w:p w:rsidR="00187E8D" w:rsidRPr="00DC6F24" w:rsidRDefault="00187E8D" w:rsidP="00187E8D">
      <w:pPr>
        <w:ind w:left="900"/>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Construction Services</w:t>
      </w:r>
    </w:p>
    <w:p w:rsidR="00187E8D" w:rsidRPr="00DC6F24" w:rsidRDefault="00187E8D" w:rsidP="00187E8D">
      <w:pPr>
        <w:ind w:left="900"/>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 xml:space="preserve">Insurance and pension services </w:t>
      </w:r>
    </w:p>
    <w:p w:rsidR="00187E8D" w:rsidRPr="00DC6F24" w:rsidRDefault="00187E8D" w:rsidP="00187E8D">
      <w:pPr>
        <w:ind w:left="900"/>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187E8D">
      <w:pPr>
        <w:ind w:left="900"/>
        <w:jc w:val="both"/>
        <w:rPr>
          <w:sz w:val="20"/>
          <w:szCs w:val="20"/>
        </w:rPr>
      </w:pPr>
    </w:p>
    <w:p w:rsidR="00187E8D" w:rsidRPr="00DC6F24" w:rsidRDefault="00187E8D" w:rsidP="00187E8D">
      <w:pPr>
        <w:ind w:left="900"/>
        <w:jc w:val="both"/>
        <w:rPr>
          <w:b/>
          <w:sz w:val="20"/>
          <w:szCs w:val="20"/>
        </w:rPr>
      </w:pPr>
      <w:r w:rsidRPr="00DC6F24">
        <w:rPr>
          <w:b/>
          <w:sz w:val="20"/>
          <w:szCs w:val="20"/>
        </w:rPr>
        <w:t>Financial Services</w:t>
      </w:r>
    </w:p>
    <w:p w:rsidR="00187E8D" w:rsidRPr="00DC6F24" w:rsidRDefault="00187E8D" w:rsidP="00187E8D">
      <w:pPr>
        <w:ind w:left="900"/>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Charges for the us</w:t>
      </w:r>
      <w:r>
        <w:rPr>
          <w:b/>
          <w:sz w:val="20"/>
          <w:szCs w:val="20"/>
        </w:rPr>
        <w:t xml:space="preserve">e of intellectual property </w:t>
      </w:r>
    </w:p>
    <w:p w:rsidR="00187E8D" w:rsidRPr="00DC6F24" w:rsidRDefault="00187E8D" w:rsidP="00187E8D">
      <w:pPr>
        <w:jc w:val="both"/>
        <w:rPr>
          <w:b/>
          <w:bCs/>
          <w:i/>
          <w:iCs/>
          <w:sz w:val="20"/>
          <w:szCs w:val="20"/>
        </w:rPr>
      </w:pPr>
    </w:p>
    <w:p w:rsidR="00187E8D" w:rsidRPr="005356AA" w:rsidRDefault="00187E8D" w:rsidP="00187E8D">
      <w:pPr>
        <w:ind w:left="900"/>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187E8D">
      <w:pPr>
        <w:ind w:left="900"/>
        <w:jc w:val="both"/>
        <w:rPr>
          <w:b/>
          <w:bCs/>
          <w:i/>
          <w:iCs/>
          <w:sz w:val="20"/>
          <w:szCs w:val="20"/>
        </w:rPr>
      </w:pPr>
    </w:p>
    <w:p w:rsidR="00187E8D" w:rsidRPr="00DC6F24" w:rsidRDefault="00187E8D" w:rsidP="00187E8D">
      <w:pPr>
        <w:ind w:left="900"/>
        <w:jc w:val="both"/>
        <w:rPr>
          <w:b/>
          <w:sz w:val="20"/>
          <w:szCs w:val="20"/>
        </w:rPr>
      </w:pPr>
      <w:r w:rsidRPr="00DC6F24">
        <w:rPr>
          <w:b/>
          <w:sz w:val="20"/>
          <w:szCs w:val="20"/>
        </w:rPr>
        <w:t>Telecommunications, computer, and information services</w:t>
      </w:r>
    </w:p>
    <w:p w:rsidR="00187E8D" w:rsidRPr="00DC6F24" w:rsidRDefault="00187E8D" w:rsidP="00187E8D">
      <w:pPr>
        <w:ind w:left="900"/>
        <w:jc w:val="both"/>
        <w:rPr>
          <w:b/>
          <w:bCs/>
          <w:sz w:val="20"/>
          <w:szCs w:val="20"/>
        </w:rPr>
      </w:pPr>
    </w:p>
    <w:p w:rsidR="00187E8D" w:rsidRPr="00DC6F24" w:rsidRDefault="00187E8D" w:rsidP="00187E8D">
      <w:pPr>
        <w:ind w:left="900"/>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187E8D" w:rsidRPr="00DC6F24" w:rsidRDefault="00187E8D" w:rsidP="00187E8D">
      <w:pPr>
        <w:ind w:left="900"/>
        <w:jc w:val="both"/>
        <w:rPr>
          <w:b/>
          <w:bCs/>
          <w:sz w:val="20"/>
          <w:szCs w:val="20"/>
        </w:rPr>
      </w:pPr>
      <w:r w:rsidRPr="00DC6F24">
        <w:rPr>
          <w:b/>
          <w:bCs/>
          <w:sz w:val="20"/>
          <w:szCs w:val="20"/>
        </w:rPr>
        <w:lastRenderedPageBreak/>
        <w:t>Other Business Services</w:t>
      </w:r>
    </w:p>
    <w:p w:rsidR="00187E8D" w:rsidRPr="00DC6F24" w:rsidRDefault="00187E8D" w:rsidP="00187E8D">
      <w:pPr>
        <w:ind w:left="900"/>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187E8D">
      <w:pPr>
        <w:ind w:left="900"/>
        <w:jc w:val="both"/>
        <w:rPr>
          <w:bCs/>
          <w:sz w:val="20"/>
          <w:szCs w:val="20"/>
        </w:rPr>
      </w:pPr>
    </w:p>
    <w:p w:rsidR="00187E8D" w:rsidRPr="00DC6F24" w:rsidRDefault="00187E8D" w:rsidP="00187E8D">
      <w:pPr>
        <w:ind w:left="900"/>
        <w:jc w:val="both"/>
        <w:rPr>
          <w:b/>
          <w:bCs/>
          <w:sz w:val="20"/>
          <w:szCs w:val="20"/>
        </w:rPr>
      </w:pPr>
      <w:r w:rsidRPr="00DC6F24">
        <w:rPr>
          <w:b/>
          <w:bCs/>
          <w:sz w:val="20"/>
          <w:szCs w:val="20"/>
        </w:rPr>
        <w:t xml:space="preserve">Personal, Cultural and Recreational Services </w:t>
      </w:r>
    </w:p>
    <w:p w:rsidR="00187E8D" w:rsidRPr="00DC6F24" w:rsidRDefault="00187E8D" w:rsidP="00187E8D">
      <w:pPr>
        <w:ind w:left="900"/>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187E8D">
      <w:pPr>
        <w:ind w:left="900"/>
        <w:jc w:val="both"/>
        <w:rPr>
          <w:sz w:val="20"/>
          <w:szCs w:val="20"/>
        </w:rPr>
      </w:pPr>
    </w:p>
    <w:p w:rsidR="00187E8D" w:rsidRPr="00DC6F24" w:rsidRDefault="00187E8D" w:rsidP="00187E8D">
      <w:pPr>
        <w:ind w:left="900"/>
        <w:jc w:val="both"/>
        <w:rPr>
          <w:bCs/>
          <w:sz w:val="20"/>
          <w:szCs w:val="20"/>
        </w:rPr>
      </w:pPr>
      <w:r w:rsidRPr="00DC6F24">
        <w:rPr>
          <w:b/>
          <w:bCs/>
          <w:sz w:val="20"/>
          <w:szCs w:val="20"/>
        </w:rPr>
        <w:t>Government Services</w:t>
      </w:r>
      <w:r w:rsidRPr="00DC6F24">
        <w:rPr>
          <w:bCs/>
          <w:sz w:val="20"/>
          <w:szCs w:val="20"/>
        </w:rPr>
        <w:t xml:space="preserve"> </w:t>
      </w:r>
    </w:p>
    <w:p w:rsidR="00187E8D" w:rsidRPr="00DC6F24" w:rsidRDefault="00187E8D" w:rsidP="00187E8D">
      <w:pPr>
        <w:ind w:left="900"/>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187E8D">
      <w:pPr>
        <w:ind w:left="900"/>
        <w:jc w:val="both"/>
        <w:rPr>
          <w:sz w:val="20"/>
          <w:szCs w:val="20"/>
        </w:rPr>
      </w:pPr>
    </w:p>
    <w:p w:rsidR="00187E8D" w:rsidRPr="002F011A" w:rsidRDefault="00187E8D" w:rsidP="002F011A">
      <w:pPr>
        <w:ind w:left="900"/>
        <w:jc w:val="both"/>
        <w:rPr>
          <w:b/>
          <w:sz w:val="20"/>
          <w:szCs w:val="20"/>
        </w:rPr>
      </w:pPr>
      <w:r w:rsidRPr="002F011A">
        <w:rPr>
          <w:b/>
          <w:sz w:val="20"/>
          <w:szCs w:val="20"/>
        </w:rPr>
        <w:t>Primary Income</w:t>
      </w:r>
    </w:p>
    <w:p w:rsidR="00187E8D" w:rsidRPr="00DC6F24" w:rsidRDefault="00187E8D" w:rsidP="00187E8D">
      <w:pPr>
        <w:ind w:left="900"/>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Compensation of Employees</w:t>
      </w:r>
    </w:p>
    <w:p w:rsidR="00187E8D" w:rsidRPr="00DC6F24" w:rsidRDefault="00187E8D" w:rsidP="00187E8D">
      <w:pPr>
        <w:ind w:left="900"/>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187E8D">
      <w:pPr>
        <w:jc w:val="both"/>
        <w:rPr>
          <w:sz w:val="20"/>
          <w:szCs w:val="20"/>
        </w:rPr>
      </w:pPr>
    </w:p>
    <w:p w:rsidR="00187E8D" w:rsidRPr="00DC6F24" w:rsidRDefault="00187E8D" w:rsidP="00187E8D">
      <w:pPr>
        <w:jc w:val="both"/>
        <w:rPr>
          <w:sz w:val="20"/>
          <w:szCs w:val="20"/>
        </w:rPr>
      </w:pPr>
    </w:p>
    <w:p w:rsidR="00187E8D" w:rsidRPr="00DC6F24" w:rsidRDefault="00187E8D" w:rsidP="00187E8D">
      <w:pPr>
        <w:ind w:left="900"/>
        <w:jc w:val="both"/>
        <w:rPr>
          <w:b/>
          <w:bCs/>
          <w:sz w:val="20"/>
          <w:szCs w:val="20"/>
        </w:rPr>
      </w:pPr>
      <w:r w:rsidRPr="00DC6F24">
        <w:rPr>
          <w:b/>
          <w:bCs/>
          <w:sz w:val="20"/>
          <w:szCs w:val="20"/>
        </w:rPr>
        <w:t>Direct Investment Income</w:t>
      </w:r>
    </w:p>
    <w:p w:rsidR="00187E8D" w:rsidRPr="00DC6F24" w:rsidRDefault="00187E8D" w:rsidP="00187E8D">
      <w:pPr>
        <w:ind w:left="900"/>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187E8D">
      <w:pPr>
        <w:ind w:left="900"/>
        <w:jc w:val="both"/>
        <w:rPr>
          <w:sz w:val="20"/>
          <w:szCs w:val="20"/>
        </w:rPr>
      </w:pPr>
    </w:p>
    <w:p w:rsidR="00187E8D" w:rsidRPr="00DC6F24" w:rsidRDefault="00187E8D" w:rsidP="00187E8D">
      <w:pPr>
        <w:tabs>
          <w:tab w:val="left" w:pos="360"/>
          <w:tab w:val="right" w:pos="9360"/>
        </w:tabs>
        <w:ind w:left="900"/>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187E8D">
      <w:pPr>
        <w:tabs>
          <w:tab w:val="left" w:pos="360"/>
        </w:tabs>
        <w:ind w:left="900"/>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187E8D">
      <w:pPr>
        <w:tabs>
          <w:tab w:val="left" w:pos="360"/>
        </w:tabs>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 Income</w:t>
      </w:r>
    </w:p>
    <w:p w:rsidR="00187E8D" w:rsidRPr="00DC6F24" w:rsidRDefault="00187E8D" w:rsidP="00187E8D">
      <w:pPr>
        <w:ind w:left="900"/>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187E8D">
      <w:pPr>
        <w:tabs>
          <w:tab w:val="left" w:pos="360"/>
        </w:tabs>
        <w:ind w:left="900"/>
        <w:jc w:val="both"/>
        <w:rPr>
          <w:sz w:val="20"/>
          <w:szCs w:val="20"/>
        </w:rPr>
      </w:pPr>
    </w:p>
    <w:p w:rsidR="00187E8D" w:rsidRPr="00DC6F24" w:rsidRDefault="00187E8D" w:rsidP="00D62EE8">
      <w:pPr>
        <w:ind w:left="900"/>
        <w:jc w:val="both"/>
        <w:rPr>
          <w:b/>
          <w:bCs/>
          <w:sz w:val="20"/>
          <w:szCs w:val="20"/>
        </w:rPr>
      </w:pPr>
      <w:r w:rsidRPr="00DC6F24">
        <w:rPr>
          <w:b/>
          <w:bCs/>
          <w:sz w:val="20"/>
          <w:szCs w:val="20"/>
        </w:rPr>
        <w:t>Secondary Income</w:t>
      </w:r>
    </w:p>
    <w:p w:rsidR="00187E8D" w:rsidRPr="00DC6F24" w:rsidRDefault="00187E8D" w:rsidP="00D62EE8">
      <w:pPr>
        <w:ind w:left="900"/>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87E8D" w:rsidRDefault="00187E8D" w:rsidP="00187E8D">
      <w:pPr>
        <w:pStyle w:val="Default"/>
        <w:rPr>
          <w:color w:val="auto"/>
          <w:sz w:val="23"/>
          <w:szCs w:val="23"/>
        </w:rPr>
      </w:pPr>
    </w:p>
    <w:p w:rsidR="00187E8D" w:rsidRPr="00DC6F24" w:rsidRDefault="00187E8D" w:rsidP="00187E8D">
      <w:pPr>
        <w:pStyle w:val="Default"/>
        <w:rPr>
          <w:color w:val="auto"/>
          <w:sz w:val="23"/>
          <w:szCs w:val="23"/>
        </w:rPr>
      </w:pPr>
    </w:p>
    <w:p w:rsidR="00187E8D" w:rsidRPr="00DC6F24" w:rsidRDefault="00187E8D" w:rsidP="00187E8D">
      <w:pPr>
        <w:jc w:val="both"/>
        <w:rPr>
          <w:b/>
          <w:bCs/>
          <w:sz w:val="20"/>
          <w:szCs w:val="20"/>
        </w:rPr>
      </w:pPr>
      <w:r w:rsidRPr="00DC6F24">
        <w:rPr>
          <w:b/>
          <w:bCs/>
          <w:sz w:val="20"/>
          <w:szCs w:val="20"/>
        </w:rPr>
        <w:lastRenderedPageBreak/>
        <w:t>Capital Account</w:t>
      </w:r>
    </w:p>
    <w:p w:rsidR="00187E8D" w:rsidRPr="00DC6F24" w:rsidRDefault="00187E8D" w:rsidP="00187E8D">
      <w:pPr>
        <w:autoSpaceDE w:val="0"/>
        <w:autoSpaceDN w:val="0"/>
        <w:adjustRightInd w:val="0"/>
        <w:rPr>
          <w:sz w:val="20"/>
          <w:szCs w:val="20"/>
        </w:rPr>
      </w:pPr>
      <w:r w:rsidRPr="005356AA">
        <w:rPr>
          <w:sz w:val="20"/>
          <w:szCs w:val="20"/>
        </w:rPr>
        <w:t>The capital account in the international accounts shows (a) capital transfers receivable and payable between residents and nonresidents and (b) the acquisition and disposal of nonproduced,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187E8D">
      <w:pPr>
        <w:ind w:left="900"/>
        <w:jc w:val="both"/>
        <w:rPr>
          <w:b/>
          <w:bCs/>
          <w:sz w:val="20"/>
          <w:szCs w:val="20"/>
        </w:rPr>
      </w:pPr>
      <w:r w:rsidRPr="00DC6F24">
        <w:rPr>
          <w:b/>
          <w:bCs/>
          <w:sz w:val="20"/>
          <w:szCs w:val="20"/>
        </w:rPr>
        <w:t>Capital Transfer</w:t>
      </w:r>
    </w:p>
    <w:p w:rsidR="00187E8D" w:rsidRPr="00DC6F24" w:rsidRDefault="00187E8D" w:rsidP="00187E8D">
      <w:pPr>
        <w:autoSpaceDE w:val="0"/>
        <w:autoSpaceDN w:val="0"/>
        <w:adjustRightInd w:val="0"/>
        <w:ind w:left="900"/>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187E8D">
      <w:pPr>
        <w:jc w:val="both"/>
        <w:rPr>
          <w:sz w:val="20"/>
          <w:szCs w:val="20"/>
        </w:rPr>
      </w:pPr>
    </w:p>
    <w:p w:rsidR="00187E8D" w:rsidRPr="00DC6F24" w:rsidRDefault="00187E8D" w:rsidP="00187E8D">
      <w:pPr>
        <w:ind w:left="900"/>
        <w:jc w:val="both"/>
        <w:rPr>
          <w:sz w:val="20"/>
          <w:szCs w:val="20"/>
        </w:rPr>
      </w:pPr>
      <w:r w:rsidRPr="00DC6F24">
        <w:rPr>
          <w:b/>
          <w:bCs/>
          <w:sz w:val="20"/>
          <w:szCs w:val="20"/>
        </w:rPr>
        <w:t>Acquisition/Disposal of Non-Produced, Non-Financial Assets</w:t>
      </w:r>
    </w:p>
    <w:p w:rsidR="00187E8D" w:rsidRPr="00DC6F24" w:rsidRDefault="00187E8D" w:rsidP="00187E8D">
      <w:pPr>
        <w:ind w:left="900"/>
        <w:jc w:val="both"/>
        <w:rPr>
          <w:b/>
          <w:bCs/>
          <w:sz w:val="20"/>
          <w:szCs w:val="20"/>
        </w:rPr>
      </w:pPr>
      <w:r w:rsidRPr="001A1D2A">
        <w:rPr>
          <w:sz w:val="20"/>
          <w:szCs w:val="20"/>
        </w:rPr>
        <w:t>Nonproduced,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187E8D">
      <w:pPr>
        <w:ind w:left="900"/>
        <w:jc w:val="both"/>
        <w:rPr>
          <w:b/>
          <w:bCs/>
          <w:sz w:val="20"/>
          <w:szCs w:val="20"/>
        </w:rPr>
      </w:pPr>
      <w:r w:rsidRPr="00DC6F24">
        <w:rPr>
          <w:b/>
          <w:bCs/>
          <w:sz w:val="20"/>
          <w:szCs w:val="20"/>
        </w:rPr>
        <w:t>Direct Investment</w:t>
      </w:r>
    </w:p>
    <w:p w:rsidR="00187E8D" w:rsidRPr="00DC6F24" w:rsidRDefault="00187E8D" w:rsidP="00187E8D">
      <w:pPr>
        <w:ind w:left="900"/>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Portfolio Investment</w:t>
      </w:r>
    </w:p>
    <w:p w:rsidR="00187E8D" w:rsidRPr="00DC6F24" w:rsidRDefault="00187E8D" w:rsidP="00187E8D">
      <w:pPr>
        <w:ind w:left="900"/>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w:t>
      </w:r>
    </w:p>
    <w:p w:rsidR="00187E8D" w:rsidRPr="00DC6F24" w:rsidRDefault="00187E8D" w:rsidP="00187E8D">
      <w:pPr>
        <w:ind w:left="900"/>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187E8D">
      <w:pPr>
        <w:ind w:left="900"/>
        <w:jc w:val="both"/>
        <w:rPr>
          <w:b/>
          <w:bCs/>
          <w:sz w:val="20"/>
          <w:szCs w:val="20"/>
        </w:rPr>
      </w:pPr>
    </w:p>
    <w:p w:rsidR="00187E8D" w:rsidRPr="00DC6F24" w:rsidRDefault="00187E8D" w:rsidP="00187E8D">
      <w:pPr>
        <w:ind w:left="900"/>
        <w:jc w:val="both"/>
        <w:rPr>
          <w:b/>
          <w:bCs/>
          <w:sz w:val="20"/>
          <w:szCs w:val="20"/>
        </w:rPr>
      </w:pPr>
      <w:r w:rsidRPr="00DC6F24">
        <w:rPr>
          <w:b/>
          <w:bCs/>
          <w:sz w:val="20"/>
          <w:szCs w:val="20"/>
        </w:rPr>
        <w:t>Reserves Assets</w:t>
      </w:r>
    </w:p>
    <w:p w:rsidR="00187E8D" w:rsidRDefault="00187E8D" w:rsidP="00187E8D">
      <w:pPr>
        <w:autoSpaceDE w:val="0"/>
        <w:autoSpaceDN w:val="0"/>
        <w:adjustRightInd w:val="0"/>
        <w:ind w:left="900"/>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187E8D" w:rsidRDefault="00187E8D" w:rsidP="00187E8D">
      <w:pPr>
        <w:autoSpaceDE w:val="0"/>
        <w:autoSpaceDN w:val="0"/>
        <w:adjustRightInd w:val="0"/>
        <w:ind w:left="900"/>
        <w:rPr>
          <w:sz w:val="20"/>
          <w:szCs w:val="20"/>
        </w:rPr>
      </w:pPr>
    </w:p>
    <w:p w:rsidR="00187E8D" w:rsidRDefault="00187E8D" w:rsidP="00187E8D">
      <w:pPr>
        <w:autoSpaceDE w:val="0"/>
        <w:autoSpaceDN w:val="0"/>
        <w:adjustRightInd w:val="0"/>
        <w:ind w:left="900"/>
        <w:rPr>
          <w:sz w:val="20"/>
          <w:szCs w:val="20"/>
        </w:rPr>
      </w:pP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lastRenderedPageBreak/>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w:lastRenderedPageBreak/>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i/>
          <w:sz w:val="20"/>
          <w:szCs w:val="20"/>
        </w:rPr>
      </w:pPr>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p>
    <w:p w:rsidR="004E2AA5" w:rsidRPr="006F593A" w:rsidRDefault="004E2AA5" w:rsidP="004E2AA5">
      <w:pPr>
        <w:jc w:val="both"/>
        <w:rPr>
          <w:sz w:val="20"/>
          <w:szCs w:val="20"/>
        </w:rPr>
      </w:pP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i/>
          <w:sz w:val="20"/>
          <w:szCs w:val="20"/>
        </w:rPr>
      </w:pPr>
    </w:p>
    <w:p w:rsidR="004E2AA5" w:rsidRPr="006F593A" w:rsidRDefault="00497EC3" w:rsidP="004E2AA5">
      <w:pPr>
        <w:jc w:val="both"/>
        <w:rPr>
          <w:sz w:val="20"/>
          <w:szCs w:val="20"/>
        </w:rPr>
      </w:pPr>
      <m:oMathPara>
        <m:oMathParaPr>
          <m:jc m:val="left"/>
        </m:oMathParaPr>
        <m:oMath>
          <m:r>
            <m:rPr>
              <m:sty m:val="p"/>
            </m:rPr>
            <w:rPr>
              <w:rFonts w:ascii="Cambria Math" w:hAnsi="Cambria Math" w:cs="Cambria Math"/>
            </w:rPr>
            <m:t>Quantum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B633E6" w:rsidRPr="006F593A" w:rsidRDefault="00B633E6" w:rsidP="00187E8D">
      <w:pPr>
        <w:jc w:val="both"/>
        <w:rPr>
          <w:sz w:val="20"/>
          <w:szCs w:val="20"/>
        </w:rPr>
      </w:pP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A77F2C">
      <w:pPr>
        <w:jc w:val="both"/>
        <w:rPr>
          <w:b/>
          <w:sz w:val="20"/>
          <w:szCs w:val="20"/>
        </w:rPr>
      </w:pPr>
    </w:p>
    <w:p w:rsidR="00A77F2C" w:rsidRPr="006F593A" w:rsidRDefault="00A77F2C" w:rsidP="00A77F2C">
      <w:pPr>
        <w:numPr>
          <w:ilvl w:val="0"/>
          <w:numId w:val="14"/>
        </w:numPr>
        <w:jc w:val="both"/>
        <w:rPr>
          <w:b/>
          <w:sz w:val="20"/>
          <w:szCs w:val="20"/>
        </w:rPr>
      </w:pPr>
      <w:r w:rsidRPr="006F593A">
        <w:rPr>
          <w:b/>
          <w:sz w:val="20"/>
          <w:szCs w:val="20"/>
        </w:rPr>
        <w:t>Bahbood Savings Certificates</w:t>
      </w:r>
    </w:p>
    <w:p w:rsidR="00A77F2C" w:rsidRPr="006F593A" w:rsidRDefault="00A77F2C" w:rsidP="00A77F2C">
      <w:pPr>
        <w:tabs>
          <w:tab w:val="num" w:pos="900"/>
        </w:tabs>
        <w:ind w:left="720"/>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rsidR="004E2AA5" w:rsidRPr="006F593A" w:rsidRDefault="004E2AA5" w:rsidP="00707E81">
      <w:pPr>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Defence Saving Certificates</w:t>
      </w:r>
    </w:p>
    <w:p w:rsidR="00A77F2C" w:rsidRPr="006F593A" w:rsidRDefault="00A77F2C" w:rsidP="00A77F2C">
      <w:pPr>
        <w:tabs>
          <w:tab w:val="num" w:pos="900"/>
        </w:tabs>
        <w:ind w:left="720"/>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 xml:space="preserve">nt of Pakistan introduced Defence Saving Certificates scheme in the year 1966. This is the only scheme having 10 years' maturity with built-in feature of automatic </w:t>
      </w:r>
      <w:r w:rsidRPr="006F593A">
        <w:rPr>
          <w:sz w:val="20"/>
          <w:szCs w:val="20"/>
        </w:rPr>
        <w:lastRenderedPageBreak/>
        <w:t>reinvestment after the maturity. These certificates are available in the denominations of  Rs.500, Rs.1000, Rs.5,000, Rs.10,000, Rs.50,000, Rs.100,000, Rs.500,000 and Rs.1,000,000. The minimum investment limit is Rs.500/-, however, there is no maximum limit of investment in this scheme.</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Pensioners' Benefit Account</w:t>
      </w:r>
    </w:p>
    <w:p w:rsidR="00A77F2C" w:rsidRPr="006F593A" w:rsidRDefault="00A77F2C" w:rsidP="00A77F2C">
      <w:pPr>
        <w:tabs>
          <w:tab w:val="num" w:pos="900"/>
        </w:tabs>
        <w:ind w:left="720"/>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Regular Income Certificates</w:t>
      </w:r>
    </w:p>
    <w:p w:rsidR="002465AA" w:rsidRDefault="00A77F2C" w:rsidP="003F3C65">
      <w:pPr>
        <w:tabs>
          <w:tab w:val="num" w:pos="900"/>
        </w:tabs>
        <w:ind w:left="720"/>
        <w:jc w:val="both"/>
        <w:rPr>
          <w:sz w:val="20"/>
          <w:szCs w:val="20"/>
        </w:rPr>
      </w:pPr>
      <w:r w:rsidRPr="006F593A">
        <w:rPr>
          <w:sz w:val="20"/>
          <w:szCs w:val="20"/>
        </w:rPr>
        <w:t xml:space="preserve">This five years' maturity scheme for general public was launched on 2nd February, 1993Profit on this scheme is paid on monthly basis reckoned from the date of issue of certificates. These certificates are available in the denomination of Rs.50,000, Rs.100,000, Rs.500,000, Rs.1,000,000, Rs.5,000,000 &amp; Rs.10,000,000. </w:t>
      </w:r>
    </w:p>
    <w:p w:rsidR="002465AA" w:rsidRPr="006F593A" w:rsidRDefault="002465AA"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Savings Accounts</w:t>
      </w:r>
    </w:p>
    <w:p w:rsidR="00A77F2C" w:rsidRPr="006F593A" w:rsidRDefault="00A77F2C" w:rsidP="00A77F2C">
      <w:pPr>
        <w:tabs>
          <w:tab w:val="num" w:pos="900"/>
        </w:tabs>
        <w:ind w:left="720"/>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tabs>
          <w:tab w:val="num" w:pos="900"/>
        </w:tabs>
        <w:jc w:val="both"/>
        <w:rPr>
          <w:b/>
          <w:sz w:val="20"/>
          <w:szCs w:val="20"/>
        </w:rPr>
      </w:pPr>
      <w:r w:rsidRPr="006F593A">
        <w:rPr>
          <w:b/>
          <w:sz w:val="20"/>
          <w:szCs w:val="20"/>
        </w:rPr>
        <w:t>Special Savings Accounts</w:t>
      </w:r>
    </w:p>
    <w:p w:rsidR="00A77F2C" w:rsidRPr="006F593A" w:rsidRDefault="00A77F2C" w:rsidP="00A77F2C">
      <w:pPr>
        <w:tabs>
          <w:tab w:val="num" w:pos="900"/>
        </w:tabs>
        <w:ind w:left="720"/>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Special Savings Certificates (Registered)</w:t>
      </w:r>
    </w:p>
    <w:p w:rsidR="00A77F2C" w:rsidRPr="006F593A" w:rsidRDefault="00A77F2C" w:rsidP="00A77F2C">
      <w:pPr>
        <w:tabs>
          <w:tab w:val="num" w:pos="900"/>
        </w:tabs>
        <w:ind w:left="720"/>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rsidR="00A77F2C" w:rsidRPr="006F593A" w:rsidRDefault="00A77F2C" w:rsidP="00A77F2C">
      <w:pPr>
        <w:numPr>
          <w:ilvl w:val="0"/>
          <w:numId w:val="14"/>
        </w:numPr>
        <w:jc w:val="both"/>
        <w:rPr>
          <w:b/>
          <w:sz w:val="20"/>
          <w:szCs w:val="20"/>
        </w:rPr>
      </w:pPr>
      <w:r w:rsidRPr="006F593A">
        <w:rPr>
          <w:b/>
          <w:sz w:val="20"/>
          <w:szCs w:val="20"/>
        </w:rPr>
        <w:t>National Savings Bonds:</w:t>
      </w:r>
    </w:p>
    <w:p w:rsidR="00A77F2C" w:rsidRPr="006F593A" w:rsidRDefault="00A77F2C" w:rsidP="00A77F2C">
      <w:pPr>
        <w:ind w:left="720"/>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A77F2C" w:rsidRPr="006F593A" w:rsidRDefault="00A77F2C" w:rsidP="00837B4D">
      <w:pPr>
        <w:jc w:val="both"/>
        <w:rPr>
          <w:b/>
          <w:sz w:val="20"/>
          <w:szCs w:val="20"/>
        </w:rPr>
      </w:pPr>
    </w:p>
    <w:p w:rsidR="002764E2" w:rsidRPr="006F593A" w:rsidRDefault="002764E2" w:rsidP="00837B4D">
      <w:pPr>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3F3C65" w:rsidRPr="006F593A" w:rsidRDefault="003F3C65" w:rsidP="00837B4D">
      <w:pPr>
        <w:jc w:val="both"/>
        <w:rPr>
          <w:sz w:val="20"/>
          <w:szCs w:val="20"/>
        </w:rPr>
      </w:pPr>
    </w:p>
    <w:p w:rsidR="000B2EB2" w:rsidRPr="006F593A" w:rsidRDefault="000B2EB2" w:rsidP="00837B4D">
      <w:pPr>
        <w:numPr>
          <w:ilvl w:val="0"/>
          <w:numId w:val="9"/>
        </w:numPr>
        <w:jc w:val="both"/>
        <w:rPr>
          <w:b/>
          <w:sz w:val="20"/>
          <w:szCs w:val="20"/>
        </w:rPr>
      </w:pPr>
      <w:r w:rsidRPr="006F593A">
        <w:rPr>
          <w:b/>
          <w:sz w:val="20"/>
          <w:szCs w:val="20"/>
        </w:rPr>
        <w:t xml:space="preserve">Permanent Debt </w:t>
      </w:r>
    </w:p>
    <w:p w:rsidR="000B2EB2" w:rsidRPr="006F593A" w:rsidRDefault="000B2EB2" w:rsidP="00837B4D">
      <w:pPr>
        <w:ind w:left="720"/>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837B4D">
      <w:pPr>
        <w:ind w:left="720"/>
        <w:jc w:val="both"/>
        <w:rPr>
          <w:sz w:val="20"/>
          <w:szCs w:val="20"/>
        </w:rPr>
      </w:pPr>
    </w:p>
    <w:p w:rsidR="00170737" w:rsidRPr="006F593A" w:rsidRDefault="00170737" w:rsidP="00837B4D">
      <w:pPr>
        <w:numPr>
          <w:ilvl w:val="0"/>
          <w:numId w:val="9"/>
        </w:numPr>
        <w:jc w:val="both"/>
        <w:rPr>
          <w:b/>
          <w:sz w:val="20"/>
          <w:szCs w:val="20"/>
        </w:rPr>
      </w:pPr>
      <w:r w:rsidRPr="006F593A">
        <w:rPr>
          <w:b/>
          <w:sz w:val="20"/>
          <w:szCs w:val="20"/>
        </w:rPr>
        <w:lastRenderedPageBreak/>
        <w:t xml:space="preserve">Floating Debt </w:t>
      </w:r>
    </w:p>
    <w:p w:rsidR="00170737" w:rsidRPr="006F593A" w:rsidRDefault="00170737" w:rsidP="00837B4D">
      <w:pPr>
        <w:ind w:left="360" w:firstLine="360"/>
        <w:jc w:val="both"/>
        <w:rPr>
          <w:sz w:val="20"/>
          <w:szCs w:val="20"/>
        </w:rPr>
      </w:pPr>
      <w:r w:rsidRPr="006F593A">
        <w:rPr>
          <w:sz w:val="20"/>
          <w:szCs w:val="20"/>
        </w:rPr>
        <w:t>Floating debt consists of short-term borrowing in the form of T-bills.</w:t>
      </w:r>
    </w:p>
    <w:p w:rsidR="00170737" w:rsidRPr="006F593A" w:rsidRDefault="00170737" w:rsidP="00837B4D">
      <w:pPr>
        <w:ind w:left="360" w:firstLine="360"/>
        <w:jc w:val="both"/>
        <w:rPr>
          <w:b/>
          <w:sz w:val="20"/>
          <w:szCs w:val="20"/>
        </w:rPr>
      </w:pPr>
    </w:p>
    <w:p w:rsidR="00856B42" w:rsidRPr="006F593A" w:rsidRDefault="00170737" w:rsidP="00837B4D">
      <w:pPr>
        <w:numPr>
          <w:ilvl w:val="0"/>
          <w:numId w:val="9"/>
        </w:numPr>
        <w:jc w:val="both"/>
        <w:rPr>
          <w:b/>
          <w:sz w:val="20"/>
          <w:szCs w:val="20"/>
        </w:rPr>
      </w:pPr>
      <w:r w:rsidRPr="006F593A">
        <w:rPr>
          <w:b/>
          <w:sz w:val="20"/>
          <w:szCs w:val="20"/>
        </w:rPr>
        <w:t xml:space="preserve">Unfunded  Debt </w:t>
      </w:r>
    </w:p>
    <w:p w:rsidR="00170737" w:rsidRPr="006F593A" w:rsidRDefault="00170737" w:rsidP="00837B4D">
      <w:pPr>
        <w:ind w:left="360" w:firstLine="360"/>
        <w:jc w:val="both"/>
        <w:rPr>
          <w:sz w:val="20"/>
          <w:szCs w:val="20"/>
        </w:rPr>
      </w:pPr>
      <w:r w:rsidRPr="006F593A">
        <w:rPr>
          <w:sz w:val="20"/>
          <w:szCs w:val="20"/>
        </w:rPr>
        <w:t>Unfunded debt refers mostly to outstanding balances of various national saving schemes.</w:t>
      </w:r>
    </w:p>
    <w:p w:rsidR="00B17FEB" w:rsidRPr="006F593A" w:rsidRDefault="00B17FEB" w:rsidP="00837B4D">
      <w:pPr>
        <w:ind w:left="360" w:firstLine="360"/>
        <w:jc w:val="both"/>
        <w:rPr>
          <w:sz w:val="20"/>
          <w:szCs w:val="20"/>
        </w:rPr>
      </w:pPr>
    </w:p>
    <w:p w:rsidR="00B17FEB" w:rsidRPr="006F593A" w:rsidRDefault="00B17FEB" w:rsidP="00837B4D">
      <w:pPr>
        <w:numPr>
          <w:ilvl w:val="0"/>
          <w:numId w:val="9"/>
        </w:numPr>
        <w:jc w:val="both"/>
        <w:rPr>
          <w:b/>
          <w:sz w:val="20"/>
          <w:szCs w:val="20"/>
        </w:rPr>
      </w:pPr>
      <w:r w:rsidRPr="006F593A">
        <w:rPr>
          <w:b/>
          <w:sz w:val="20"/>
          <w:szCs w:val="20"/>
        </w:rPr>
        <w:t xml:space="preserve">Foreign Currency Instruments </w:t>
      </w:r>
    </w:p>
    <w:p w:rsidR="00B17FEB" w:rsidRPr="006F593A" w:rsidRDefault="00B17FEB" w:rsidP="00837B4D">
      <w:pPr>
        <w:ind w:left="720"/>
        <w:jc w:val="both"/>
        <w:rPr>
          <w:sz w:val="20"/>
          <w:szCs w:val="20"/>
        </w:rPr>
      </w:pPr>
      <w:r w:rsidRPr="006F593A">
        <w:rPr>
          <w:sz w:val="20"/>
          <w:szCs w:val="20"/>
        </w:rPr>
        <w:t>It includes FEBCs, FCBCs, DBCs and Special US Dollar Bonds held by the residents.</w:t>
      </w:r>
    </w:p>
    <w:p w:rsidR="00B17FEB" w:rsidRPr="006F593A" w:rsidRDefault="00B17FEB" w:rsidP="00837B4D">
      <w:pPr>
        <w:ind w:left="360" w:firstLine="360"/>
        <w:jc w:val="both"/>
        <w:rPr>
          <w:sz w:val="20"/>
          <w:szCs w:val="20"/>
        </w:rPr>
      </w:pPr>
    </w:p>
    <w:p w:rsidR="00C3546B" w:rsidRPr="006F593A" w:rsidRDefault="00C3546B" w:rsidP="00837B4D">
      <w:pPr>
        <w:tabs>
          <w:tab w:val="num" w:pos="900"/>
        </w:tabs>
        <w:jc w:val="both"/>
        <w:rPr>
          <w:b/>
          <w:sz w:val="20"/>
          <w:szCs w:val="20"/>
        </w:rPr>
      </w:pPr>
    </w:p>
    <w:p w:rsidR="007A0FDB" w:rsidRPr="006F593A" w:rsidRDefault="007A0FDB" w:rsidP="00837B4D">
      <w:pPr>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081334" w:rsidRPr="006F593A" w:rsidRDefault="00081334" w:rsidP="00837B4D">
      <w:pPr>
        <w:jc w:val="both"/>
        <w:rPr>
          <w:b/>
          <w:sz w:val="20"/>
          <w:szCs w:val="20"/>
        </w:rPr>
      </w:pPr>
    </w:p>
    <w:p w:rsidR="00C3546B" w:rsidRPr="006F593A" w:rsidRDefault="00407B21" w:rsidP="00837B4D">
      <w:pPr>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rsidR="00081334" w:rsidRPr="006F593A" w:rsidRDefault="00081334"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9C6F7C" w:rsidP="00837B4D">
      <w:pPr>
        <w:jc w:val="both"/>
        <w:rPr>
          <w:sz w:val="20"/>
          <w:szCs w:val="20"/>
        </w:rPr>
      </w:pPr>
    </w:p>
    <w:p w:rsidR="009C6F7C" w:rsidRPr="006F593A" w:rsidRDefault="004274E1" w:rsidP="00837B4D">
      <w:pPr>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rsidR="009C6F7C" w:rsidRPr="006F593A" w:rsidRDefault="009C6F7C" w:rsidP="00837B4D">
      <w:pPr>
        <w:jc w:val="both"/>
        <w:rPr>
          <w:sz w:val="20"/>
          <w:szCs w:val="20"/>
        </w:rPr>
      </w:pPr>
      <w:r w:rsidRPr="006F593A">
        <w:rPr>
          <w:sz w:val="20"/>
          <w:szCs w:val="20"/>
        </w:rPr>
        <w:t xml:space="preserve"> </w:t>
      </w:r>
    </w:p>
    <w:p w:rsidR="009C6F7C" w:rsidRPr="006F593A" w:rsidRDefault="009C6F7C" w:rsidP="00837B4D">
      <w:pPr>
        <w:jc w:val="both"/>
        <w:rPr>
          <w:b/>
          <w:sz w:val="20"/>
          <w:szCs w:val="20"/>
        </w:rPr>
      </w:pP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707E81" w:rsidRPr="006F593A" w:rsidRDefault="00707E81" w:rsidP="008124D3">
      <w:pPr>
        <w:jc w:val="both"/>
        <w:rPr>
          <w:sz w:val="20"/>
          <w:szCs w:val="20"/>
        </w:rPr>
      </w:pPr>
    </w:p>
    <w:p w:rsidR="009C6F7C" w:rsidRPr="006F593A" w:rsidRDefault="009C6F7C" w:rsidP="00837B4D">
      <w:pPr>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837B4D">
      <w:pPr>
        <w:jc w:val="both"/>
        <w:rPr>
          <w:b/>
          <w:sz w:val="20"/>
          <w:szCs w:val="20"/>
        </w:rPr>
      </w:pPr>
      <w:r w:rsidRPr="006F593A">
        <w:rPr>
          <w:b/>
          <w:sz w:val="20"/>
          <w:szCs w:val="20"/>
        </w:rPr>
        <w:lastRenderedPageBreak/>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(with out physical form) form with interest payment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Interbank clean (without collateral) lending/borrowing rates quoted by the banks on Reuters are called Kibor Rates. The banks under this arrangement quote these rates at specified time i.e. 11.30 AM at Reuters. Currently 20 banks are member of Kibor club and by excluding 4 upper and 4 lower extremes, rates are averaged out that are quoted for both ends viz: offer as well bid. The tenors available in Kibor are one week to 3 years. KIBOR is used as a benchmark for corporate lending rates.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8124D3" w:rsidRPr="006F593A" w:rsidRDefault="008124D3" w:rsidP="00837B4D">
      <w:pPr>
        <w:jc w:val="both"/>
        <w:rPr>
          <w:b/>
          <w:sz w:val="20"/>
          <w:szCs w:val="20"/>
        </w:rPr>
      </w:pPr>
    </w:p>
    <w:p w:rsidR="009C6F7C" w:rsidRPr="006F593A" w:rsidRDefault="009C6F7C" w:rsidP="00837B4D">
      <w:pPr>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Default="002465AA" w:rsidP="00837B4D">
      <w:pPr>
        <w:jc w:val="both"/>
        <w:rPr>
          <w:b/>
          <w:sz w:val="28"/>
          <w:szCs w:val="28"/>
          <w:u w:val="single"/>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DC00A0" w:rsidRPr="006F593A" w:rsidRDefault="00DC00A0" w:rsidP="00837B4D">
      <w:pPr>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rsidR="006F796E" w:rsidRPr="006F593A" w:rsidRDefault="006F796E"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837B4D">
      <w:pPr>
        <w:autoSpaceDE w:val="0"/>
        <w:autoSpaceDN w:val="0"/>
        <w:jc w:val="both"/>
        <w:rPr>
          <w:sz w:val="20"/>
          <w:szCs w:val="20"/>
        </w:rPr>
      </w:pPr>
    </w:p>
    <w:p w:rsidR="006F796E" w:rsidRPr="006F593A" w:rsidRDefault="006F796E" w:rsidP="00837B4D">
      <w:pPr>
        <w:tabs>
          <w:tab w:val="left" w:pos="709"/>
        </w:tabs>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84760D" w:rsidRPr="006F593A" w:rsidRDefault="0084760D" w:rsidP="00837B4D">
      <w:pPr>
        <w:jc w:val="both"/>
        <w:rPr>
          <w:b/>
          <w:sz w:val="20"/>
          <w:szCs w:val="20"/>
        </w:rPr>
      </w:pPr>
    </w:p>
    <w:p w:rsidR="00707E81" w:rsidRDefault="00707E81" w:rsidP="00837B4D">
      <w:pPr>
        <w:jc w:val="both"/>
        <w:rPr>
          <w:b/>
          <w:sz w:val="20"/>
          <w:szCs w:val="20"/>
        </w:rPr>
      </w:pPr>
    </w:p>
    <w:p w:rsidR="00164394" w:rsidRPr="006F593A" w:rsidRDefault="00164394" w:rsidP="00837B4D">
      <w:pPr>
        <w:jc w:val="both"/>
        <w:rPr>
          <w:b/>
          <w:sz w:val="20"/>
          <w:szCs w:val="20"/>
        </w:rPr>
      </w:pPr>
      <w:r w:rsidRPr="006F593A">
        <w:rPr>
          <w:b/>
          <w:sz w:val="20"/>
          <w:szCs w:val="20"/>
        </w:rPr>
        <w:lastRenderedPageBreak/>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837B4D">
      <w:pPr>
        <w:jc w:val="both"/>
        <w:rPr>
          <w:b/>
          <w:sz w:val="20"/>
          <w:szCs w:val="20"/>
        </w:rPr>
      </w:pPr>
    </w:p>
    <w:p w:rsidR="00164394" w:rsidRPr="006F593A" w:rsidRDefault="00164394" w:rsidP="00837B4D">
      <w:pPr>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irrerespective of its earning profit or loss. </w:t>
      </w:r>
      <w:r w:rsidR="00E07903" w:rsidRPr="006F593A">
        <w:rPr>
          <w:sz w:val="20"/>
          <w:szCs w:val="20"/>
        </w:rPr>
        <w:t xml:space="preserve">The share holders generally have no voting rights. </w:t>
      </w:r>
    </w:p>
    <w:p w:rsidR="00B105ED" w:rsidRPr="006F593A" w:rsidRDefault="00B105ED" w:rsidP="00837B4D">
      <w:pPr>
        <w:jc w:val="both"/>
        <w:rPr>
          <w:b/>
          <w:sz w:val="28"/>
          <w:szCs w:val="28"/>
          <w:u w:val="single"/>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A026E4" w:rsidRPr="006F593A" w:rsidRDefault="00A026E4" w:rsidP="00837B4D">
      <w:pPr>
        <w:jc w:val="both"/>
        <w:rPr>
          <w:b/>
          <w:u w:val="single"/>
        </w:rPr>
      </w:pPr>
    </w:p>
    <w:p w:rsidR="00B67EF2" w:rsidRPr="006F593A" w:rsidRDefault="00B67EF2" w:rsidP="00837B4D">
      <w:pPr>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D55B1B" w:rsidRPr="006F593A" w:rsidRDefault="00D55B1B" w:rsidP="00837B4D">
      <w:pPr>
        <w:jc w:val="both"/>
        <w:rPr>
          <w:sz w:val="20"/>
          <w:szCs w:val="20"/>
        </w:rPr>
      </w:pPr>
    </w:p>
    <w:p w:rsidR="00B67EF2" w:rsidRPr="006F593A" w:rsidRDefault="00B67EF2" w:rsidP="00837B4D">
      <w:pPr>
        <w:jc w:val="both"/>
        <w:rPr>
          <w:sz w:val="20"/>
          <w:szCs w:val="20"/>
        </w:rPr>
      </w:pPr>
      <w:r w:rsidRPr="006F593A">
        <w:rPr>
          <w:sz w:val="20"/>
          <w:szCs w:val="20"/>
        </w:rPr>
        <w:t>Laspeyer’s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8.05pt" o:ole="">
            <v:imagedata r:id="rId8" o:title=""/>
          </v:shape>
          <o:OLEObject Type="Embed" ProgID="Equation.3" ShapeID="_x0000_i1025" DrawAspect="Content" ObjectID="_1565006307" r:id="rId9"/>
        </w:object>
      </w:r>
      <w:r w:rsidR="00B67EF2" w:rsidRPr="006F593A">
        <w:rPr>
          <w:sz w:val="20"/>
          <w:szCs w:val="20"/>
        </w:rPr>
        <w:t xml:space="preserve">   x   100</w:t>
      </w:r>
    </w:p>
    <w:p w:rsidR="00285F19" w:rsidRDefault="00285F19" w:rsidP="00837B4D">
      <w:pPr>
        <w:jc w:val="both"/>
        <w:rPr>
          <w:sz w:val="20"/>
          <w:szCs w:val="20"/>
        </w:rPr>
      </w:pP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rsidR="00B67EF2" w:rsidRPr="006F593A" w:rsidRDefault="00B67EF2" w:rsidP="00837B4D">
      <w:pPr>
        <w:jc w:val="both"/>
        <w:rPr>
          <w:sz w:val="20"/>
          <w:szCs w:val="20"/>
        </w:rPr>
      </w:pPr>
    </w:p>
    <w:p w:rsidR="004357D0" w:rsidRPr="006F593A" w:rsidRDefault="004357D0" w:rsidP="00837B4D">
      <w:pPr>
        <w:jc w:val="both"/>
        <w:rPr>
          <w:b/>
          <w:sz w:val="20"/>
          <w:szCs w:val="20"/>
        </w:rPr>
      </w:pPr>
    </w:p>
    <w:p w:rsidR="00B67EF2" w:rsidRPr="006F593A" w:rsidRDefault="00B67EF2" w:rsidP="00837B4D">
      <w:pPr>
        <w:jc w:val="both"/>
        <w:rPr>
          <w:b/>
          <w:sz w:val="20"/>
          <w:szCs w:val="20"/>
        </w:rPr>
      </w:pPr>
      <w:r w:rsidRPr="006F593A">
        <w:rPr>
          <w:b/>
          <w:sz w:val="20"/>
          <w:szCs w:val="20"/>
        </w:rPr>
        <w:t>Wholesale Price Index</w:t>
      </w:r>
    </w:p>
    <w:p w:rsidR="004E3278" w:rsidRPr="006F593A" w:rsidRDefault="00B67EF2" w:rsidP="00837B4D">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rsidR="00921E75" w:rsidRPr="006F593A" w:rsidRDefault="00921E75" w:rsidP="00837B4D">
      <w:pPr>
        <w:jc w:val="both"/>
        <w:rPr>
          <w:sz w:val="20"/>
          <w:szCs w:val="20"/>
          <w:u w:val="single"/>
        </w:rPr>
      </w:pPr>
    </w:p>
    <w:p w:rsidR="00B67EF2" w:rsidRPr="006F593A" w:rsidRDefault="00B67EF2" w:rsidP="00837B4D">
      <w:pPr>
        <w:jc w:val="both"/>
        <w:rPr>
          <w:b/>
          <w:sz w:val="20"/>
          <w:szCs w:val="20"/>
        </w:rPr>
      </w:pPr>
      <w:r w:rsidRPr="006F593A">
        <w:rPr>
          <w:b/>
          <w:sz w:val="20"/>
          <w:szCs w:val="20"/>
        </w:rPr>
        <w:t>Sensitive Price Indicator</w:t>
      </w:r>
    </w:p>
    <w:p w:rsidR="00B67EF2" w:rsidRPr="006F593A" w:rsidRDefault="00B67EF2" w:rsidP="00837B4D">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6F593A" w:rsidRDefault="00996347" w:rsidP="00837B4D">
      <w:pPr>
        <w:jc w:val="both"/>
        <w:rPr>
          <w:b/>
          <w:u w:val="single"/>
        </w:rPr>
      </w:pPr>
    </w:p>
    <w:p w:rsidR="00B67EF2" w:rsidRPr="006F593A" w:rsidRDefault="00B67EF2" w:rsidP="00837B4D">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837B4D">
      <w:pPr>
        <w:jc w:val="both"/>
        <w:rPr>
          <w:b/>
          <w:sz w:val="20"/>
          <w:szCs w:val="20"/>
        </w:rPr>
      </w:pPr>
    </w:p>
    <w:p w:rsidR="00F03321" w:rsidRPr="006F593A" w:rsidRDefault="00F03321" w:rsidP="00837B4D">
      <w:pPr>
        <w:jc w:val="both"/>
        <w:rPr>
          <w:b/>
          <w:sz w:val="20"/>
          <w:szCs w:val="20"/>
        </w:rPr>
      </w:pPr>
      <w:r w:rsidRPr="006F593A">
        <w:rPr>
          <w:b/>
          <w:sz w:val="20"/>
          <w:szCs w:val="20"/>
        </w:rPr>
        <w:t xml:space="preserve">Debt Rescheduling </w:t>
      </w:r>
    </w:p>
    <w:p w:rsidR="00F03321" w:rsidRPr="00DA43CF" w:rsidRDefault="00F03321" w:rsidP="00DA43CF">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rsidR="00F03321" w:rsidRPr="006F593A" w:rsidRDefault="00F03321" w:rsidP="00837B4D">
      <w:pPr>
        <w:jc w:val="both"/>
        <w:rPr>
          <w:b/>
          <w:sz w:val="20"/>
          <w:szCs w:val="20"/>
        </w:rPr>
      </w:pPr>
      <w:r w:rsidRPr="006F593A">
        <w:rPr>
          <w:b/>
          <w:sz w:val="20"/>
          <w:szCs w:val="20"/>
        </w:rPr>
        <w:t xml:space="preserve">Direct Tax </w:t>
      </w:r>
    </w:p>
    <w:p w:rsidR="00F03321" w:rsidRPr="006F593A" w:rsidRDefault="00F03321" w:rsidP="00837B4D">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837B4D">
      <w:pPr>
        <w:jc w:val="both"/>
        <w:rPr>
          <w:b/>
          <w:sz w:val="20"/>
          <w:szCs w:val="20"/>
        </w:rPr>
      </w:pPr>
      <w:r w:rsidRPr="006F593A">
        <w:rPr>
          <w:b/>
          <w:sz w:val="20"/>
          <w:szCs w:val="20"/>
        </w:rPr>
        <w:t>Indirect Tax</w:t>
      </w:r>
    </w:p>
    <w:p w:rsidR="00F03321" w:rsidRPr="006F593A" w:rsidRDefault="00F03321" w:rsidP="00837B4D">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837B4D">
      <w:pPr>
        <w:jc w:val="both"/>
        <w:rPr>
          <w:sz w:val="20"/>
          <w:szCs w:val="20"/>
        </w:rPr>
      </w:pPr>
    </w:p>
    <w:p w:rsidR="00B67EF2" w:rsidRPr="006F593A" w:rsidRDefault="00B67EF2" w:rsidP="00D15BF0">
      <w:pPr>
        <w:jc w:val="both"/>
        <w:rPr>
          <w:b/>
          <w:sz w:val="28"/>
          <w:szCs w:val="28"/>
          <w:u w:val="single"/>
        </w:rPr>
      </w:pPr>
      <w:r w:rsidRPr="006F593A">
        <w:rPr>
          <w:b/>
          <w:sz w:val="28"/>
          <w:szCs w:val="28"/>
          <w:u w:val="single"/>
        </w:rPr>
        <w:lastRenderedPageBreak/>
        <w:t>Chapter 11</w:t>
      </w:r>
      <w:r w:rsidR="00500D83" w:rsidRPr="006F593A">
        <w:rPr>
          <w:b/>
          <w:sz w:val="28"/>
          <w:szCs w:val="28"/>
          <w:u w:val="single"/>
        </w:rPr>
        <w:t xml:space="preserve">- </w:t>
      </w:r>
      <w:r w:rsidR="00D15BF0">
        <w:rPr>
          <w:b/>
          <w:i/>
          <w:sz w:val="28"/>
          <w:szCs w:val="28"/>
          <w:u w:val="single"/>
        </w:rPr>
        <w:t>National Accounts</w:t>
      </w:r>
    </w:p>
    <w:p w:rsidR="00B67EF2" w:rsidRPr="006F593A" w:rsidRDefault="00B67EF2" w:rsidP="00837B4D">
      <w:pPr>
        <w:jc w:val="both"/>
        <w:rPr>
          <w:b/>
          <w:sz w:val="20"/>
          <w:szCs w:val="20"/>
        </w:rPr>
      </w:pPr>
    </w:p>
    <w:p w:rsidR="00317D84" w:rsidRPr="006F593A" w:rsidRDefault="00317D84" w:rsidP="00837B4D">
      <w:pPr>
        <w:jc w:val="both"/>
        <w:rPr>
          <w:b/>
          <w:sz w:val="20"/>
          <w:szCs w:val="20"/>
        </w:rPr>
      </w:pPr>
      <w:r w:rsidRPr="006F593A">
        <w:rPr>
          <w:b/>
          <w:sz w:val="20"/>
          <w:szCs w:val="20"/>
        </w:rPr>
        <w:t>Gross Domestic Product</w:t>
      </w:r>
    </w:p>
    <w:p w:rsidR="00317D84" w:rsidRPr="006F593A" w:rsidRDefault="00317D84" w:rsidP="00837B4D">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Default="00317D84" w:rsidP="00837B4D">
      <w:pPr>
        <w:jc w:val="both"/>
        <w:rPr>
          <w:sz w:val="20"/>
          <w:szCs w:val="20"/>
        </w:rPr>
      </w:pPr>
    </w:p>
    <w:p w:rsidR="002465AA" w:rsidRPr="006F593A" w:rsidRDefault="002465AA" w:rsidP="00837B4D">
      <w:pPr>
        <w:jc w:val="both"/>
        <w:rPr>
          <w:sz w:val="20"/>
          <w:szCs w:val="20"/>
        </w:rPr>
      </w:pPr>
    </w:p>
    <w:p w:rsidR="00317D84" w:rsidRPr="006F593A" w:rsidRDefault="003C4C0A" w:rsidP="00837B4D">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D17734" w:rsidRPr="006F593A" w:rsidRDefault="00D17734" w:rsidP="00837B4D">
      <w:pPr>
        <w:jc w:val="both"/>
        <w:rPr>
          <w:b/>
          <w:sz w:val="20"/>
          <w:szCs w:val="20"/>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6F796E" w:rsidRPr="006F593A" w:rsidRDefault="006F796E" w:rsidP="00837B4D">
      <w:pPr>
        <w:ind w:left="540"/>
        <w:jc w:val="both"/>
        <w:rPr>
          <w:sz w:val="20"/>
          <w:szCs w:val="20"/>
        </w:rPr>
      </w:pPr>
    </w:p>
    <w:p w:rsidR="00D17734" w:rsidRPr="006F593A" w:rsidRDefault="00D17734" w:rsidP="00837B4D">
      <w:pPr>
        <w:autoSpaceDE w:val="0"/>
        <w:autoSpaceDN w:val="0"/>
        <w:adjustRightInd w:val="0"/>
        <w:jc w:val="both"/>
        <w:rPr>
          <w:sz w:val="16"/>
          <w:szCs w:val="16"/>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D17734" w:rsidRPr="006F593A" w:rsidRDefault="00D17734" w:rsidP="00837B4D">
      <w:pPr>
        <w:autoSpaceDE w:val="0"/>
        <w:autoSpaceDN w:val="0"/>
        <w:adjustRightInd w:val="0"/>
        <w:jc w:val="both"/>
        <w:rPr>
          <w:sz w:val="16"/>
          <w:szCs w:val="16"/>
        </w:rPr>
      </w:pPr>
    </w:p>
    <w:p w:rsidR="00C43348" w:rsidRPr="006F593A" w:rsidRDefault="00590125" w:rsidP="00837B4D">
      <w:pPr>
        <w:numPr>
          <w:ilvl w:val="0"/>
          <w:numId w:val="29"/>
        </w:numPr>
        <w:tabs>
          <w:tab w:val="clear" w:pos="720"/>
          <w:tab w:val="num" w:pos="540"/>
        </w:tabs>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07E81">
      <w:pPr>
        <w:ind w:left="54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837B4D">
      <w:pPr>
        <w:ind w:left="540"/>
        <w:jc w:val="both"/>
        <w:rPr>
          <w:sz w:val="20"/>
          <w:szCs w:val="20"/>
        </w:rPr>
      </w:pPr>
    </w:p>
    <w:p w:rsidR="00E82611" w:rsidRPr="006F593A" w:rsidRDefault="00E82611" w:rsidP="00E82611">
      <w:pPr>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E82611">
      <w:pPr>
        <w:jc w:val="both"/>
        <w:rPr>
          <w:sz w:val="20"/>
          <w:szCs w:val="20"/>
        </w:rPr>
      </w:pPr>
    </w:p>
    <w:p w:rsidR="00E82611" w:rsidRPr="006F593A" w:rsidRDefault="00E82611" w:rsidP="00E82611">
      <w:pPr>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E82611">
      <w:pPr>
        <w:jc w:val="both"/>
        <w:rPr>
          <w:sz w:val="20"/>
          <w:szCs w:val="20"/>
        </w:rPr>
      </w:pPr>
    </w:p>
    <w:p w:rsidR="00904872" w:rsidRPr="006F593A" w:rsidRDefault="00904872" w:rsidP="00904872">
      <w:pPr>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837B4D">
      <w:pPr>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1A3293" w:rsidP="00837B4D">
      <w:pPr>
        <w:jc w:val="both"/>
        <w:rPr>
          <w:b/>
          <w:sz w:val="20"/>
          <w:szCs w:val="20"/>
        </w:rPr>
      </w:pPr>
    </w:p>
    <w:p w:rsidR="001A3293" w:rsidRDefault="001A3293"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F2052C">
      <w:footerReference w:type="even" r:id="rId12"/>
      <w:footerReference w:type="default" r:id="rId13"/>
      <w:pgSz w:w="12240" w:h="15840" w:code="1"/>
      <w:pgMar w:top="1440" w:right="1620" w:bottom="2070" w:left="2160" w:header="720" w:footer="720" w:gutter="0"/>
      <w:pgNumType w:start="1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FB" w:rsidRDefault="006171FB">
      <w:r>
        <w:separator/>
      </w:r>
    </w:p>
  </w:endnote>
  <w:endnote w:type="continuationSeparator" w:id="0">
    <w:p w:rsidR="006171FB" w:rsidRDefault="00617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CC" w:rsidRDefault="000D13CC"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3CC" w:rsidRDefault="000D1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E1" w:rsidRPr="00530FE1" w:rsidRDefault="00530FE1">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497EC3">
      <w:rPr>
        <w:noProof/>
        <w:sz w:val="20"/>
        <w:szCs w:val="20"/>
      </w:rPr>
      <w:t>182</w:t>
    </w:r>
    <w:r w:rsidRPr="00530FE1">
      <w:rPr>
        <w:sz w:val="20"/>
        <w:szCs w:val="20"/>
      </w:rPr>
      <w:fldChar w:fldCharType="end"/>
    </w:r>
  </w:p>
  <w:p w:rsidR="009E234F" w:rsidRDefault="009E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FB" w:rsidRDefault="006171FB">
      <w:r>
        <w:separator/>
      </w:r>
    </w:p>
  </w:footnote>
  <w:footnote w:type="continuationSeparator" w:id="0">
    <w:p w:rsidR="006171FB" w:rsidRDefault="00617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638"/>
    <w:rsid w:val="00113AB6"/>
    <w:rsid w:val="001145EF"/>
    <w:rsid w:val="00114792"/>
    <w:rsid w:val="0012053A"/>
    <w:rsid w:val="0012070A"/>
    <w:rsid w:val="00123BF8"/>
    <w:rsid w:val="001308C3"/>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639C"/>
    <w:rsid w:val="002764E2"/>
    <w:rsid w:val="002826F8"/>
    <w:rsid w:val="00282FCA"/>
    <w:rsid w:val="00285F19"/>
    <w:rsid w:val="002874CD"/>
    <w:rsid w:val="002925FC"/>
    <w:rsid w:val="002975AA"/>
    <w:rsid w:val="00297AFB"/>
    <w:rsid w:val="002A7124"/>
    <w:rsid w:val="002B62A5"/>
    <w:rsid w:val="002C345F"/>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5F31"/>
    <w:rsid w:val="00B860D4"/>
    <w:rsid w:val="00B90C0C"/>
    <w:rsid w:val="00B91243"/>
    <w:rsid w:val="00B97567"/>
    <w:rsid w:val="00BA16FC"/>
    <w:rsid w:val="00BA1E8A"/>
    <w:rsid w:val="00BA4D7D"/>
    <w:rsid w:val="00BA6A94"/>
    <w:rsid w:val="00BB6F81"/>
    <w:rsid w:val="00BC18C9"/>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3893"/>
    <w:rsid w:val="00DC3ABE"/>
    <w:rsid w:val="00DC5528"/>
    <w:rsid w:val="00DC62DF"/>
    <w:rsid w:val="00DD5D5D"/>
    <w:rsid w:val="00DD7338"/>
    <w:rsid w:val="00DE1257"/>
    <w:rsid w:val="00DE1C0F"/>
    <w:rsid w:val="00DE3674"/>
    <w:rsid w:val="00DE55B8"/>
    <w:rsid w:val="00DE7816"/>
    <w:rsid w:val="00DF05F8"/>
    <w:rsid w:val="00DF2181"/>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s>
</file>

<file path=word/webSettings.xml><?xml version="1.0" encoding="utf-8"?>
<w:webSettings xmlns:r="http://schemas.openxmlformats.org/officeDocument/2006/relationships" xmlns:w="http://schemas.openxmlformats.org/wordprocessingml/2006/main">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9FABC-9CBB-4572-8C1F-22C54369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39022</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sajjad9129</cp:lastModifiedBy>
  <cp:revision>2</cp:revision>
  <cp:lastPrinted>2016-10-31T07:54:00Z</cp:lastPrinted>
  <dcterms:created xsi:type="dcterms:W3CDTF">2017-08-23T10:12:00Z</dcterms:created>
  <dcterms:modified xsi:type="dcterms:W3CDTF">2017-08-23T10:12:00Z</dcterms:modified>
</cp:coreProperties>
</file>