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041DDE">
      <w:footerReference w:type="default" r:id="rId8"/>
      <w:pgSz w:w="12240" w:h="15840"/>
      <w:pgMar w:top="720" w:right="1710" w:bottom="547" w:left="1440" w:header="720" w:footer="720" w:gutter="0"/>
      <w:pgNumType w:start="1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CB" w:rsidRDefault="003A37CB" w:rsidP="00EC71BE">
      <w:r>
        <w:separator/>
      </w:r>
    </w:p>
  </w:endnote>
  <w:endnote w:type="continuationSeparator" w:id="0">
    <w:p w:rsidR="003A37CB" w:rsidRDefault="003A37CB"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2741"/>
      <w:docPartObj>
        <w:docPartGallery w:val="Page Numbers (Bottom of Page)"/>
        <w:docPartUnique/>
      </w:docPartObj>
    </w:sdtPr>
    <w:sdtContent>
      <w:p w:rsidR="005F4C36" w:rsidRDefault="00046EE4" w:rsidP="00046EE4">
        <w:pPr>
          <w:pStyle w:val="Footer"/>
          <w:jc w:val="center"/>
        </w:pPr>
        <w:r>
          <w:rPr>
            <w:sz w:val="20"/>
            <w:szCs w:val="20"/>
          </w:rPr>
          <w:t>191</w:t>
        </w:r>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CB" w:rsidRDefault="003A37CB" w:rsidP="00EC71BE">
      <w:r>
        <w:separator/>
      </w:r>
    </w:p>
  </w:footnote>
  <w:footnote w:type="continuationSeparator" w:id="0">
    <w:p w:rsidR="003A37CB" w:rsidRDefault="003A37CB"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1DDE"/>
    <w:rsid w:val="00045BF3"/>
    <w:rsid w:val="00046EE4"/>
    <w:rsid w:val="00070B93"/>
    <w:rsid w:val="00086A38"/>
    <w:rsid w:val="000A0C90"/>
    <w:rsid w:val="000E45D7"/>
    <w:rsid w:val="000E7668"/>
    <w:rsid w:val="000F260B"/>
    <w:rsid w:val="00110987"/>
    <w:rsid w:val="0011223E"/>
    <w:rsid w:val="00114F15"/>
    <w:rsid w:val="00114F4C"/>
    <w:rsid w:val="00133EDD"/>
    <w:rsid w:val="00136E2E"/>
    <w:rsid w:val="00136E70"/>
    <w:rsid w:val="001523E6"/>
    <w:rsid w:val="00157774"/>
    <w:rsid w:val="00170BD6"/>
    <w:rsid w:val="0017760E"/>
    <w:rsid w:val="00187CA5"/>
    <w:rsid w:val="001A61FE"/>
    <w:rsid w:val="001D63CA"/>
    <w:rsid w:val="00203129"/>
    <w:rsid w:val="002446FF"/>
    <w:rsid w:val="00247FBC"/>
    <w:rsid w:val="00280873"/>
    <w:rsid w:val="0029252F"/>
    <w:rsid w:val="002C0336"/>
    <w:rsid w:val="002D2044"/>
    <w:rsid w:val="00312CA9"/>
    <w:rsid w:val="0032607A"/>
    <w:rsid w:val="003471EA"/>
    <w:rsid w:val="0035307A"/>
    <w:rsid w:val="00376B22"/>
    <w:rsid w:val="003A37CB"/>
    <w:rsid w:val="003B4761"/>
    <w:rsid w:val="003C5192"/>
    <w:rsid w:val="00407550"/>
    <w:rsid w:val="00412136"/>
    <w:rsid w:val="00412C9F"/>
    <w:rsid w:val="0042589B"/>
    <w:rsid w:val="00442D8F"/>
    <w:rsid w:val="00494D2E"/>
    <w:rsid w:val="00495CEA"/>
    <w:rsid w:val="0049617B"/>
    <w:rsid w:val="004B1777"/>
    <w:rsid w:val="004E0320"/>
    <w:rsid w:val="004F5A90"/>
    <w:rsid w:val="00510A3E"/>
    <w:rsid w:val="00520363"/>
    <w:rsid w:val="00527403"/>
    <w:rsid w:val="00560D60"/>
    <w:rsid w:val="00572CBC"/>
    <w:rsid w:val="005C5FF9"/>
    <w:rsid w:val="005D2D90"/>
    <w:rsid w:val="005E7716"/>
    <w:rsid w:val="005F1DA2"/>
    <w:rsid w:val="005F4C36"/>
    <w:rsid w:val="005F7B00"/>
    <w:rsid w:val="0060529F"/>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A16FC"/>
    <w:rsid w:val="008A5903"/>
    <w:rsid w:val="008C405A"/>
    <w:rsid w:val="008E6122"/>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5527"/>
    <w:rsid w:val="00AD7412"/>
    <w:rsid w:val="00AF3A09"/>
    <w:rsid w:val="00AF46B1"/>
    <w:rsid w:val="00AF5199"/>
    <w:rsid w:val="00B034EE"/>
    <w:rsid w:val="00B03F15"/>
    <w:rsid w:val="00B23257"/>
    <w:rsid w:val="00B43F26"/>
    <w:rsid w:val="00B644FC"/>
    <w:rsid w:val="00B84F80"/>
    <w:rsid w:val="00B95239"/>
    <w:rsid w:val="00BE19EF"/>
    <w:rsid w:val="00BE69C7"/>
    <w:rsid w:val="00BF2F7D"/>
    <w:rsid w:val="00C20F0F"/>
    <w:rsid w:val="00C31D70"/>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95A18"/>
    <w:rsid w:val="00DA7091"/>
    <w:rsid w:val="00DB33BB"/>
    <w:rsid w:val="00DB356A"/>
    <w:rsid w:val="00DB4FEC"/>
    <w:rsid w:val="00DC76F1"/>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askari</dc:creator>
  <cp:lastModifiedBy>sajjad9129</cp:lastModifiedBy>
  <cp:revision>21</cp:revision>
  <cp:lastPrinted>2011-09-05T05:02:00Z</cp:lastPrinted>
  <dcterms:created xsi:type="dcterms:W3CDTF">2011-08-08T08:12:00Z</dcterms:created>
  <dcterms:modified xsi:type="dcterms:W3CDTF">2016-11-29T04:28:00Z</dcterms:modified>
</cp:coreProperties>
</file>