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20" w:rsidRPr="001467C3" w:rsidRDefault="00933220" w:rsidP="001467C3">
      <w:pPr>
        <w:pStyle w:val="Heading6"/>
        <w:ind w:left="90" w:right="-1260"/>
        <w:rPr>
          <w:rFonts w:ascii="Times New Roman" w:hAnsi="Times New Roman"/>
          <w:sz w:val="24"/>
          <w:u w:val="none"/>
        </w:rPr>
      </w:pPr>
      <w:r w:rsidRPr="001467C3">
        <w:rPr>
          <w:rFonts w:ascii="Times New Roman" w:hAnsi="Times New Roman"/>
          <w:sz w:val="24"/>
          <w:u w:val="none"/>
        </w:rPr>
        <w:t>Review on Balance of Payments FY12</w:t>
      </w:r>
    </w:p>
    <w:p w:rsidR="00933220" w:rsidRDefault="00933220" w:rsidP="008E63B3">
      <w:pPr>
        <w:pStyle w:val="Heading6"/>
        <w:spacing w:line="276" w:lineRule="auto"/>
        <w:rPr>
          <w:rFonts w:ascii="Times New Roman" w:hAnsi="Times New Roman"/>
          <w:b w:val="0"/>
          <w:sz w:val="22"/>
          <w:szCs w:val="22"/>
          <w:u w:val="none"/>
        </w:rPr>
      </w:pPr>
    </w:p>
    <w:p w:rsidR="001B42E5" w:rsidRDefault="00E820CB" w:rsidP="001467C3">
      <w:pPr>
        <w:pStyle w:val="Heading6"/>
        <w:tabs>
          <w:tab w:val="left" w:pos="9450"/>
        </w:tabs>
        <w:spacing w:line="276" w:lineRule="auto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E820CB">
        <w:rPr>
          <w:rFonts w:ascii="Times New Roman" w:hAnsi="Times New Roman"/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121.35pt;margin-top:46.9pt;width:345.9pt;height:180.2pt;z-index:251872256" wrapcoords="-43 74 -43 21452 21600 21452 21600 74 -43 74">
            <v:imagedata r:id="rId7" o:title=""/>
            <w10:wrap type="tight"/>
          </v:shape>
          <o:OLEObject Type="Embed" ProgID="Excel.Sheet.12" ShapeID="_x0000_s1053" DrawAspect="Content" ObjectID="_1426413025" r:id="rId8"/>
        </w:pict>
      </w:r>
      <w:r w:rsidR="00504196">
        <w:rPr>
          <w:rFonts w:ascii="Times New Roman" w:hAnsi="Times New Roman"/>
          <w:b w:val="0"/>
          <w:sz w:val="22"/>
          <w:szCs w:val="22"/>
          <w:u w:val="none"/>
        </w:rPr>
        <w:t>Current</w:t>
      </w:r>
      <w:r w:rsidR="00F722C1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ED2B99">
        <w:rPr>
          <w:rFonts w:ascii="Times New Roman" w:hAnsi="Times New Roman"/>
          <w:b w:val="0"/>
          <w:sz w:val="22"/>
          <w:szCs w:val="22"/>
          <w:u w:val="none"/>
        </w:rPr>
        <w:t>account balance</w:t>
      </w:r>
      <w:r w:rsidR="0015243A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F722C1">
        <w:rPr>
          <w:rFonts w:ascii="Times New Roman" w:hAnsi="Times New Roman"/>
          <w:b w:val="0"/>
          <w:sz w:val="22"/>
          <w:szCs w:val="22"/>
          <w:u w:val="none"/>
        </w:rPr>
        <w:t xml:space="preserve">recorded </w:t>
      </w:r>
      <w:r w:rsidR="00ED2B99">
        <w:rPr>
          <w:rFonts w:ascii="Times New Roman" w:hAnsi="Times New Roman"/>
          <w:b w:val="0"/>
          <w:sz w:val="22"/>
          <w:szCs w:val="22"/>
          <w:u w:val="none"/>
        </w:rPr>
        <w:t>deficit of $</w:t>
      </w:r>
      <w:r w:rsidR="00F722C1">
        <w:rPr>
          <w:rFonts w:ascii="Times New Roman" w:hAnsi="Times New Roman"/>
          <w:b w:val="0"/>
          <w:sz w:val="22"/>
          <w:szCs w:val="22"/>
          <w:u w:val="none"/>
        </w:rPr>
        <w:t>4</w:t>
      </w:r>
      <w:r w:rsidR="00B56750">
        <w:rPr>
          <w:rFonts w:ascii="Times New Roman" w:hAnsi="Times New Roman"/>
          <w:b w:val="0"/>
          <w:sz w:val="22"/>
          <w:szCs w:val="22"/>
          <w:u w:val="none"/>
        </w:rPr>
        <w:t>,</w:t>
      </w:r>
      <w:r w:rsidR="00F722C1">
        <w:rPr>
          <w:rFonts w:ascii="Times New Roman" w:hAnsi="Times New Roman"/>
          <w:b w:val="0"/>
          <w:sz w:val="22"/>
          <w:szCs w:val="22"/>
          <w:u w:val="none"/>
        </w:rPr>
        <w:t>6</w:t>
      </w:r>
      <w:r w:rsidR="00360D24">
        <w:rPr>
          <w:rFonts w:ascii="Times New Roman" w:hAnsi="Times New Roman"/>
          <w:b w:val="0"/>
          <w:sz w:val="22"/>
          <w:szCs w:val="22"/>
          <w:u w:val="none"/>
        </w:rPr>
        <w:t>58</w:t>
      </w:r>
      <w:r w:rsidR="00F722C1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15243A">
        <w:rPr>
          <w:rFonts w:ascii="Times New Roman" w:hAnsi="Times New Roman"/>
          <w:b w:val="0"/>
          <w:sz w:val="22"/>
          <w:szCs w:val="22"/>
          <w:u w:val="none"/>
        </w:rPr>
        <w:t>million in FY</w:t>
      </w:r>
      <w:r w:rsidR="007F70B5">
        <w:rPr>
          <w:rFonts w:ascii="Times New Roman" w:hAnsi="Times New Roman"/>
          <w:b w:val="0"/>
          <w:sz w:val="22"/>
          <w:szCs w:val="22"/>
          <w:u w:val="none"/>
        </w:rPr>
        <w:t xml:space="preserve">12, contrary </w:t>
      </w:r>
      <w:r w:rsidR="00ED2B99">
        <w:rPr>
          <w:rFonts w:ascii="Times New Roman" w:hAnsi="Times New Roman"/>
          <w:b w:val="0"/>
          <w:sz w:val="22"/>
          <w:szCs w:val="22"/>
          <w:u w:val="none"/>
        </w:rPr>
        <w:t>to surplus</w:t>
      </w:r>
      <w:r w:rsidR="007F70B5">
        <w:rPr>
          <w:rFonts w:ascii="Times New Roman" w:hAnsi="Times New Roman"/>
          <w:b w:val="0"/>
          <w:sz w:val="22"/>
          <w:szCs w:val="22"/>
          <w:u w:val="none"/>
        </w:rPr>
        <w:t xml:space="preserve"> of $</w:t>
      </w:r>
      <w:r w:rsidR="00ED2B99">
        <w:rPr>
          <w:rFonts w:ascii="Times New Roman" w:hAnsi="Times New Roman"/>
          <w:b w:val="0"/>
          <w:sz w:val="22"/>
          <w:szCs w:val="22"/>
          <w:u w:val="none"/>
        </w:rPr>
        <w:t>214 million</w:t>
      </w:r>
      <w:r w:rsidR="0015243A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ED2B99">
        <w:rPr>
          <w:rFonts w:ascii="Times New Roman" w:hAnsi="Times New Roman"/>
          <w:b w:val="0"/>
          <w:sz w:val="22"/>
          <w:szCs w:val="22"/>
          <w:u w:val="none"/>
        </w:rPr>
        <w:t>during the</w:t>
      </w:r>
      <w:r w:rsidR="0015243A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ED2B99">
        <w:rPr>
          <w:rFonts w:ascii="Times New Roman" w:hAnsi="Times New Roman"/>
          <w:b w:val="0"/>
          <w:sz w:val="22"/>
          <w:szCs w:val="22"/>
          <w:u w:val="none"/>
        </w:rPr>
        <w:t>previous year</w:t>
      </w:r>
      <w:r w:rsidR="0015243A">
        <w:rPr>
          <w:rFonts w:ascii="Times New Roman" w:hAnsi="Times New Roman"/>
          <w:b w:val="0"/>
          <w:sz w:val="22"/>
          <w:szCs w:val="22"/>
          <w:u w:val="none"/>
        </w:rPr>
        <w:t>.  Cross border payments of goods &amp; services (exports &amp; imports) posted</w:t>
      </w:r>
      <w:r w:rsidR="00750E5D">
        <w:rPr>
          <w:rFonts w:ascii="Times New Roman" w:hAnsi="Times New Roman"/>
          <w:b w:val="0"/>
          <w:sz w:val="22"/>
          <w:szCs w:val="22"/>
          <w:u w:val="none"/>
        </w:rPr>
        <w:t xml:space="preserve"> a</w:t>
      </w:r>
      <w:r w:rsidR="0015243A">
        <w:rPr>
          <w:rFonts w:ascii="Times New Roman" w:hAnsi="Times New Roman"/>
          <w:b w:val="0"/>
          <w:sz w:val="22"/>
          <w:szCs w:val="22"/>
          <w:u w:val="none"/>
        </w:rPr>
        <w:t xml:space="preserve"> whopping deficit of $1</w:t>
      </w:r>
      <w:r w:rsidR="007F70B5">
        <w:rPr>
          <w:rFonts w:ascii="Times New Roman" w:hAnsi="Times New Roman"/>
          <w:b w:val="0"/>
          <w:sz w:val="22"/>
          <w:szCs w:val="22"/>
          <w:u w:val="none"/>
        </w:rPr>
        <w:t>8</w:t>
      </w:r>
      <w:r w:rsidR="00B56750">
        <w:rPr>
          <w:rFonts w:ascii="Times New Roman" w:hAnsi="Times New Roman"/>
          <w:b w:val="0"/>
          <w:sz w:val="22"/>
          <w:szCs w:val="22"/>
          <w:u w:val="none"/>
        </w:rPr>
        <w:t>,</w:t>
      </w:r>
      <w:r w:rsidR="007F70B5">
        <w:rPr>
          <w:rFonts w:ascii="Times New Roman" w:hAnsi="Times New Roman"/>
          <w:b w:val="0"/>
          <w:sz w:val="22"/>
          <w:szCs w:val="22"/>
          <w:u w:val="none"/>
        </w:rPr>
        <w:t>957</w:t>
      </w:r>
      <w:r w:rsidR="0015243A">
        <w:rPr>
          <w:rFonts w:ascii="Times New Roman" w:hAnsi="Times New Roman"/>
          <w:b w:val="0"/>
          <w:sz w:val="22"/>
          <w:szCs w:val="22"/>
          <w:u w:val="none"/>
        </w:rPr>
        <w:t xml:space="preserve"> million in FY12, compared to $ 12,456 million in the last year.  The deficit is mainly attributed to 50 percent increase in trade (goods) deficit. 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>Exports fetched $</w:t>
      </w:r>
      <w:r w:rsidR="0003656B">
        <w:rPr>
          <w:rFonts w:ascii="Times New Roman" w:hAnsi="Times New Roman"/>
          <w:b w:val="0"/>
          <w:sz w:val="22"/>
          <w:szCs w:val="22"/>
          <w:u w:val="none"/>
        </w:rPr>
        <w:t>24</w:t>
      </w:r>
      <w:r w:rsidR="0003656B" w:rsidRPr="00933220">
        <w:rPr>
          <w:rFonts w:ascii="Times New Roman" w:hAnsi="Times New Roman"/>
          <w:b w:val="0"/>
          <w:sz w:val="22"/>
          <w:szCs w:val="22"/>
          <w:u w:val="none"/>
        </w:rPr>
        <w:t>,</w:t>
      </w:r>
      <w:r w:rsidR="0003656B">
        <w:rPr>
          <w:rFonts w:ascii="Times New Roman" w:hAnsi="Times New Roman"/>
          <w:b w:val="0"/>
          <w:sz w:val="22"/>
          <w:szCs w:val="22"/>
          <w:u w:val="none"/>
        </w:rPr>
        <w:t>696 million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 xml:space="preserve"> with a </w:t>
      </w:r>
      <w:r w:rsidR="0003656B">
        <w:rPr>
          <w:rFonts w:ascii="Times New Roman" w:hAnsi="Times New Roman"/>
          <w:b w:val="0"/>
          <w:sz w:val="22"/>
          <w:szCs w:val="22"/>
          <w:u w:val="none"/>
        </w:rPr>
        <w:t xml:space="preserve">decrease </w:t>
      </w:r>
      <w:r w:rsidR="0003656B" w:rsidRPr="00933220">
        <w:rPr>
          <w:rFonts w:ascii="Times New Roman" w:hAnsi="Times New Roman"/>
          <w:b w:val="0"/>
          <w:sz w:val="22"/>
          <w:szCs w:val="22"/>
          <w:u w:val="none"/>
        </w:rPr>
        <w:t>of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$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>660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million (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>3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percent)</w:t>
      </w:r>
      <w:r w:rsidR="001B42E5" w:rsidRPr="001467C3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over the last year. </w:t>
      </w:r>
      <w:r w:rsidR="0015243A" w:rsidRPr="00933220">
        <w:rPr>
          <w:rFonts w:ascii="Times New Roman" w:hAnsi="Times New Roman"/>
          <w:b w:val="0"/>
          <w:sz w:val="22"/>
          <w:szCs w:val="22"/>
          <w:u w:val="none"/>
        </w:rPr>
        <w:t>Imports</w:t>
      </w:r>
      <w:r w:rsidR="0015243A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15243A" w:rsidRPr="00933220">
        <w:rPr>
          <w:rFonts w:ascii="Times New Roman" w:hAnsi="Times New Roman"/>
          <w:b w:val="0"/>
          <w:sz w:val="22"/>
          <w:szCs w:val="22"/>
          <w:u w:val="none"/>
        </w:rPr>
        <w:t>increased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by $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>4,</w:t>
      </w:r>
      <w:r w:rsidR="00BF7926">
        <w:rPr>
          <w:rFonts w:ascii="Times New Roman" w:hAnsi="Times New Roman"/>
          <w:b w:val="0"/>
          <w:sz w:val="22"/>
          <w:szCs w:val="22"/>
          <w:u w:val="none"/>
        </w:rPr>
        <w:t>589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million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 xml:space="preserve"> (13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percent) 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>to $40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>,</w:t>
      </w:r>
      <w:r w:rsidR="00BF7926">
        <w:rPr>
          <w:rFonts w:ascii="Times New Roman" w:hAnsi="Times New Roman"/>
          <w:b w:val="0"/>
          <w:sz w:val="22"/>
          <w:szCs w:val="22"/>
          <w:u w:val="none"/>
        </w:rPr>
        <w:t>461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million </w:t>
      </w:r>
      <w:r w:rsidR="001467C3">
        <w:rPr>
          <w:rFonts w:ascii="Times New Roman" w:hAnsi="Times New Roman"/>
          <w:b w:val="0"/>
          <w:sz w:val="22"/>
          <w:szCs w:val="22"/>
          <w:u w:val="none"/>
        </w:rPr>
        <w:t>from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>35</w:t>
      </w:r>
      <w:proofErr w:type="gramStart"/>
      <w:r w:rsidR="00025641" w:rsidRPr="00933220">
        <w:rPr>
          <w:rFonts w:ascii="Times New Roman" w:hAnsi="Times New Roman"/>
          <w:b w:val="0"/>
          <w:sz w:val="22"/>
          <w:szCs w:val="22"/>
          <w:u w:val="none"/>
        </w:rPr>
        <w:t>,</w:t>
      </w:r>
      <w:r w:rsidR="00025641">
        <w:rPr>
          <w:rFonts w:ascii="Times New Roman" w:hAnsi="Times New Roman"/>
          <w:b w:val="0"/>
          <w:sz w:val="22"/>
          <w:szCs w:val="22"/>
          <w:u w:val="none"/>
        </w:rPr>
        <w:t>872</w:t>
      </w:r>
      <w:proofErr w:type="gramEnd"/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million.  Services account deficit 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>increased by $1,252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025641" w:rsidRPr="00933220">
        <w:rPr>
          <w:rFonts w:ascii="Times New Roman" w:hAnsi="Times New Roman"/>
          <w:b w:val="0"/>
          <w:sz w:val="22"/>
          <w:szCs w:val="22"/>
          <w:u w:val="none"/>
        </w:rPr>
        <w:t>million</w:t>
      </w:r>
      <w:r w:rsidR="00025641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 xml:space="preserve">(65%) 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>to $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>3,192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million from $1,</w:t>
      </w:r>
      <w:r w:rsidR="007F70B5">
        <w:rPr>
          <w:rFonts w:ascii="Times New Roman" w:hAnsi="Times New Roman"/>
          <w:b w:val="0"/>
          <w:sz w:val="22"/>
          <w:szCs w:val="22"/>
          <w:u w:val="none"/>
        </w:rPr>
        <w:t>940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million in the preceding year.  Income account deficit</w:t>
      </w:r>
      <w:r w:rsidR="00D715D1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15243A">
        <w:rPr>
          <w:rFonts w:ascii="Times New Roman" w:hAnsi="Times New Roman"/>
          <w:b w:val="0"/>
          <w:sz w:val="22"/>
          <w:szCs w:val="22"/>
          <w:u w:val="none"/>
        </w:rPr>
        <w:t xml:space="preserve">widened </w:t>
      </w:r>
      <w:r w:rsidR="0015243A" w:rsidRPr="00933220">
        <w:rPr>
          <w:rFonts w:ascii="Times New Roman" w:hAnsi="Times New Roman"/>
          <w:b w:val="0"/>
          <w:sz w:val="22"/>
          <w:szCs w:val="22"/>
          <w:u w:val="none"/>
        </w:rPr>
        <w:t>to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$3,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>245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million from $3,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>017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million in the previous year reflecting a</w:t>
      </w:r>
      <w:r w:rsidR="00D715D1">
        <w:rPr>
          <w:rFonts w:ascii="Times New Roman" w:hAnsi="Times New Roman"/>
          <w:b w:val="0"/>
          <w:sz w:val="22"/>
          <w:szCs w:val="22"/>
          <w:u w:val="none"/>
        </w:rPr>
        <w:t>n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476C54">
        <w:rPr>
          <w:rFonts w:ascii="Times New Roman" w:hAnsi="Times New Roman"/>
          <w:b w:val="0"/>
          <w:sz w:val="22"/>
          <w:szCs w:val="22"/>
          <w:u w:val="none"/>
        </w:rPr>
        <w:t>increase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of 8 percent. Net current </w:t>
      </w:r>
      <w:r w:rsidR="00D715D1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transfers </w:t>
      </w:r>
      <w:r w:rsidR="00D715D1">
        <w:rPr>
          <w:rFonts w:ascii="Times New Roman" w:hAnsi="Times New Roman"/>
          <w:b w:val="0"/>
          <w:sz w:val="22"/>
          <w:szCs w:val="22"/>
          <w:u w:val="none"/>
        </w:rPr>
        <w:t>continued its upward stride with an impressive growth of 12 percent. Financial account surplus attenuated to $1,280</w:t>
      </w:r>
      <w:r w:rsidR="00D715D1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million 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 xml:space="preserve">with </w:t>
      </w:r>
      <w:r w:rsidR="0015243A">
        <w:rPr>
          <w:rFonts w:ascii="Times New Roman" w:hAnsi="Times New Roman"/>
          <w:b w:val="0"/>
          <w:sz w:val="22"/>
          <w:szCs w:val="22"/>
          <w:u w:val="none"/>
        </w:rPr>
        <w:t>a cut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 xml:space="preserve"> of $</w:t>
      </w:r>
      <w:r w:rsidR="0015243A">
        <w:rPr>
          <w:rFonts w:ascii="Times New Roman" w:hAnsi="Times New Roman"/>
          <w:b w:val="0"/>
          <w:sz w:val="22"/>
          <w:szCs w:val="22"/>
          <w:u w:val="none"/>
        </w:rPr>
        <w:t xml:space="preserve">821 </w:t>
      </w:r>
      <w:r w:rsidR="0015243A" w:rsidRPr="00933220">
        <w:rPr>
          <w:rFonts w:ascii="Times New Roman" w:hAnsi="Times New Roman"/>
          <w:b w:val="0"/>
          <w:sz w:val="22"/>
          <w:szCs w:val="22"/>
          <w:u w:val="none"/>
        </w:rPr>
        <w:t>million</w:t>
      </w:r>
      <w:r w:rsidR="001B42E5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 </w:t>
      </w:r>
      <w:r w:rsidR="00D715D1">
        <w:rPr>
          <w:rFonts w:ascii="Times New Roman" w:hAnsi="Times New Roman"/>
          <w:b w:val="0"/>
          <w:sz w:val="22"/>
          <w:szCs w:val="22"/>
          <w:u w:val="none"/>
        </w:rPr>
        <w:t>(3</w:t>
      </w:r>
      <w:r w:rsidR="00D715D1" w:rsidRPr="00933220">
        <w:rPr>
          <w:rFonts w:ascii="Times New Roman" w:hAnsi="Times New Roman"/>
          <w:b w:val="0"/>
          <w:sz w:val="22"/>
          <w:szCs w:val="22"/>
          <w:u w:val="none"/>
        </w:rPr>
        <w:t xml:space="preserve">9 percent) </w:t>
      </w:r>
      <w:r w:rsidR="001B42E5">
        <w:rPr>
          <w:rFonts w:ascii="Times New Roman" w:hAnsi="Times New Roman"/>
          <w:b w:val="0"/>
          <w:sz w:val="22"/>
          <w:szCs w:val="22"/>
          <w:u w:val="none"/>
        </w:rPr>
        <w:t>from $2,101</w:t>
      </w:r>
      <w:r w:rsidR="00750E5D">
        <w:rPr>
          <w:rFonts w:ascii="Times New Roman" w:hAnsi="Times New Roman"/>
          <w:b w:val="0"/>
          <w:sz w:val="22"/>
          <w:szCs w:val="22"/>
          <w:u w:val="none"/>
        </w:rPr>
        <w:t xml:space="preserve"> million. </w:t>
      </w:r>
    </w:p>
    <w:p w:rsidR="008E63B3" w:rsidRDefault="008E63B3" w:rsidP="008E63B3">
      <w:pPr>
        <w:pStyle w:val="BodyTextIndent"/>
        <w:spacing w:line="276" w:lineRule="auto"/>
        <w:ind w:firstLine="0"/>
        <w:rPr>
          <w:b/>
          <w:sz w:val="22"/>
          <w:szCs w:val="22"/>
        </w:rPr>
      </w:pPr>
    </w:p>
    <w:p w:rsidR="00066F5B" w:rsidRDefault="00066F5B" w:rsidP="008E63B3">
      <w:pPr>
        <w:pStyle w:val="BodyTextIndent"/>
        <w:spacing w:line="276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Merchandise </w:t>
      </w:r>
      <w:r w:rsidR="008942DB" w:rsidRPr="006857E9">
        <w:rPr>
          <w:b/>
          <w:sz w:val="22"/>
          <w:szCs w:val="22"/>
        </w:rPr>
        <w:t xml:space="preserve">Trade </w:t>
      </w:r>
    </w:p>
    <w:p w:rsidR="008E63B3" w:rsidRDefault="008E63B3" w:rsidP="008E63B3">
      <w:pPr>
        <w:pStyle w:val="BodyTextIndent"/>
        <w:spacing w:line="276" w:lineRule="auto"/>
        <w:ind w:firstLine="0"/>
        <w:rPr>
          <w:b/>
          <w:sz w:val="22"/>
          <w:szCs w:val="22"/>
        </w:rPr>
      </w:pPr>
    </w:p>
    <w:p w:rsidR="00100145" w:rsidRDefault="00E820CB" w:rsidP="00B37CFA">
      <w:pPr>
        <w:pStyle w:val="BodyTextIndent"/>
        <w:ind w:firstLine="0"/>
        <w:rPr>
          <w:sz w:val="22"/>
          <w:szCs w:val="22"/>
        </w:rPr>
      </w:pPr>
      <w:r>
        <w:rPr>
          <w:sz w:val="22"/>
          <w:szCs w:val="22"/>
        </w:rPr>
        <w:pict>
          <v:shape id="_x0000_s1043" type="#_x0000_t75" style="position:absolute;left:0;text-align:left;margin-left:147pt;margin-top:392.15pt;width:320.05pt;height:187.7pt;z-index:251859968;mso-position-horizontal-relative:margin;mso-position-vertical-relative:margin">
            <v:imagedata r:id="rId9" o:title=""/>
            <w10:wrap type="square" side="left" anchorx="margin" anchory="margin"/>
          </v:shape>
          <o:OLEObject Type="Embed" ProgID="Excel.Sheet.8" ShapeID="_x0000_s1043" DrawAspect="Content" ObjectID="_1426413026" r:id="rId10"/>
        </w:pict>
      </w:r>
      <w:r w:rsidR="00B56750">
        <w:rPr>
          <w:sz w:val="22"/>
          <w:szCs w:val="22"/>
        </w:rPr>
        <w:t>Exports remain</w:t>
      </w:r>
      <w:r w:rsidR="00BD4B9F">
        <w:rPr>
          <w:sz w:val="22"/>
          <w:szCs w:val="22"/>
        </w:rPr>
        <w:t xml:space="preserve">ed below than $25 billion </w:t>
      </w:r>
      <w:r w:rsidR="001467C3">
        <w:rPr>
          <w:sz w:val="22"/>
          <w:szCs w:val="22"/>
        </w:rPr>
        <w:t>mark,</w:t>
      </w:r>
      <w:r w:rsidR="00B56750">
        <w:rPr>
          <w:sz w:val="22"/>
          <w:szCs w:val="22"/>
        </w:rPr>
        <w:t xml:space="preserve"> touching $24,696 million during FY12, declined by $6</w:t>
      </w:r>
      <w:r w:rsidR="00DC6125">
        <w:rPr>
          <w:sz w:val="22"/>
          <w:szCs w:val="22"/>
        </w:rPr>
        <w:t>60</w:t>
      </w:r>
      <w:r w:rsidR="00B56750">
        <w:rPr>
          <w:sz w:val="22"/>
          <w:szCs w:val="22"/>
        </w:rPr>
        <w:t xml:space="preserve"> million (3%) from $25,35</w:t>
      </w:r>
      <w:r w:rsidR="00DC6125">
        <w:rPr>
          <w:sz w:val="22"/>
          <w:szCs w:val="22"/>
        </w:rPr>
        <w:t>6</w:t>
      </w:r>
      <w:r w:rsidR="00B56750">
        <w:rPr>
          <w:sz w:val="22"/>
          <w:szCs w:val="22"/>
        </w:rPr>
        <w:t xml:space="preserve"> million</w:t>
      </w:r>
      <w:r w:rsidR="00650BBC">
        <w:rPr>
          <w:sz w:val="22"/>
          <w:szCs w:val="22"/>
        </w:rPr>
        <w:t xml:space="preserve"> during the previous year</w:t>
      </w:r>
      <w:r w:rsidR="00B56750">
        <w:rPr>
          <w:sz w:val="22"/>
          <w:szCs w:val="22"/>
        </w:rPr>
        <w:t xml:space="preserve">. Imports </w:t>
      </w:r>
      <w:r w:rsidR="00B56750" w:rsidRPr="00476C54">
        <w:rPr>
          <w:sz w:val="22"/>
          <w:szCs w:val="22"/>
        </w:rPr>
        <w:t xml:space="preserve">increased by $4,589 million (13%) </w:t>
      </w:r>
      <w:r w:rsidR="001B42E5">
        <w:rPr>
          <w:sz w:val="22"/>
          <w:szCs w:val="22"/>
        </w:rPr>
        <w:t>from $35,</w:t>
      </w:r>
      <w:r w:rsidR="00476C54">
        <w:rPr>
          <w:sz w:val="22"/>
          <w:szCs w:val="22"/>
        </w:rPr>
        <w:t>872</w:t>
      </w:r>
      <w:r w:rsidR="00B56750">
        <w:rPr>
          <w:sz w:val="22"/>
          <w:szCs w:val="22"/>
        </w:rPr>
        <w:t xml:space="preserve"> </w:t>
      </w:r>
      <w:r w:rsidR="001B42E5" w:rsidRPr="003818DD">
        <w:rPr>
          <w:sz w:val="22"/>
          <w:szCs w:val="22"/>
        </w:rPr>
        <w:t>million</w:t>
      </w:r>
      <w:r w:rsidR="00650BBC">
        <w:rPr>
          <w:sz w:val="22"/>
          <w:szCs w:val="22"/>
        </w:rPr>
        <w:t xml:space="preserve"> in FY11</w:t>
      </w:r>
      <w:r w:rsidR="001B42E5" w:rsidRPr="003818DD">
        <w:rPr>
          <w:sz w:val="22"/>
          <w:szCs w:val="22"/>
        </w:rPr>
        <w:t xml:space="preserve">. The general merchandise transactions reported through banks (export receipts) on a mixed </w:t>
      </w:r>
      <w:proofErr w:type="spellStart"/>
      <w:r w:rsidR="001B42E5" w:rsidRPr="003818DD">
        <w:rPr>
          <w:sz w:val="22"/>
          <w:szCs w:val="22"/>
        </w:rPr>
        <w:t>f.o.b</w:t>
      </w:r>
      <w:proofErr w:type="spellEnd"/>
      <w:r w:rsidR="001B42E5" w:rsidRPr="003818DD">
        <w:rPr>
          <w:sz w:val="22"/>
          <w:szCs w:val="22"/>
        </w:rPr>
        <w:t xml:space="preserve"> and </w:t>
      </w:r>
      <w:proofErr w:type="spellStart"/>
      <w:r w:rsidR="001B42E5" w:rsidRPr="003818DD">
        <w:rPr>
          <w:sz w:val="22"/>
          <w:szCs w:val="22"/>
        </w:rPr>
        <w:t>c&amp;</w:t>
      </w:r>
      <w:r w:rsidR="001B42E5">
        <w:rPr>
          <w:sz w:val="22"/>
          <w:szCs w:val="22"/>
        </w:rPr>
        <w:t>f</w:t>
      </w:r>
      <w:proofErr w:type="spellEnd"/>
      <w:r w:rsidR="001B42E5">
        <w:rPr>
          <w:sz w:val="22"/>
          <w:szCs w:val="22"/>
        </w:rPr>
        <w:t xml:space="preserve"> basis amounted to $24,427 million as compared to $25,141</w:t>
      </w:r>
      <w:r w:rsidR="001B42E5" w:rsidRPr="003818DD">
        <w:rPr>
          <w:sz w:val="22"/>
          <w:szCs w:val="22"/>
        </w:rPr>
        <w:t xml:space="preserve"> million during </w:t>
      </w:r>
      <w:r w:rsidR="001B42E5">
        <w:rPr>
          <w:sz w:val="22"/>
          <w:szCs w:val="22"/>
        </w:rPr>
        <w:t>previous</w:t>
      </w:r>
      <w:r w:rsidR="001B42E5" w:rsidRPr="003818DD">
        <w:rPr>
          <w:sz w:val="22"/>
          <w:szCs w:val="22"/>
        </w:rPr>
        <w:t xml:space="preserve"> fiscal year. The general merchandise exports at </w:t>
      </w:r>
      <w:proofErr w:type="spellStart"/>
      <w:r w:rsidR="001B42E5" w:rsidRPr="003818DD">
        <w:rPr>
          <w:sz w:val="22"/>
          <w:szCs w:val="22"/>
        </w:rPr>
        <w:t>f.o.b</w:t>
      </w:r>
      <w:proofErr w:type="spellEnd"/>
      <w:r w:rsidR="001B42E5" w:rsidRPr="003818DD">
        <w:rPr>
          <w:sz w:val="22"/>
          <w:szCs w:val="22"/>
        </w:rPr>
        <w:t xml:space="preserve"> are arrived at by deducting freight, adding </w:t>
      </w:r>
      <w:r w:rsidR="001B42E5">
        <w:rPr>
          <w:sz w:val="22"/>
          <w:szCs w:val="22"/>
        </w:rPr>
        <w:t>outstanding export bills of $11</w:t>
      </w:r>
      <w:r w:rsidR="001B42E5" w:rsidRPr="003818DD">
        <w:rPr>
          <w:sz w:val="22"/>
          <w:szCs w:val="22"/>
        </w:rPr>
        <w:t xml:space="preserve"> million </w:t>
      </w:r>
      <w:r w:rsidR="001B42E5">
        <w:rPr>
          <w:sz w:val="22"/>
          <w:szCs w:val="22"/>
        </w:rPr>
        <w:t>(</w:t>
      </w:r>
      <w:r w:rsidR="001B42E5" w:rsidRPr="003818DD">
        <w:rPr>
          <w:sz w:val="22"/>
          <w:szCs w:val="22"/>
        </w:rPr>
        <w:t>timing adjustments</w:t>
      </w:r>
      <w:r w:rsidR="001B42E5">
        <w:rPr>
          <w:sz w:val="22"/>
          <w:szCs w:val="22"/>
        </w:rPr>
        <w:t>) and other exports of $922</w:t>
      </w:r>
      <w:r w:rsidR="001B42E5" w:rsidRPr="003818DD">
        <w:rPr>
          <w:sz w:val="22"/>
          <w:szCs w:val="22"/>
        </w:rPr>
        <w:t xml:space="preserve"> million not covered through banking channel.</w:t>
      </w:r>
    </w:p>
    <w:p w:rsidR="00100145" w:rsidRDefault="00100145" w:rsidP="00100145"/>
    <w:p w:rsidR="001B42E5" w:rsidRPr="00100145" w:rsidRDefault="00100145" w:rsidP="00100145">
      <w:pPr>
        <w:tabs>
          <w:tab w:val="left" w:pos="6403"/>
        </w:tabs>
      </w:pPr>
      <w:r>
        <w:tab/>
      </w:r>
    </w:p>
    <w:p w:rsidR="001B42E5" w:rsidRDefault="00E820CB" w:rsidP="000A6C5C">
      <w:pPr>
        <w:pStyle w:val="BodyTextIndent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shape id="_x0000_s1046" type="#_x0000_t75" style="position:absolute;left:0;text-align:left;margin-left:166.4pt;margin-top:2.25pt;width:305.15pt;height:260.1pt;z-index:-251454464;mso-position-horizontal-relative:margin;mso-position-vertical-relative:margin" wrapcoords="-53 62 -53 21476 21600 21476 21600 62 -53 62">
            <v:imagedata r:id="rId11" o:title=""/>
            <w10:wrap type="tight" anchorx="margin" anchory="margin"/>
          </v:shape>
          <o:OLEObject Type="Embed" ProgID="Excel.Sheet.8" ShapeID="_x0000_s1046" DrawAspect="Content" ObjectID="_1426413027" r:id="rId12"/>
        </w:pict>
      </w:r>
      <w:r w:rsidR="001B42E5" w:rsidRPr="003818DD">
        <w:rPr>
          <w:sz w:val="22"/>
          <w:szCs w:val="22"/>
        </w:rPr>
        <w:t>The general merchandi</w:t>
      </w:r>
      <w:r w:rsidR="001B42E5">
        <w:rPr>
          <w:sz w:val="22"/>
          <w:szCs w:val="22"/>
        </w:rPr>
        <w:t>s</w:t>
      </w:r>
      <w:r w:rsidR="001B42E5" w:rsidRPr="003818DD">
        <w:rPr>
          <w:sz w:val="22"/>
          <w:szCs w:val="22"/>
        </w:rPr>
        <w:t>e imports (</w:t>
      </w:r>
      <w:proofErr w:type="spellStart"/>
      <w:r w:rsidR="001B42E5" w:rsidRPr="003818DD">
        <w:rPr>
          <w:sz w:val="22"/>
          <w:szCs w:val="22"/>
        </w:rPr>
        <w:t>f.o.b</w:t>
      </w:r>
      <w:proofErr w:type="spellEnd"/>
      <w:r w:rsidR="001B42E5">
        <w:rPr>
          <w:sz w:val="22"/>
          <w:szCs w:val="22"/>
        </w:rPr>
        <w:t>) recorded an increase of $4,492</w:t>
      </w:r>
      <w:r w:rsidR="00504196">
        <w:rPr>
          <w:sz w:val="22"/>
          <w:szCs w:val="22"/>
        </w:rPr>
        <w:t xml:space="preserve"> million. </w:t>
      </w:r>
      <w:r w:rsidR="001B42E5" w:rsidRPr="00691CE6">
        <w:rPr>
          <w:sz w:val="22"/>
          <w:szCs w:val="22"/>
        </w:rPr>
        <w:t>Of the total imports payments</w:t>
      </w:r>
      <w:r w:rsidR="000A6C5C" w:rsidRPr="00691CE6">
        <w:rPr>
          <w:sz w:val="22"/>
          <w:szCs w:val="22"/>
        </w:rPr>
        <w:t xml:space="preserve"> </w:t>
      </w:r>
      <w:r w:rsidR="001B42E5" w:rsidRPr="00691CE6">
        <w:rPr>
          <w:sz w:val="22"/>
          <w:szCs w:val="22"/>
        </w:rPr>
        <w:t>against g</w:t>
      </w:r>
      <w:r w:rsidR="000A6C5C" w:rsidRPr="00691CE6">
        <w:rPr>
          <w:sz w:val="22"/>
          <w:szCs w:val="22"/>
        </w:rPr>
        <w:t>eneral merchandise (</w:t>
      </w:r>
      <w:proofErr w:type="spellStart"/>
      <w:r w:rsidR="000A6C5C" w:rsidRPr="00691CE6">
        <w:rPr>
          <w:sz w:val="22"/>
          <w:szCs w:val="22"/>
        </w:rPr>
        <w:t>f.o.b</w:t>
      </w:r>
      <w:proofErr w:type="spellEnd"/>
      <w:r w:rsidR="000A6C5C" w:rsidRPr="00691CE6">
        <w:rPr>
          <w:sz w:val="22"/>
          <w:szCs w:val="22"/>
        </w:rPr>
        <w:t xml:space="preserve">) </w:t>
      </w:r>
      <w:r w:rsidR="001B42E5" w:rsidRPr="00691CE6">
        <w:rPr>
          <w:sz w:val="22"/>
          <w:szCs w:val="22"/>
        </w:rPr>
        <w:t>$37,252</w:t>
      </w:r>
      <w:r w:rsidR="001B42E5">
        <w:rPr>
          <w:sz w:val="22"/>
          <w:szCs w:val="22"/>
        </w:rPr>
        <w:t xml:space="preserve"> million or 93</w:t>
      </w:r>
      <w:r w:rsidR="001B42E5" w:rsidRPr="003818DD">
        <w:rPr>
          <w:sz w:val="22"/>
          <w:szCs w:val="22"/>
        </w:rPr>
        <w:t xml:space="preserve"> per cent were reported by banks while those under foreign economic assistance, personal baggage &amp; non-</w:t>
      </w:r>
      <w:proofErr w:type="spellStart"/>
      <w:r w:rsidR="001B42E5" w:rsidRPr="003818DD">
        <w:rPr>
          <w:sz w:val="22"/>
          <w:szCs w:val="22"/>
        </w:rPr>
        <w:t>repatriable</w:t>
      </w:r>
      <w:proofErr w:type="spellEnd"/>
      <w:r w:rsidR="001B42E5" w:rsidRPr="003818DD">
        <w:rPr>
          <w:sz w:val="22"/>
          <w:szCs w:val="22"/>
        </w:rPr>
        <w:t xml:space="preserve"> investment (NRI), sale of duty free shops and othe</w:t>
      </w:r>
      <w:r w:rsidR="001B42E5">
        <w:rPr>
          <w:sz w:val="22"/>
          <w:szCs w:val="22"/>
        </w:rPr>
        <w:t>rs taken together amounted to $2,758 million or 7</w:t>
      </w:r>
      <w:r w:rsidR="001B42E5" w:rsidRPr="003818DD">
        <w:rPr>
          <w:sz w:val="22"/>
          <w:szCs w:val="22"/>
        </w:rPr>
        <w:t xml:space="preserve"> percent.</w:t>
      </w:r>
    </w:p>
    <w:p w:rsidR="003761F5" w:rsidRDefault="003761F5" w:rsidP="000A6C5C">
      <w:pPr>
        <w:pStyle w:val="BodyTextIndent"/>
        <w:ind w:firstLine="0"/>
        <w:rPr>
          <w:sz w:val="22"/>
          <w:szCs w:val="22"/>
        </w:rPr>
      </w:pPr>
    </w:p>
    <w:p w:rsidR="001B42E5" w:rsidRPr="006934BE" w:rsidRDefault="00B928C6" w:rsidP="003761F5">
      <w:pPr>
        <w:pStyle w:val="BodyTextIndent"/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65088" behindDoc="1" locked="0" layoutInCell="1" allowOverlap="1">
            <wp:simplePos x="0" y="0"/>
            <wp:positionH relativeFrom="margin">
              <wp:posOffset>2199005</wp:posOffset>
            </wp:positionH>
            <wp:positionV relativeFrom="margin">
              <wp:posOffset>3501390</wp:posOffset>
            </wp:positionV>
            <wp:extent cx="3764915" cy="1864995"/>
            <wp:effectExtent l="19050" t="0" r="6985" b="0"/>
            <wp:wrapTight wrapText="bothSides">
              <wp:wrapPolygon edited="0">
                <wp:start x="-109" y="0"/>
                <wp:lineTo x="-109" y="21401"/>
                <wp:lineTo x="21640" y="21401"/>
                <wp:lineTo x="21640" y="0"/>
                <wp:lineTo x="-109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15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485" w:rsidRPr="001467C3">
        <w:rPr>
          <w:sz w:val="22"/>
          <w:szCs w:val="22"/>
        </w:rPr>
        <w:t xml:space="preserve"> </w:t>
      </w:r>
      <w:r w:rsidR="001B42E5">
        <w:rPr>
          <w:sz w:val="22"/>
          <w:szCs w:val="22"/>
        </w:rPr>
        <w:t>Major commodity</w:t>
      </w:r>
      <w:r w:rsidR="001B42E5" w:rsidRPr="006934BE">
        <w:rPr>
          <w:sz w:val="22"/>
          <w:szCs w:val="22"/>
        </w:rPr>
        <w:t xml:space="preserve"> groups constituting 8</w:t>
      </w:r>
      <w:r w:rsidR="001B42E5">
        <w:rPr>
          <w:sz w:val="22"/>
          <w:szCs w:val="22"/>
        </w:rPr>
        <w:t>7 per</w:t>
      </w:r>
      <w:r w:rsidR="001B42E5" w:rsidRPr="006934BE">
        <w:rPr>
          <w:sz w:val="22"/>
          <w:szCs w:val="22"/>
        </w:rPr>
        <w:t>cent of total export receipts during FY</w:t>
      </w:r>
      <w:r w:rsidR="001B42E5">
        <w:rPr>
          <w:sz w:val="22"/>
          <w:szCs w:val="22"/>
        </w:rPr>
        <w:t>12</w:t>
      </w:r>
      <w:r w:rsidR="001B42E5" w:rsidRPr="006934BE">
        <w:rPr>
          <w:sz w:val="22"/>
          <w:szCs w:val="22"/>
        </w:rPr>
        <w:t xml:space="preserve"> are shown </w:t>
      </w:r>
      <w:r w:rsidR="00650BBC" w:rsidRPr="006934BE">
        <w:rPr>
          <w:sz w:val="22"/>
          <w:szCs w:val="22"/>
        </w:rPr>
        <w:t xml:space="preserve">in descending order </w:t>
      </w:r>
      <w:r w:rsidR="001B42E5">
        <w:rPr>
          <w:sz w:val="22"/>
          <w:szCs w:val="22"/>
        </w:rPr>
        <w:t xml:space="preserve">in table </w:t>
      </w:r>
      <w:r w:rsidR="001B42E5" w:rsidRPr="006934BE">
        <w:rPr>
          <w:sz w:val="22"/>
          <w:szCs w:val="22"/>
        </w:rPr>
        <w:t>along with export</w:t>
      </w:r>
      <w:r w:rsidR="001B42E5">
        <w:rPr>
          <w:sz w:val="22"/>
          <w:szCs w:val="22"/>
        </w:rPr>
        <w:t xml:space="preserve"> receipts during FY11.</w:t>
      </w:r>
      <w:r>
        <w:rPr>
          <w:sz w:val="22"/>
          <w:szCs w:val="22"/>
        </w:rPr>
        <w:t xml:space="preserve">The </w:t>
      </w:r>
      <w:r w:rsidR="001B42E5" w:rsidRPr="006934BE">
        <w:rPr>
          <w:sz w:val="22"/>
          <w:szCs w:val="22"/>
        </w:rPr>
        <w:t xml:space="preserve">commodity-wise analysis of export receipts revealed that </w:t>
      </w:r>
      <w:r w:rsidR="001B42E5">
        <w:rPr>
          <w:sz w:val="22"/>
          <w:szCs w:val="22"/>
        </w:rPr>
        <w:t xml:space="preserve">exports remained concentrated in </w:t>
      </w:r>
      <w:r w:rsidR="001B42E5" w:rsidRPr="006934BE">
        <w:rPr>
          <w:sz w:val="22"/>
          <w:szCs w:val="22"/>
        </w:rPr>
        <w:t>cotton, clothing</w:t>
      </w:r>
      <w:r w:rsidR="001B42E5">
        <w:rPr>
          <w:sz w:val="22"/>
          <w:szCs w:val="22"/>
        </w:rPr>
        <w:t>,</w:t>
      </w:r>
      <w:r w:rsidR="001B42E5" w:rsidRPr="006934BE">
        <w:rPr>
          <w:sz w:val="22"/>
          <w:szCs w:val="22"/>
        </w:rPr>
        <w:t xml:space="preserve"> textile </w:t>
      </w:r>
      <w:r w:rsidR="001B42E5">
        <w:rPr>
          <w:sz w:val="22"/>
          <w:szCs w:val="22"/>
        </w:rPr>
        <w:t>articles</w:t>
      </w:r>
      <w:r>
        <w:rPr>
          <w:sz w:val="22"/>
          <w:szCs w:val="22"/>
        </w:rPr>
        <w:t xml:space="preserve">, </w:t>
      </w:r>
      <w:r w:rsidRPr="006934BE">
        <w:rPr>
          <w:sz w:val="22"/>
          <w:szCs w:val="22"/>
        </w:rPr>
        <w:t>cereals</w:t>
      </w:r>
      <w:r w:rsidR="001B42E5" w:rsidRPr="006934BE">
        <w:rPr>
          <w:sz w:val="22"/>
          <w:szCs w:val="22"/>
        </w:rPr>
        <w:t xml:space="preserve"> and</w:t>
      </w:r>
      <w:r w:rsidR="001B42E5">
        <w:rPr>
          <w:sz w:val="22"/>
          <w:szCs w:val="22"/>
        </w:rPr>
        <w:t xml:space="preserve"> mineral fuels/oils and their distillation products as they earned $15,278 million i.e. 64 percent of total exports in the current year.   Same groups earned $16,168 million i.e. </w:t>
      </w:r>
      <w:r w:rsidR="00B436F4">
        <w:rPr>
          <w:sz w:val="22"/>
          <w:szCs w:val="22"/>
        </w:rPr>
        <w:t>66 percent</w:t>
      </w:r>
      <w:r w:rsidR="001B42E5">
        <w:rPr>
          <w:sz w:val="22"/>
          <w:szCs w:val="22"/>
        </w:rPr>
        <w:t xml:space="preserve"> of over-all exports in the </w:t>
      </w:r>
      <w:r w:rsidR="00650BBC">
        <w:rPr>
          <w:sz w:val="22"/>
          <w:szCs w:val="22"/>
        </w:rPr>
        <w:t xml:space="preserve">previous </w:t>
      </w:r>
      <w:r w:rsidR="00B37CFA">
        <w:rPr>
          <w:sz w:val="22"/>
          <w:szCs w:val="22"/>
        </w:rPr>
        <w:t>year</w:t>
      </w:r>
      <w:r w:rsidR="001B42E5">
        <w:rPr>
          <w:sz w:val="22"/>
          <w:szCs w:val="22"/>
        </w:rPr>
        <w:t xml:space="preserve">. </w:t>
      </w:r>
      <w:r w:rsidR="00B37CFA">
        <w:rPr>
          <w:sz w:val="22"/>
          <w:szCs w:val="22"/>
        </w:rPr>
        <w:t xml:space="preserve"> </w:t>
      </w:r>
      <w:r w:rsidR="001B42E5" w:rsidRPr="006934BE">
        <w:rPr>
          <w:sz w:val="22"/>
          <w:szCs w:val="22"/>
        </w:rPr>
        <w:t>The country-wise comparison of export receip</w:t>
      </w:r>
      <w:r w:rsidR="001B42E5">
        <w:rPr>
          <w:sz w:val="22"/>
          <w:szCs w:val="22"/>
        </w:rPr>
        <w:t xml:space="preserve">ts by major countries during </w:t>
      </w:r>
      <w:r w:rsidR="001B42E5" w:rsidRPr="00A80969">
        <w:rPr>
          <w:sz w:val="22"/>
          <w:szCs w:val="22"/>
        </w:rPr>
        <w:t>FY1</w:t>
      </w:r>
      <w:r w:rsidR="001B42E5">
        <w:rPr>
          <w:sz w:val="22"/>
          <w:szCs w:val="22"/>
        </w:rPr>
        <w:t>2</w:t>
      </w:r>
      <w:r w:rsidR="001B42E5" w:rsidRPr="006934BE">
        <w:rPr>
          <w:sz w:val="22"/>
          <w:szCs w:val="22"/>
        </w:rPr>
        <w:t xml:space="preserve"> </w:t>
      </w:r>
      <w:r w:rsidR="00B56750">
        <w:rPr>
          <w:sz w:val="22"/>
          <w:szCs w:val="22"/>
        </w:rPr>
        <w:t xml:space="preserve">along </w:t>
      </w:r>
      <w:r w:rsidR="001B42E5" w:rsidRPr="006934BE">
        <w:rPr>
          <w:sz w:val="22"/>
          <w:szCs w:val="22"/>
        </w:rPr>
        <w:t xml:space="preserve">with </w:t>
      </w:r>
      <w:r w:rsidR="001B42E5">
        <w:rPr>
          <w:sz w:val="22"/>
          <w:szCs w:val="22"/>
        </w:rPr>
        <w:t xml:space="preserve">FY11 </w:t>
      </w:r>
      <w:r w:rsidR="001B42E5" w:rsidRPr="006934BE">
        <w:rPr>
          <w:sz w:val="22"/>
          <w:szCs w:val="22"/>
        </w:rPr>
        <w:t xml:space="preserve">is </w:t>
      </w:r>
      <w:r w:rsidR="001B42E5">
        <w:rPr>
          <w:sz w:val="22"/>
          <w:szCs w:val="22"/>
        </w:rPr>
        <w:t>shown</w:t>
      </w:r>
      <w:r w:rsidR="001B42E5" w:rsidRPr="006934BE">
        <w:rPr>
          <w:sz w:val="22"/>
          <w:szCs w:val="22"/>
        </w:rPr>
        <w:t xml:space="preserve"> in Figure 1.</w:t>
      </w:r>
      <w:r w:rsidR="001B42E5" w:rsidRPr="001467C3">
        <w:rPr>
          <w:sz w:val="22"/>
          <w:szCs w:val="22"/>
        </w:rPr>
        <w:t xml:space="preserve"> </w:t>
      </w:r>
    </w:p>
    <w:p w:rsidR="001B42E5" w:rsidRDefault="00B928C6" w:rsidP="00B37CFA">
      <w:pPr>
        <w:pStyle w:val="BodyTextIndent"/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margin">
              <wp:posOffset>2179320</wp:posOffset>
            </wp:positionH>
            <wp:positionV relativeFrom="margin">
              <wp:posOffset>5495925</wp:posOffset>
            </wp:positionV>
            <wp:extent cx="3728720" cy="1984375"/>
            <wp:effectExtent l="19050" t="0" r="5080" b="0"/>
            <wp:wrapTight wrapText="bothSides">
              <wp:wrapPolygon edited="0">
                <wp:start x="-110" y="0"/>
                <wp:lineTo x="-110" y="21358"/>
                <wp:lineTo x="21629" y="21358"/>
                <wp:lineTo x="21629" y="0"/>
                <wp:lineTo x="-110" y="0"/>
              </wp:wrapPolygon>
            </wp:wrapTight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2E5" w:rsidRDefault="001B42E5" w:rsidP="00B37CFA">
      <w:pPr>
        <w:pStyle w:val="BodyTextIndent"/>
        <w:ind w:firstLine="0"/>
        <w:rPr>
          <w:sz w:val="22"/>
          <w:szCs w:val="22"/>
        </w:rPr>
      </w:pPr>
      <w:r>
        <w:rPr>
          <w:sz w:val="22"/>
          <w:szCs w:val="22"/>
        </w:rPr>
        <w:t>USA, China</w:t>
      </w:r>
      <w:r w:rsidR="00476C54">
        <w:rPr>
          <w:sz w:val="22"/>
          <w:szCs w:val="22"/>
        </w:rPr>
        <w:t>,</w:t>
      </w:r>
      <w:r>
        <w:rPr>
          <w:sz w:val="22"/>
          <w:szCs w:val="22"/>
        </w:rPr>
        <w:t xml:space="preserve"> UAE</w:t>
      </w:r>
      <w:r w:rsidR="00476C54">
        <w:rPr>
          <w:sz w:val="22"/>
          <w:szCs w:val="22"/>
        </w:rPr>
        <w:t>,</w:t>
      </w:r>
      <w:r>
        <w:rPr>
          <w:sz w:val="22"/>
          <w:szCs w:val="22"/>
        </w:rPr>
        <w:t xml:space="preserve"> Afghanistan, UK, and Germany remained major destinations of country’s exports. It has been observed </w:t>
      </w:r>
      <w:r w:rsidR="00B436F4">
        <w:rPr>
          <w:sz w:val="22"/>
          <w:szCs w:val="22"/>
        </w:rPr>
        <w:t xml:space="preserve">that </w:t>
      </w:r>
      <w:r>
        <w:rPr>
          <w:sz w:val="22"/>
          <w:szCs w:val="22"/>
        </w:rPr>
        <w:t>49 percent of total exports were destined for these countries</w:t>
      </w:r>
      <w:r w:rsidR="00B436F4">
        <w:rPr>
          <w:sz w:val="22"/>
          <w:szCs w:val="22"/>
        </w:rPr>
        <w:t xml:space="preserve"> in FY12 &amp; FY11.   </w:t>
      </w:r>
      <w:r w:rsidR="00B37CFA">
        <w:rPr>
          <w:sz w:val="22"/>
          <w:szCs w:val="22"/>
        </w:rPr>
        <w:t xml:space="preserve"> </w:t>
      </w:r>
      <w:r w:rsidRPr="006934BE">
        <w:rPr>
          <w:sz w:val="22"/>
          <w:szCs w:val="22"/>
        </w:rPr>
        <w:t xml:space="preserve">Major </w:t>
      </w:r>
      <w:r>
        <w:rPr>
          <w:sz w:val="22"/>
          <w:szCs w:val="22"/>
        </w:rPr>
        <w:t>c</w:t>
      </w:r>
      <w:r w:rsidRPr="006934BE">
        <w:rPr>
          <w:sz w:val="22"/>
          <w:szCs w:val="22"/>
        </w:rPr>
        <w:t xml:space="preserve">ommodities groups constituting </w:t>
      </w:r>
      <w:r>
        <w:rPr>
          <w:sz w:val="22"/>
          <w:szCs w:val="22"/>
        </w:rPr>
        <w:t>9</w:t>
      </w:r>
      <w:r w:rsidR="00476C54">
        <w:rPr>
          <w:sz w:val="22"/>
          <w:szCs w:val="22"/>
        </w:rPr>
        <w:t>0</w:t>
      </w:r>
      <w:r w:rsidRPr="006934BE">
        <w:rPr>
          <w:sz w:val="22"/>
          <w:szCs w:val="22"/>
        </w:rPr>
        <w:t xml:space="preserve"> percent of total import payments reported by banks during </w:t>
      </w:r>
      <w:r>
        <w:rPr>
          <w:sz w:val="22"/>
          <w:szCs w:val="22"/>
        </w:rPr>
        <w:t>FY12</w:t>
      </w:r>
      <w:r w:rsidRPr="006934BE">
        <w:rPr>
          <w:sz w:val="22"/>
          <w:szCs w:val="22"/>
        </w:rPr>
        <w:t xml:space="preserve"> in desce</w:t>
      </w:r>
      <w:r w:rsidR="00B37CFA">
        <w:rPr>
          <w:sz w:val="22"/>
          <w:szCs w:val="22"/>
        </w:rPr>
        <w:t xml:space="preserve">nding order except other groups </w:t>
      </w:r>
      <w:r w:rsidRPr="006934BE">
        <w:rPr>
          <w:sz w:val="22"/>
          <w:szCs w:val="22"/>
        </w:rPr>
        <w:t xml:space="preserve">are shown </w:t>
      </w:r>
      <w:r w:rsidR="00650BBC">
        <w:rPr>
          <w:sz w:val="22"/>
          <w:szCs w:val="22"/>
        </w:rPr>
        <w:t>in the</w:t>
      </w:r>
      <w:r>
        <w:rPr>
          <w:sz w:val="22"/>
          <w:szCs w:val="22"/>
        </w:rPr>
        <w:t xml:space="preserve"> table</w:t>
      </w:r>
      <w:r w:rsidR="00650BBC">
        <w:rPr>
          <w:sz w:val="22"/>
          <w:szCs w:val="22"/>
        </w:rPr>
        <w:t xml:space="preserve"> 4</w:t>
      </w:r>
      <w:r>
        <w:rPr>
          <w:sz w:val="22"/>
          <w:szCs w:val="22"/>
        </w:rPr>
        <w:t>.</w:t>
      </w:r>
    </w:p>
    <w:p w:rsidR="000F66AF" w:rsidRPr="006934BE" w:rsidRDefault="000F66AF" w:rsidP="00B37CFA">
      <w:pPr>
        <w:pStyle w:val="BodyTextIndent"/>
        <w:ind w:firstLine="0"/>
        <w:rPr>
          <w:sz w:val="22"/>
          <w:szCs w:val="22"/>
        </w:rPr>
      </w:pPr>
    </w:p>
    <w:p w:rsidR="001B42E5" w:rsidRPr="006934BE" w:rsidRDefault="00E820CB" w:rsidP="00B37CFA">
      <w:pPr>
        <w:pStyle w:val="BodyTextIndent"/>
        <w:ind w:firstLine="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pict>
          <v:shape id="_x0000_s1060" type="#_x0000_t75" style="position:absolute;left:0;text-align:left;margin-left:116pt;margin-top:14.65pt;width:342.6pt;height:275.55pt;z-index:-251436032;mso-position-horizontal-relative:margin;mso-position-vertical-relative:margin" wrapcoords="-52 57 -52 21485 21600 21485 21600 57 -52 57">
            <v:imagedata r:id="rId15" o:title=""/>
            <w10:wrap type="tight" anchorx="margin" anchory="margin"/>
          </v:shape>
          <o:OLEObject Type="Embed" ProgID="Excel.Sheet.8" ShapeID="_x0000_s1060" DrawAspect="Content" ObjectID="_1426413028" r:id="rId16"/>
        </w:pict>
      </w:r>
      <w:r w:rsidR="009F621A" w:rsidRPr="001467C3">
        <w:rPr>
          <w:sz w:val="22"/>
          <w:szCs w:val="22"/>
        </w:rPr>
        <w:t xml:space="preserve"> </w:t>
      </w:r>
      <w:r w:rsidR="001B42E5">
        <w:rPr>
          <w:sz w:val="22"/>
          <w:szCs w:val="22"/>
        </w:rPr>
        <w:t>A total of $14,878 million, 3</w:t>
      </w:r>
      <w:r w:rsidR="00476C54">
        <w:rPr>
          <w:sz w:val="22"/>
          <w:szCs w:val="22"/>
        </w:rPr>
        <w:t>8</w:t>
      </w:r>
      <w:r w:rsidR="001B42E5">
        <w:rPr>
          <w:sz w:val="22"/>
          <w:szCs w:val="22"/>
        </w:rPr>
        <w:t xml:space="preserve"> percent of total import payments, were made for group comprising minerals fuels, oil and their distillation products. Import payments for animal or vegetable oils and cleavage products jumped up by $601 million (30%) to reach $2,629 million. Payments made for purchase of fertilizer witnessed a significant increase of </w:t>
      </w:r>
      <w:r w:rsidR="00476C54">
        <w:rPr>
          <w:sz w:val="22"/>
          <w:szCs w:val="22"/>
        </w:rPr>
        <w:t>$586 million (</w:t>
      </w:r>
      <w:r w:rsidR="001B42E5">
        <w:rPr>
          <w:sz w:val="22"/>
          <w:szCs w:val="22"/>
        </w:rPr>
        <w:t>127 percent</w:t>
      </w:r>
      <w:r w:rsidR="00476C54">
        <w:rPr>
          <w:sz w:val="22"/>
          <w:szCs w:val="22"/>
        </w:rPr>
        <w:t>)</w:t>
      </w:r>
      <w:r w:rsidR="001B42E5">
        <w:rPr>
          <w:sz w:val="22"/>
          <w:szCs w:val="22"/>
        </w:rPr>
        <w:t xml:space="preserve"> during FY12 from $461 million</w:t>
      </w:r>
      <w:r w:rsidR="00544C8A">
        <w:rPr>
          <w:sz w:val="22"/>
          <w:szCs w:val="22"/>
        </w:rPr>
        <w:t xml:space="preserve"> in FY11</w:t>
      </w:r>
      <w:r w:rsidR="001B42E5">
        <w:rPr>
          <w:sz w:val="22"/>
          <w:szCs w:val="22"/>
        </w:rPr>
        <w:t xml:space="preserve"> to $1,047 million. </w:t>
      </w:r>
      <w:r w:rsidR="001B42E5" w:rsidRPr="006934BE">
        <w:rPr>
          <w:sz w:val="22"/>
          <w:szCs w:val="22"/>
        </w:rPr>
        <w:tab/>
      </w:r>
    </w:p>
    <w:p w:rsidR="001B42E5" w:rsidRPr="001467C3" w:rsidRDefault="001B42E5" w:rsidP="00B37CFA">
      <w:pPr>
        <w:pStyle w:val="BodyTextIndent"/>
        <w:ind w:firstLine="0"/>
        <w:rPr>
          <w:sz w:val="22"/>
          <w:szCs w:val="22"/>
        </w:rPr>
      </w:pPr>
    </w:p>
    <w:p w:rsidR="001B42E5" w:rsidRPr="001467C3" w:rsidRDefault="001B42E5" w:rsidP="00B37CFA">
      <w:pPr>
        <w:pStyle w:val="BodyTextIndent"/>
        <w:ind w:firstLine="0"/>
        <w:rPr>
          <w:sz w:val="22"/>
          <w:szCs w:val="22"/>
        </w:rPr>
      </w:pPr>
      <w:r w:rsidRPr="001467C3">
        <w:rPr>
          <w:sz w:val="22"/>
          <w:szCs w:val="22"/>
        </w:rPr>
        <w:t xml:space="preserve">The country-wise comparison of import payments including freight to major countries during FY12 with </w:t>
      </w:r>
      <w:r w:rsidR="00544C8A">
        <w:rPr>
          <w:sz w:val="22"/>
          <w:szCs w:val="22"/>
        </w:rPr>
        <w:t>those</w:t>
      </w:r>
      <w:r w:rsidRPr="001467C3">
        <w:rPr>
          <w:sz w:val="22"/>
          <w:szCs w:val="22"/>
        </w:rPr>
        <w:t xml:space="preserve"> of </w:t>
      </w:r>
      <w:r w:rsidR="00544C8A">
        <w:rPr>
          <w:sz w:val="22"/>
          <w:szCs w:val="22"/>
        </w:rPr>
        <w:t>previous</w:t>
      </w:r>
      <w:r w:rsidRPr="001467C3">
        <w:rPr>
          <w:sz w:val="22"/>
          <w:szCs w:val="22"/>
        </w:rPr>
        <w:t xml:space="preserve"> year is shown in Figure 2. </w:t>
      </w:r>
      <w:r w:rsidR="009F621A" w:rsidRPr="001467C3">
        <w:rPr>
          <w:sz w:val="22"/>
          <w:szCs w:val="22"/>
        </w:rPr>
        <w:t>Major chunk of payments i.e. $</w:t>
      </w:r>
      <w:r w:rsidR="00D63ABD" w:rsidRPr="001467C3">
        <w:rPr>
          <w:sz w:val="22"/>
          <w:szCs w:val="22"/>
        </w:rPr>
        <w:t>24,</w:t>
      </w:r>
      <w:r w:rsidR="00476C54" w:rsidRPr="001467C3">
        <w:rPr>
          <w:sz w:val="22"/>
          <w:szCs w:val="22"/>
        </w:rPr>
        <w:t>263</w:t>
      </w:r>
      <w:r w:rsidR="009F621A" w:rsidRPr="001467C3">
        <w:rPr>
          <w:sz w:val="22"/>
          <w:szCs w:val="22"/>
        </w:rPr>
        <w:t xml:space="preserve">  </w:t>
      </w:r>
      <w:r w:rsidRPr="001467C3">
        <w:rPr>
          <w:sz w:val="22"/>
          <w:szCs w:val="22"/>
        </w:rPr>
        <w:t xml:space="preserve"> </w:t>
      </w:r>
      <w:r w:rsidR="009F621A" w:rsidRPr="001467C3">
        <w:rPr>
          <w:sz w:val="22"/>
          <w:szCs w:val="22"/>
        </w:rPr>
        <w:t>million (</w:t>
      </w:r>
      <w:r w:rsidRPr="001467C3">
        <w:rPr>
          <w:sz w:val="22"/>
          <w:szCs w:val="22"/>
        </w:rPr>
        <w:t>61 percent</w:t>
      </w:r>
      <w:r w:rsidR="009F621A" w:rsidRPr="001467C3">
        <w:rPr>
          <w:sz w:val="22"/>
          <w:szCs w:val="22"/>
        </w:rPr>
        <w:t>) were</w:t>
      </w:r>
      <w:r w:rsidRPr="001467C3">
        <w:rPr>
          <w:sz w:val="22"/>
          <w:szCs w:val="22"/>
        </w:rPr>
        <w:t xml:space="preserve"> made to UAE, Saudi Arabia, China, Kuwait </w:t>
      </w:r>
      <w:r w:rsidR="009F621A" w:rsidRPr="001467C3">
        <w:rPr>
          <w:sz w:val="22"/>
          <w:szCs w:val="22"/>
        </w:rPr>
        <w:t>Singapore</w:t>
      </w:r>
      <w:r w:rsidRPr="001467C3">
        <w:rPr>
          <w:sz w:val="22"/>
          <w:szCs w:val="22"/>
        </w:rPr>
        <w:t xml:space="preserve"> </w:t>
      </w:r>
      <w:r w:rsidR="00D63ABD" w:rsidRPr="001467C3">
        <w:rPr>
          <w:sz w:val="22"/>
          <w:szCs w:val="22"/>
        </w:rPr>
        <w:t xml:space="preserve">and Malaysia </w:t>
      </w:r>
      <w:r w:rsidRPr="001467C3">
        <w:rPr>
          <w:sz w:val="22"/>
          <w:szCs w:val="22"/>
        </w:rPr>
        <w:t xml:space="preserve">in FY12. </w:t>
      </w:r>
      <w:r w:rsidR="009F621A" w:rsidRPr="001467C3">
        <w:rPr>
          <w:sz w:val="22"/>
          <w:szCs w:val="22"/>
        </w:rPr>
        <w:t xml:space="preserve">The order of the percentage share of these countries remained unchanged </w:t>
      </w:r>
      <w:r w:rsidR="00D63ABD" w:rsidRPr="001467C3">
        <w:rPr>
          <w:sz w:val="22"/>
          <w:szCs w:val="22"/>
        </w:rPr>
        <w:t xml:space="preserve">during FY12 &amp; FY11. </w:t>
      </w:r>
    </w:p>
    <w:p w:rsidR="00544C8A" w:rsidRDefault="00544C8A" w:rsidP="00B37CFA">
      <w:pPr>
        <w:tabs>
          <w:tab w:val="left" w:pos="9090"/>
        </w:tabs>
        <w:jc w:val="both"/>
        <w:rPr>
          <w:rFonts w:ascii="Times New Roman" w:hAnsi="Times New Roman" w:cs="Times New Roman"/>
          <w:b/>
        </w:rPr>
      </w:pPr>
    </w:p>
    <w:p w:rsidR="00BE77A2" w:rsidRDefault="00E820CB" w:rsidP="00B37CFA">
      <w:pPr>
        <w:tabs>
          <w:tab w:val="left" w:pos="9090"/>
        </w:tabs>
        <w:jc w:val="both"/>
        <w:rPr>
          <w:rFonts w:ascii="Times New Roman" w:hAnsi="Times New Roman" w:cs="Times New Roman"/>
          <w:b/>
        </w:rPr>
      </w:pPr>
      <w:r w:rsidRPr="00E820CB">
        <w:rPr>
          <w:noProof/>
        </w:rPr>
        <w:pict>
          <v:shape id="_x0000_s1059" type="#_x0000_t75" style="position:absolute;left:0;text-align:left;margin-left:131.75pt;margin-top:377.55pt;width:332.4pt;height:200pt;z-index:-251437056;mso-position-horizontal-relative:margin;mso-position-vertical-relative:margin" wrapcoords="-44 73 -44 21454 21600 21454 21600 73 -44 73">
            <v:imagedata r:id="rId17" o:title=""/>
            <w10:wrap type="tight" anchorx="margin" anchory="margin"/>
          </v:shape>
          <o:OLEObject Type="Embed" ProgID="Excel.Sheet.8" ShapeID="_x0000_s1059" DrawAspect="Content" ObjectID="_1426413029" r:id="rId18"/>
        </w:pict>
      </w:r>
      <w:r w:rsidR="00BE77A2" w:rsidRPr="006857E9">
        <w:rPr>
          <w:rFonts w:ascii="Times New Roman" w:hAnsi="Times New Roman" w:cs="Times New Roman"/>
          <w:b/>
        </w:rPr>
        <w:t>Services</w:t>
      </w:r>
    </w:p>
    <w:p w:rsidR="00967520" w:rsidRPr="00BF7E5F" w:rsidRDefault="00BE77A2" w:rsidP="00BF7E5F">
      <w:pPr>
        <w:pStyle w:val="BodyTextIndent"/>
        <w:ind w:firstLine="0"/>
        <w:rPr>
          <w:sz w:val="22"/>
          <w:szCs w:val="22"/>
        </w:rPr>
      </w:pPr>
      <w:r w:rsidRPr="00BF7E5F">
        <w:rPr>
          <w:sz w:val="22"/>
          <w:szCs w:val="22"/>
        </w:rPr>
        <w:t xml:space="preserve">The deficit in services account </w:t>
      </w:r>
      <w:r w:rsidR="00010C5F" w:rsidRPr="00BF7E5F">
        <w:rPr>
          <w:sz w:val="22"/>
          <w:szCs w:val="22"/>
        </w:rPr>
        <w:t>increased</w:t>
      </w:r>
      <w:r w:rsidR="00446B54" w:rsidRPr="00BF7E5F">
        <w:rPr>
          <w:sz w:val="22"/>
          <w:szCs w:val="22"/>
        </w:rPr>
        <w:t xml:space="preserve"> by</w:t>
      </w:r>
      <w:r w:rsidRPr="00BF7E5F">
        <w:rPr>
          <w:sz w:val="22"/>
          <w:szCs w:val="22"/>
        </w:rPr>
        <w:t xml:space="preserve"> $</w:t>
      </w:r>
      <w:r w:rsidR="009D4D20" w:rsidRPr="00BF7E5F">
        <w:rPr>
          <w:sz w:val="22"/>
          <w:szCs w:val="22"/>
        </w:rPr>
        <w:t>1,252</w:t>
      </w:r>
      <w:r w:rsidRPr="00BF7E5F">
        <w:rPr>
          <w:sz w:val="22"/>
          <w:szCs w:val="22"/>
        </w:rPr>
        <w:t xml:space="preserve"> million</w:t>
      </w:r>
      <w:r w:rsidR="00476C54" w:rsidRPr="00BF7E5F">
        <w:rPr>
          <w:sz w:val="22"/>
          <w:szCs w:val="22"/>
        </w:rPr>
        <w:t xml:space="preserve"> (65 percent</w:t>
      </w:r>
      <w:r w:rsidR="00544C8A" w:rsidRPr="00BF7E5F">
        <w:rPr>
          <w:sz w:val="22"/>
          <w:szCs w:val="22"/>
        </w:rPr>
        <w:t>) from</w:t>
      </w:r>
      <w:r w:rsidRPr="00BF7E5F">
        <w:rPr>
          <w:sz w:val="22"/>
          <w:szCs w:val="22"/>
        </w:rPr>
        <w:t xml:space="preserve"> $</w:t>
      </w:r>
      <w:r w:rsidR="00010C5F" w:rsidRPr="00BF7E5F">
        <w:rPr>
          <w:sz w:val="22"/>
          <w:szCs w:val="22"/>
        </w:rPr>
        <w:t>1</w:t>
      </w:r>
      <w:r w:rsidRPr="00BF7E5F">
        <w:rPr>
          <w:sz w:val="22"/>
          <w:szCs w:val="22"/>
        </w:rPr>
        <w:t>,</w:t>
      </w:r>
      <w:r w:rsidR="009D4D20" w:rsidRPr="00BF7E5F">
        <w:rPr>
          <w:sz w:val="22"/>
          <w:szCs w:val="22"/>
        </w:rPr>
        <w:t>940</w:t>
      </w:r>
      <w:r w:rsidRPr="00BF7E5F">
        <w:rPr>
          <w:sz w:val="22"/>
          <w:szCs w:val="22"/>
        </w:rPr>
        <w:t xml:space="preserve"> million in </w:t>
      </w:r>
      <w:r w:rsidR="0057452E" w:rsidRPr="00BF7E5F">
        <w:rPr>
          <w:sz w:val="22"/>
          <w:szCs w:val="22"/>
        </w:rPr>
        <w:t>FY</w:t>
      </w:r>
      <w:r w:rsidR="00010C5F" w:rsidRPr="00BF7E5F">
        <w:rPr>
          <w:sz w:val="22"/>
          <w:szCs w:val="22"/>
        </w:rPr>
        <w:t>1</w:t>
      </w:r>
      <w:r w:rsidR="00544C8A">
        <w:rPr>
          <w:sz w:val="22"/>
          <w:szCs w:val="22"/>
        </w:rPr>
        <w:t>1</w:t>
      </w:r>
      <w:r w:rsidRPr="00BF7E5F">
        <w:rPr>
          <w:sz w:val="22"/>
          <w:szCs w:val="22"/>
        </w:rPr>
        <w:t xml:space="preserve"> to $ </w:t>
      </w:r>
      <w:r w:rsidR="009D4D20" w:rsidRPr="00BF7E5F">
        <w:rPr>
          <w:sz w:val="22"/>
          <w:szCs w:val="22"/>
        </w:rPr>
        <w:t>3,192</w:t>
      </w:r>
      <w:r w:rsidR="00DC65BD" w:rsidRPr="00BF7E5F">
        <w:rPr>
          <w:sz w:val="22"/>
          <w:szCs w:val="22"/>
        </w:rPr>
        <w:t xml:space="preserve"> </w:t>
      </w:r>
      <w:r w:rsidRPr="00BF7E5F">
        <w:rPr>
          <w:sz w:val="22"/>
          <w:szCs w:val="22"/>
        </w:rPr>
        <w:t xml:space="preserve">million in </w:t>
      </w:r>
      <w:r w:rsidR="0057452E" w:rsidRPr="00BF7E5F">
        <w:rPr>
          <w:sz w:val="22"/>
          <w:szCs w:val="22"/>
        </w:rPr>
        <w:t>FY</w:t>
      </w:r>
      <w:r w:rsidR="00DC65BD" w:rsidRPr="00BF7E5F">
        <w:rPr>
          <w:sz w:val="22"/>
          <w:szCs w:val="22"/>
        </w:rPr>
        <w:t>1</w:t>
      </w:r>
      <w:r w:rsidR="00544C8A">
        <w:rPr>
          <w:sz w:val="22"/>
          <w:szCs w:val="22"/>
        </w:rPr>
        <w:t>2</w:t>
      </w:r>
      <w:r w:rsidRPr="00BF7E5F">
        <w:rPr>
          <w:sz w:val="22"/>
          <w:szCs w:val="22"/>
        </w:rPr>
        <w:t xml:space="preserve"> </w:t>
      </w:r>
      <w:r w:rsidR="00544C8A" w:rsidRPr="00BF7E5F">
        <w:rPr>
          <w:sz w:val="22"/>
          <w:szCs w:val="22"/>
        </w:rPr>
        <w:t>the</w:t>
      </w:r>
      <w:r w:rsidRPr="00BF7E5F">
        <w:rPr>
          <w:sz w:val="22"/>
          <w:szCs w:val="22"/>
        </w:rPr>
        <w:t xml:space="preserve"> aggregate receipts of services transactions during </w:t>
      </w:r>
      <w:r w:rsidR="0057452E" w:rsidRPr="00BF7E5F">
        <w:rPr>
          <w:sz w:val="22"/>
          <w:szCs w:val="22"/>
        </w:rPr>
        <w:t>FY</w:t>
      </w:r>
      <w:r w:rsidR="00DC65BD" w:rsidRPr="00BF7E5F">
        <w:rPr>
          <w:sz w:val="22"/>
          <w:szCs w:val="22"/>
        </w:rPr>
        <w:t>1</w:t>
      </w:r>
      <w:r w:rsidR="009D4D20" w:rsidRPr="00BF7E5F">
        <w:rPr>
          <w:sz w:val="22"/>
          <w:szCs w:val="22"/>
        </w:rPr>
        <w:t>2</w:t>
      </w:r>
      <w:r w:rsidR="00544C8A">
        <w:rPr>
          <w:sz w:val="22"/>
          <w:szCs w:val="22"/>
        </w:rPr>
        <w:t xml:space="preserve">. </w:t>
      </w:r>
      <w:proofErr w:type="gramStart"/>
      <w:r w:rsidR="009D4D20" w:rsidRPr="00BF7E5F">
        <w:rPr>
          <w:sz w:val="22"/>
          <w:szCs w:val="22"/>
        </w:rPr>
        <w:t>declined</w:t>
      </w:r>
      <w:proofErr w:type="gramEnd"/>
      <w:r w:rsidR="009D4D20" w:rsidRPr="00BF7E5F">
        <w:rPr>
          <w:sz w:val="22"/>
          <w:szCs w:val="22"/>
        </w:rPr>
        <w:t xml:space="preserve"> </w:t>
      </w:r>
      <w:r w:rsidR="00544C8A" w:rsidRPr="00BF7E5F">
        <w:rPr>
          <w:sz w:val="22"/>
          <w:szCs w:val="22"/>
        </w:rPr>
        <w:t>to $</w:t>
      </w:r>
      <w:r w:rsidR="009D4D20" w:rsidRPr="00BF7E5F">
        <w:rPr>
          <w:sz w:val="22"/>
          <w:szCs w:val="22"/>
        </w:rPr>
        <w:t>5,035</w:t>
      </w:r>
      <w:r w:rsidR="00D760FB" w:rsidRPr="00BF7E5F">
        <w:rPr>
          <w:sz w:val="22"/>
          <w:szCs w:val="22"/>
        </w:rPr>
        <w:t xml:space="preserve"> million</w:t>
      </w:r>
      <w:r w:rsidR="00967520" w:rsidRPr="00BF7E5F">
        <w:rPr>
          <w:sz w:val="22"/>
          <w:szCs w:val="22"/>
        </w:rPr>
        <w:t xml:space="preserve">, </w:t>
      </w:r>
      <w:r w:rsidR="009D4D20" w:rsidRPr="00BF7E5F">
        <w:rPr>
          <w:sz w:val="22"/>
          <w:szCs w:val="22"/>
        </w:rPr>
        <w:t xml:space="preserve">down </w:t>
      </w:r>
      <w:r w:rsidR="00967520" w:rsidRPr="00BF7E5F">
        <w:rPr>
          <w:sz w:val="22"/>
          <w:szCs w:val="22"/>
        </w:rPr>
        <w:t>by</w:t>
      </w:r>
      <w:r w:rsidR="009D4D20" w:rsidRPr="00BF7E5F">
        <w:rPr>
          <w:sz w:val="22"/>
          <w:szCs w:val="22"/>
        </w:rPr>
        <w:t xml:space="preserve"> $733 million (</w:t>
      </w:r>
      <w:r w:rsidR="00F62D89" w:rsidRPr="00BF7E5F">
        <w:rPr>
          <w:sz w:val="22"/>
          <w:szCs w:val="22"/>
        </w:rPr>
        <w:t>1</w:t>
      </w:r>
      <w:r w:rsidR="009D4D20" w:rsidRPr="00BF7E5F">
        <w:rPr>
          <w:sz w:val="22"/>
          <w:szCs w:val="22"/>
        </w:rPr>
        <w:t>3</w:t>
      </w:r>
      <w:r w:rsidR="003176AA" w:rsidRPr="00BF7E5F">
        <w:rPr>
          <w:sz w:val="22"/>
          <w:szCs w:val="22"/>
        </w:rPr>
        <w:t xml:space="preserve"> per</w:t>
      </w:r>
      <w:r w:rsidR="00694D52" w:rsidRPr="00BF7E5F">
        <w:rPr>
          <w:sz w:val="22"/>
          <w:szCs w:val="22"/>
        </w:rPr>
        <w:t>cent</w:t>
      </w:r>
      <w:r w:rsidR="009D4D20" w:rsidRPr="00BF7E5F">
        <w:rPr>
          <w:sz w:val="22"/>
          <w:szCs w:val="22"/>
        </w:rPr>
        <w:t>)</w:t>
      </w:r>
      <w:r w:rsidR="00694D52" w:rsidRPr="00BF7E5F">
        <w:rPr>
          <w:sz w:val="22"/>
          <w:szCs w:val="22"/>
        </w:rPr>
        <w:t xml:space="preserve"> </w:t>
      </w:r>
      <w:r w:rsidR="006D2AED" w:rsidRPr="00BF7E5F">
        <w:rPr>
          <w:sz w:val="22"/>
          <w:szCs w:val="22"/>
        </w:rPr>
        <w:t xml:space="preserve">as compared to </w:t>
      </w:r>
      <w:r w:rsidR="00D760FB" w:rsidRPr="00BF7E5F">
        <w:rPr>
          <w:sz w:val="22"/>
          <w:szCs w:val="22"/>
        </w:rPr>
        <w:t xml:space="preserve">previous </w:t>
      </w:r>
      <w:r w:rsidR="006D2AED" w:rsidRPr="00BF7E5F">
        <w:rPr>
          <w:sz w:val="22"/>
          <w:szCs w:val="22"/>
        </w:rPr>
        <w:t>year</w:t>
      </w:r>
      <w:r w:rsidR="00967520" w:rsidRPr="00BF7E5F">
        <w:rPr>
          <w:sz w:val="22"/>
          <w:szCs w:val="22"/>
        </w:rPr>
        <w:t xml:space="preserve">.  </w:t>
      </w:r>
      <w:r w:rsidR="00F62D89" w:rsidRPr="00BF7E5F">
        <w:rPr>
          <w:sz w:val="22"/>
          <w:szCs w:val="22"/>
        </w:rPr>
        <w:t>Increase</w:t>
      </w:r>
      <w:r w:rsidR="00967520" w:rsidRPr="00BF7E5F">
        <w:rPr>
          <w:sz w:val="22"/>
          <w:szCs w:val="22"/>
        </w:rPr>
        <w:t xml:space="preserve"> of $</w:t>
      </w:r>
      <w:r w:rsidR="009D4D20" w:rsidRPr="00BF7E5F">
        <w:rPr>
          <w:sz w:val="22"/>
          <w:szCs w:val="22"/>
        </w:rPr>
        <w:t>519</w:t>
      </w:r>
      <w:r w:rsidR="00967520" w:rsidRPr="00BF7E5F">
        <w:rPr>
          <w:sz w:val="22"/>
          <w:szCs w:val="22"/>
        </w:rPr>
        <w:t xml:space="preserve"> million</w:t>
      </w:r>
      <w:r w:rsidR="00010C5F" w:rsidRPr="00BF7E5F">
        <w:rPr>
          <w:sz w:val="22"/>
          <w:szCs w:val="22"/>
        </w:rPr>
        <w:t xml:space="preserve"> (</w:t>
      </w:r>
      <w:r w:rsidR="009D4D20" w:rsidRPr="00BF7E5F">
        <w:rPr>
          <w:sz w:val="22"/>
          <w:szCs w:val="22"/>
        </w:rPr>
        <w:t>7</w:t>
      </w:r>
      <w:r w:rsidR="00010C5F" w:rsidRPr="00BF7E5F">
        <w:rPr>
          <w:sz w:val="22"/>
          <w:szCs w:val="22"/>
        </w:rPr>
        <w:t>percent)</w:t>
      </w:r>
      <w:r w:rsidR="00967520" w:rsidRPr="00BF7E5F">
        <w:rPr>
          <w:sz w:val="22"/>
          <w:szCs w:val="22"/>
        </w:rPr>
        <w:t xml:space="preserve"> in aggregate payments </w:t>
      </w:r>
      <w:r w:rsidR="00F62D89" w:rsidRPr="00BF7E5F">
        <w:rPr>
          <w:sz w:val="22"/>
          <w:szCs w:val="22"/>
        </w:rPr>
        <w:t>balloon</w:t>
      </w:r>
      <w:r w:rsidR="00494277" w:rsidRPr="00BF7E5F">
        <w:rPr>
          <w:sz w:val="22"/>
          <w:szCs w:val="22"/>
        </w:rPr>
        <w:t>ed</w:t>
      </w:r>
      <w:r w:rsidR="0038748D" w:rsidRPr="00BF7E5F">
        <w:rPr>
          <w:sz w:val="22"/>
          <w:szCs w:val="22"/>
        </w:rPr>
        <w:t xml:space="preserve"> </w:t>
      </w:r>
      <w:r w:rsidR="00967520" w:rsidRPr="00BF7E5F">
        <w:rPr>
          <w:sz w:val="22"/>
          <w:szCs w:val="22"/>
        </w:rPr>
        <w:t>service</w:t>
      </w:r>
      <w:r w:rsidR="00E7696B" w:rsidRPr="00BF7E5F">
        <w:rPr>
          <w:sz w:val="22"/>
          <w:szCs w:val="22"/>
        </w:rPr>
        <w:t>s deficit</w:t>
      </w:r>
      <w:r w:rsidR="006D2AED" w:rsidRPr="00BF7E5F">
        <w:rPr>
          <w:sz w:val="22"/>
          <w:szCs w:val="22"/>
        </w:rPr>
        <w:t>.</w:t>
      </w:r>
      <w:r w:rsidR="00967520" w:rsidRPr="00BF7E5F">
        <w:rPr>
          <w:sz w:val="22"/>
          <w:szCs w:val="22"/>
        </w:rPr>
        <w:t xml:space="preserve"> </w:t>
      </w:r>
    </w:p>
    <w:p w:rsidR="009D4D20" w:rsidRPr="00BF7E5F" w:rsidRDefault="006D2AED" w:rsidP="00BF7E5F">
      <w:pPr>
        <w:pStyle w:val="BodyTextIndent"/>
        <w:ind w:firstLine="0"/>
        <w:rPr>
          <w:sz w:val="22"/>
          <w:szCs w:val="22"/>
        </w:rPr>
      </w:pPr>
      <w:r w:rsidRPr="00BF7E5F">
        <w:rPr>
          <w:sz w:val="22"/>
          <w:szCs w:val="22"/>
        </w:rPr>
        <w:t xml:space="preserve">Government, </w:t>
      </w:r>
      <w:r w:rsidR="00967520" w:rsidRPr="00BF7E5F">
        <w:rPr>
          <w:sz w:val="22"/>
          <w:szCs w:val="22"/>
        </w:rPr>
        <w:t xml:space="preserve">transportation and </w:t>
      </w:r>
      <w:r w:rsidR="0038748D" w:rsidRPr="00BF7E5F">
        <w:rPr>
          <w:sz w:val="22"/>
          <w:szCs w:val="22"/>
        </w:rPr>
        <w:t>other</w:t>
      </w:r>
      <w:r w:rsidR="00967520" w:rsidRPr="00BF7E5F">
        <w:rPr>
          <w:sz w:val="22"/>
          <w:szCs w:val="22"/>
        </w:rPr>
        <w:t xml:space="preserve"> business </w:t>
      </w:r>
      <w:r w:rsidR="0038748D" w:rsidRPr="00BF7E5F">
        <w:rPr>
          <w:sz w:val="22"/>
          <w:szCs w:val="22"/>
        </w:rPr>
        <w:t>services accounted</w:t>
      </w:r>
      <w:r w:rsidR="00446B54" w:rsidRPr="00BF7E5F">
        <w:rPr>
          <w:sz w:val="22"/>
          <w:szCs w:val="22"/>
        </w:rPr>
        <w:t xml:space="preserve"> for</w:t>
      </w:r>
      <w:r w:rsidR="00967520" w:rsidRPr="00BF7E5F">
        <w:rPr>
          <w:sz w:val="22"/>
          <w:szCs w:val="22"/>
        </w:rPr>
        <w:t xml:space="preserve"> </w:t>
      </w:r>
      <w:r w:rsidR="00476C54" w:rsidRPr="00BF7E5F">
        <w:rPr>
          <w:sz w:val="22"/>
          <w:szCs w:val="22"/>
        </w:rPr>
        <w:t>80</w:t>
      </w:r>
      <w:r w:rsidR="007959C1" w:rsidRPr="00BF7E5F">
        <w:rPr>
          <w:sz w:val="22"/>
          <w:szCs w:val="22"/>
        </w:rPr>
        <w:t xml:space="preserve"> percent</w:t>
      </w:r>
      <w:r w:rsidR="009D4D20" w:rsidRPr="00BF7E5F">
        <w:rPr>
          <w:sz w:val="22"/>
          <w:szCs w:val="22"/>
        </w:rPr>
        <w:t xml:space="preserve"> </w:t>
      </w:r>
      <w:r w:rsidR="00967520" w:rsidRPr="00BF7E5F">
        <w:rPr>
          <w:sz w:val="22"/>
          <w:szCs w:val="22"/>
        </w:rPr>
        <w:t>of total receipts</w:t>
      </w:r>
      <w:r w:rsidR="00544C8A">
        <w:rPr>
          <w:sz w:val="22"/>
          <w:szCs w:val="22"/>
        </w:rPr>
        <w:t xml:space="preserve"> i.e.  </w:t>
      </w:r>
      <w:r w:rsidR="009B57B4" w:rsidRPr="00BF7E5F">
        <w:rPr>
          <w:sz w:val="22"/>
          <w:szCs w:val="22"/>
        </w:rPr>
        <w:t xml:space="preserve"> </w:t>
      </w:r>
      <w:proofErr w:type="gramStart"/>
      <w:r w:rsidR="009B57B4" w:rsidRPr="00BF7E5F">
        <w:rPr>
          <w:sz w:val="22"/>
          <w:szCs w:val="22"/>
        </w:rPr>
        <w:t>$ 4,027 million.</w:t>
      </w:r>
      <w:proofErr w:type="gramEnd"/>
      <w:r w:rsidR="009B57B4" w:rsidRPr="00BF7E5F">
        <w:rPr>
          <w:sz w:val="22"/>
          <w:szCs w:val="22"/>
        </w:rPr>
        <w:t xml:space="preserve"> </w:t>
      </w:r>
      <w:r w:rsidR="009D4D20" w:rsidRPr="00BF7E5F">
        <w:rPr>
          <w:sz w:val="22"/>
          <w:szCs w:val="22"/>
        </w:rPr>
        <w:t xml:space="preserve">Transportation and other business services consumed </w:t>
      </w:r>
      <w:r w:rsidR="00365F0C" w:rsidRPr="00BF7E5F">
        <w:rPr>
          <w:sz w:val="22"/>
          <w:szCs w:val="22"/>
        </w:rPr>
        <w:t>62 percent of services payments</w:t>
      </w:r>
      <w:r w:rsidR="00DF50BB" w:rsidRPr="00BF7E5F">
        <w:rPr>
          <w:sz w:val="22"/>
          <w:szCs w:val="22"/>
        </w:rPr>
        <w:t>.</w:t>
      </w:r>
      <w:r w:rsidR="00365F0C" w:rsidRPr="00BF7E5F">
        <w:rPr>
          <w:sz w:val="22"/>
          <w:szCs w:val="22"/>
        </w:rPr>
        <w:t xml:space="preserve"> </w:t>
      </w:r>
    </w:p>
    <w:p w:rsidR="009D4D20" w:rsidRPr="00BF7E5F" w:rsidRDefault="009D4D20" w:rsidP="00BF7E5F">
      <w:pPr>
        <w:pStyle w:val="BodyTextIndent"/>
        <w:ind w:firstLine="0"/>
        <w:rPr>
          <w:sz w:val="22"/>
          <w:szCs w:val="22"/>
        </w:rPr>
      </w:pPr>
    </w:p>
    <w:p w:rsidR="00414078" w:rsidRDefault="00414078" w:rsidP="00B37CFA">
      <w:pPr>
        <w:pStyle w:val="BodyTextIndent"/>
        <w:spacing w:line="276" w:lineRule="auto"/>
        <w:ind w:firstLine="0"/>
        <w:rPr>
          <w:b/>
        </w:rPr>
      </w:pPr>
    </w:p>
    <w:p w:rsidR="00544C8A" w:rsidRDefault="00544C8A" w:rsidP="00B37CFA">
      <w:pPr>
        <w:pStyle w:val="BodyTextIndent"/>
        <w:spacing w:line="276" w:lineRule="auto"/>
        <w:ind w:firstLine="0"/>
        <w:rPr>
          <w:b/>
        </w:rPr>
      </w:pPr>
    </w:p>
    <w:p w:rsidR="006857E9" w:rsidRDefault="006857E9" w:rsidP="00B37CFA">
      <w:pPr>
        <w:pStyle w:val="BodyTextIndent"/>
        <w:spacing w:line="276" w:lineRule="auto"/>
        <w:ind w:firstLine="0"/>
        <w:rPr>
          <w:b/>
        </w:rPr>
      </w:pPr>
      <w:r w:rsidRPr="006857E9">
        <w:rPr>
          <w:b/>
        </w:rPr>
        <w:lastRenderedPageBreak/>
        <w:t>Income</w:t>
      </w:r>
    </w:p>
    <w:p w:rsidR="005D4C4A" w:rsidRDefault="00E820CB" w:rsidP="00B37CFA">
      <w:pPr>
        <w:pStyle w:val="BodyTextIndent"/>
        <w:spacing w:line="276" w:lineRule="auto"/>
        <w:ind w:firstLine="0"/>
        <w:rPr>
          <w:b/>
        </w:rPr>
      </w:pPr>
      <w:r w:rsidRPr="00E820CB">
        <w:rPr>
          <w:noProof/>
        </w:rPr>
        <w:pict>
          <v:shape id="_x0000_s1062" type="#_x0000_t75" style="position:absolute;left:0;text-align:left;margin-left:164.75pt;margin-top:26.25pt;width:318.6pt;height:174.45pt;z-index:-251435008;mso-position-horizontal-relative:margin;mso-position-vertical-relative:margin" wrapcoords="-48 79 -48 18929 96 20815 624 20972 2352 20972 7968 20972 17376 20893 17280 20186 14304 20186 21600 19793 21600 79 -48 79">
            <v:imagedata r:id="rId19" o:title=""/>
            <w10:wrap type="tight" anchorx="margin" anchory="margin"/>
          </v:shape>
          <o:OLEObject Type="Embed" ProgID="Excel.Sheet.8" ShapeID="_x0000_s1062" DrawAspect="Content" ObjectID="_1426413030" r:id="rId20"/>
        </w:pict>
      </w:r>
    </w:p>
    <w:p w:rsidR="006857E9" w:rsidRDefault="00E820CB" w:rsidP="00B37CFA">
      <w:pPr>
        <w:tabs>
          <w:tab w:val="left" w:pos="9270"/>
        </w:tabs>
        <w:jc w:val="both"/>
        <w:rPr>
          <w:rFonts w:ascii="Times New Roman" w:hAnsi="Times New Roman" w:cs="Times New Roman"/>
        </w:rPr>
      </w:pPr>
      <w:r w:rsidRPr="00E820CB">
        <w:rPr>
          <w:rFonts w:ascii="Times New Roman" w:hAnsi="Times New Roman" w:cs="Times New Roman"/>
          <w:b/>
        </w:rPr>
        <w:pict>
          <v:shape id="_x0000_s1055" type="#_x0000_t75" style="position:absolute;left:0;text-align:left;margin-left:170.15pt;margin-top:226.4pt;width:318.6pt;height:182.3pt;z-index:-251440128;mso-position-horizontal-relative:margin;mso-position-vertical-relative:margin" wrapcoords="-60 77 -60 21446 21600 21446 21600 77 -60 77">
            <v:imagedata r:id="rId21" o:title=""/>
            <w10:wrap type="tight" anchorx="margin" anchory="margin"/>
          </v:shape>
          <o:OLEObject Type="Embed" ProgID="Excel.Sheet.8" ShapeID="_x0000_s1055" DrawAspect="Content" ObjectID="_1426413031" r:id="rId22"/>
        </w:pict>
      </w:r>
      <w:r w:rsidR="006857E9" w:rsidRPr="00BF7E5F">
        <w:rPr>
          <w:rFonts w:ascii="Times New Roman" w:eastAsia="Times New Roman" w:hAnsi="Times New Roman" w:cs="Times New Roman"/>
        </w:rPr>
        <w:t>The income deficit of $</w:t>
      </w:r>
      <w:r w:rsidR="00F52AF3" w:rsidRPr="00BF7E5F">
        <w:rPr>
          <w:rFonts w:ascii="Times New Roman" w:eastAsia="Times New Roman" w:hAnsi="Times New Roman" w:cs="Times New Roman"/>
        </w:rPr>
        <w:t>3</w:t>
      </w:r>
      <w:r w:rsidR="006857E9" w:rsidRPr="00BF7E5F">
        <w:rPr>
          <w:rFonts w:ascii="Times New Roman" w:eastAsia="Times New Roman" w:hAnsi="Times New Roman" w:cs="Times New Roman"/>
        </w:rPr>
        <w:t>,</w:t>
      </w:r>
      <w:r w:rsidR="00544C8A">
        <w:rPr>
          <w:rFonts w:ascii="Times New Roman" w:eastAsia="Times New Roman" w:hAnsi="Times New Roman" w:cs="Times New Roman"/>
        </w:rPr>
        <w:t xml:space="preserve">017 </w:t>
      </w:r>
      <w:r w:rsidR="006857E9" w:rsidRPr="00BF7E5F">
        <w:rPr>
          <w:rFonts w:ascii="Times New Roman" w:eastAsia="Times New Roman" w:hAnsi="Times New Roman" w:cs="Times New Roman"/>
        </w:rPr>
        <w:t>mill</w:t>
      </w:r>
      <w:r w:rsidR="006B1FBA" w:rsidRPr="00BF7E5F">
        <w:rPr>
          <w:rFonts w:ascii="Times New Roman" w:eastAsia="Times New Roman" w:hAnsi="Times New Roman" w:cs="Times New Roman"/>
        </w:rPr>
        <w:t xml:space="preserve">ion in </w:t>
      </w:r>
      <w:r w:rsidR="0057452E" w:rsidRPr="00BF7E5F">
        <w:rPr>
          <w:rFonts w:ascii="Times New Roman" w:eastAsia="Times New Roman" w:hAnsi="Times New Roman" w:cs="Times New Roman"/>
        </w:rPr>
        <w:t>FY</w:t>
      </w:r>
      <w:r w:rsidR="00F52AF3" w:rsidRPr="00BF7E5F">
        <w:rPr>
          <w:rFonts w:ascii="Times New Roman" w:eastAsia="Times New Roman" w:hAnsi="Times New Roman" w:cs="Times New Roman"/>
        </w:rPr>
        <w:t>1</w:t>
      </w:r>
      <w:r w:rsidR="00544C8A">
        <w:rPr>
          <w:rFonts w:ascii="Times New Roman" w:eastAsia="Times New Roman" w:hAnsi="Times New Roman" w:cs="Times New Roman"/>
        </w:rPr>
        <w:t>1</w:t>
      </w:r>
      <w:r w:rsidR="006B1FBA" w:rsidRPr="00BF7E5F">
        <w:rPr>
          <w:rFonts w:ascii="Times New Roman" w:eastAsia="Times New Roman" w:hAnsi="Times New Roman" w:cs="Times New Roman"/>
        </w:rPr>
        <w:t xml:space="preserve"> </w:t>
      </w:r>
      <w:r w:rsidR="00B0151F" w:rsidRPr="00BF7E5F">
        <w:rPr>
          <w:rFonts w:ascii="Times New Roman" w:eastAsia="Times New Roman" w:hAnsi="Times New Roman" w:cs="Times New Roman"/>
        </w:rPr>
        <w:t xml:space="preserve">was </w:t>
      </w:r>
      <w:r w:rsidR="00161FB7" w:rsidRPr="00BF7E5F">
        <w:rPr>
          <w:rFonts w:ascii="Times New Roman" w:eastAsia="Times New Roman" w:hAnsi="Times New Roman" w:cs="Times New Roman"/>
        </w:rPr>
        <w:t>increased</w:t>
      </w:r>
      <w:r w:rsidR="00494277" w:rsidRPr="00BF7E5F">
        <w:rPr>
          <w:rFonts w:ascii="Times New Roman" w:eastAsia="Times New Roman" w:hAnsi="Times New Roman" w:cs="Times New Roman"/>
        </w:rPr>
        <w:t xml:space="preserve"> </w:t>
      </w:r>
      <w:r w:rsidR="006B1FBA" w:rsidRPr="00BF7E5F">
        <w:rPr>
          <w:rFonts w:ascii="Times New Roman" w:eastAsia="Times New Roman" w:hAnsi="Times New Roman" w:cs="Times New Roman"/>
        </w:rPr>
        <w:t>by $</w:t>
      </w:r>
      <w:r w:rsidR="007F3970" w:rsidRPr="00BF7E5F">
        <w:rPr>
          <w:rFonts w:ascii="Times New Roman" w:eastAsia="Times New Roman" w:hAnsi="Times New Roman" w:cs="Times New Roman"/>
        </w:rPr>
        <w:t>2</w:t>
      </w:r>
      <w:r w:rsidR="00161FB7" w:rsidRPr="00BF7E5F">
        <w:rPr>
          <w:rFonts w:ascii="Times New Roman" w:eastAsia="Times New Roman" w:hAnsi="Times New Roman" w:cs="Times New Roman"/>
        </w:rPr>
        <w:t>28</w:t>
      </w:r>
      <w:r w:rsidR="003A70F3" w:rsidRPr="00BF7E5F">
        <w:rPr>
          <w:rFonts w:ascii="Times New Roman" w:eastAsia="Times New Roman" w:hAnsi="Times New Roman" w:cs="Times New Roman"/>
        </w:rPr>
        <w:t xml:space="preserve"> million </w:t>
      </w:r>
      <w:r w:rsidR="00F52AF3" w:rsidRPr="00BF7E5F">
        <w:rPr>
          <w:rFonts w:ascii="Times New Roman" w:eastAsia="Times New Roman" w:hAnsi="Times New Roman" w:cs="Times New Roman"/>
        </w:rPr>
        <w:t>(</w:t>
      </w:r>
      <w:r w:rsidR="007F3970" w:rsidRPr="00BF7E5F">
        <w:rPr>
          <w:rFonts w:ascii="Times New Roman" w:eastAsia="Times New Roman" w:hAnsi="Times New Roman" w:cs="Times New Roman"/>
        </w:rPr>
        <w:t>8</w:t>
      </w:r>
      <w:r w:rsidR="00F52AF3" w:rsidRPr="00BF7E5F">
        <w:rPr>
          <w:rFonts w:ascii="Times New Roman" w:eastAsia="Times New Roman" w:hAnsi="Times New Roman" w:cs="Times New Roman"/>
        </w:rPr>
        <w:t>%)</w:t>
      </w:r>
      <w:r w:rsidR="006857E9" w:rsidRPr="00BF7E5F">
        <w:rPr>
          <w:rFonts w:ascii="Times New Roman" w:eastAsia="Times New Roman" w:hAnsi="Times New Roman" w:cs="Times New Roman"/>
        </w:rPr>
        <w:t xml:space="preserve"> to</w:t>
      </w:r>
      <w:r w:rsidR="00544C8A">
        <w:rPr>
          <w:rFonts w:ascii="Times New Roman" w:eastAsia="Times New Roman" w:hAnsi="Times New Roman" w:cs="Times New Roman"/>
        </w:rPr>
        <w:t xml:space="preserve"> reach</w:t>
      </w:r>
      <w:r w:rsidR="006857E9" w:rsidRPr="00BF7E5F">
        <w:rPr>
          <w:rFonts w:ascii="Times New Roman" w:eastAsia="Times New Roman" w:hAnsi="Times New Roman" w:cs="Times New Roman"/>
        </w:rPr>
        <w:t xml:space="preserve"> $ </w:t>
      </w:r>
      <w:r w:rsidR="007F3970" w:rsidRPr="00BF7E5F">
        <w:rPr>
          <w:rFonts w:ascii="Times New Roman" w:eastAsia="Times New Roman" w:hAnsi="Times New Roman" w:cs="Times New Roman"/>
        </w:rPr>
        <w:t>3</w:t>
      </w:r>
      <w:r w:rsidR="006857E9" w:rsidRPr="00BF7E5F">
        <w:rPr>
          <w:rFonts w:ascii="Times New Roman" w:eastAsia="Times New Roman" w:hAnsi="Times New Roman" w:cs="Times New Roman"/>
        </w:rPr>
        <w:t>,</w:t>
      </w:r>
      <w:r w:rsidR="00544C8A">
        <w:rPr>
          <w:rFonts w:ascii="Times New Roman" w:eastAsia="Times New Roman" w:hAnsi="Times New Roman" w:cs="Times New Roman"/>
        </w:rPr>
        <w:t>245</w:t>
      </w:r>
      <w:r w:rsidR="00476C54" w:rsidRPr="00BF7E5F">
        <w:rPr>
          <w:rFonts w:ascii="Times New Roman" w:eastAsia="Times New Roman" w:hAnsi="Times New Roman" w:cs="Times New Roman"/>
        </w:rPr>
        <w:t xml:space="preserve"> </w:t>
      </w:r>
      <w:r w:rsidR="006857E9" w:rsidRPr="00BF7E5F">
        <w:rPr>
          <w:rFonts w:ascii="Times New Roman" w:eastAsia="Times New Roman" w:hAnsi="Times New Roman" w:cs="Times New Roman"/>
        </w:rPr>
        <w:t xml:space="preserve">million during </w:t>
      </w:r>
      <w:r w:rsidR="0057452E" w:rsidRPr="00BF7E5F">
        <w:rPr>
          <w:rFonts w:ascii="Times New Roman" w:eastAsia="Times New Roman" w:hAnsi="Times New Roman" w:cs="Times New Roman"/>
        </w:rPr>
        <w:t>FY</w:t>
      </w:r>
      <w:r w:rsidR="007F3970" w:rsidRPr="00BF7E5F">
        <w:rPr>
          <w:rFonts w:ascii="Times New Roman" w:eastAsia="Times New Roman" w:hAnsi="Times New Roman" w:cs="Times New Roman"/>
        </w:rPr>
        <w:t>1</w:t>
      </w:r>
      <w:r w:rsidR="00544C8A">
        <w:rPr>
          <w:rFonts w:ascii="Times New Roman" w:eastAsia="Times New Roman" w:hAnsi="Times New Roman" w:cs="Times New Roman"/>
        </w:rPr>
        <w:t>2</w:t>
      </w:r>
      <w:r w:rsidR="00B928C6">
        <w:rPr>
          <w:rFonts w:ascii="Times New Roman" w:eastAsia="Times New Roman" w:hAnsi="Times New Roman" w:cs="Times New Roman"/>
        </w:rPr>
        <w:t>.</w:t>
      </w:r>
      <w:r w:rsidR="00494277" w:rsidRPr="00BF7E5F">
        <w:rPr>
          <w:rFonts w:ascii="Times New Roman" w:eastAsia="Times New Roman" w:hAnsi="Times New Roman" w:cs="Times New Roman"/>
        </w:rPr>
        <w:t xml:space="preserve">The net </w:t>
      </w:r>
      <w:r w:rsidR="000C3B38" w:rsidRPr="00BF7E5F">
        <w:rPr>
          <w:rFonts w:ascii="Times New Roman" w:eastAsia="Times New Roman" w:hAnsi="Times New Roman" w:cs="Times New Roman"/>
        </w:rPr>
        <w:t>inflow of</w:t>
      </w:r>
      <w:r w:rsidR="000B7DC0" w:rsidRPr="00BF7E5F">
        <w:rPr>
          <w:rFonts w:ascii="Times New Roman" w:eastAsia="Times New Roman" w:hAnsi="Times New Roman" w:cs="Times New Roman"/>
        </w:rPr>
        <w:t xml:space="preserve"> compensation </w:t>
      </w:r>
      <w:r w:rsidR="00494277" w:rsidRPr="00BF7E5F">
        <w:rPr>
          <w:rFonts w:ascii="Times New Roman" w:eastAsia="Times New Roman" w:hAnsi="Times New Roman" w:cs="Times New Roman"/>
        </w:rPr>
        <w:t xml:space="preserve">of employees </w:t>
      </w:r>
      <w:r w:rsidR="00161FB7" w:rsidRPr="00BF7E5F">
        <w:rPr>
          <w:rFonts w:ascii="Times New Roman" w:eastAsia="Times New Roman" w:hAnsi="Times New Roman" w:cs="Times New Roman"/>
        </w:rPr>
        <w:t xml:space="preserve">decreased by  </w:t>
      </w:r>
      <w:r w:rsidR="000C3B38" w:rsidRPr="00BF7E5F">
        <w:rPr>
          <w:rFonts w:ascii="Times New Roman" w:eastAsia="Times New Roman" w:hAnsi="Times New Roman" w:cs="Times New Roman"/>
        </w:rPr>
        <w:t xml:space="preserve"> $4 million to $2</w:t>
      </w:r>
      <w:r w:rsidR="00161FB7" w:rsidRPr="00BF7E5F">
        <w:rPr>
          <w:rFonts w:ascii="Times New Roman" w:eastAsia="Times New Roman" w:hAnsi="Times New Roman" w:cs="Times New Roman"/>
        </w:rPr>
        <w:t>1</w:t>
      </w:r>
      <w:r w:rsidR="000C3B38" w:rsidRPr="00BF7E5F">
        <w:rPr>
          <w:rFonts w:ascii="Times New Roman" w:eastAsia="Times New Roman" w:hAnsi="Times New Roman" w:cs="Times New Roman"/>
        </w:rPr>
        <w:t xml:space="preserve"> million in the current year</w:t>
      </w:r>
      <w:r w:rsidR="000C3B38">
        <w:rPr>
          <w:rFonts w:ascii="Times New Roman" w:hAnsi="Times New Roman" w:cs="Times New Roman"/>
        </w:rPr>
        <w:t xml:space="preserve"> as compared with the previous year. T</w:t>
      </w:r>
      <w:r w:rsidR="006857E9" w:rsidRPr="002667E0">
        <w:rPr>
          <w:rFonts w:ascii="Times New Roman" w:hAnsi="Times New Roman" w:cs="Times New Roman"/>
        </w:rPr>
        <w:t xml:space="preserve">he net outflow of direct investment income </w:t>
      </w:r>
      <w:proofErr w:type="gramStart"/>
      <w:r w:rsidR="00161FB7">
        <w:rPr>
          <w:rFonts w:ascii="Times New Roman" w:hAnsi="Times New Roman" w:cs="Times New Roman"/>
        </w:rPr>
        <w:t xml:space="preserve">widened </w:t>
      </w:r>
      <w:r w:rsidR="00F52AF3">
        <w:rPr>
          <w:rFonts w:ascii="Times New Roman" w:hAnsi="Times New Roman" w:cs="Times New Roman"/>
        </w:rPr>
        <w:t xml:space="preserve"> </w:t>
      </w:r>
      <w:r w:rsidR="007959C1">
        <w:rPr>
          <w:rFonts w:ascii="Times New Roman" w:hAnsi="Times New Roman" w:cs="Times New Roman"/>
        </w:rPr>
        <w:t>to</w:t>
      </w:r>
      <w:proofErr w:type="gramEnd"/>
      <w:r w:rsidR="007959C1">
        <w:rPr>
          <w:rFonts w:ascii="Times New Roman" w:hAnsi="Times New Roman" w:cs="Times New Roman"/>
        </w:rPr>
        <w:t xml:space="preserve"> </w:t>
      </w:r>
      <w:r w:rsidR="007959C1" w:rsidRPr="002667E0">
        <w:rPr>
          <w:rFonts w:ascii="Times New Roman" w:hAnsi="Times New Roman" w:cs="Times New Roman"/>
        </w:rPr>
        <w:t>$</w:t>
      </w:r>
      <w:r w:rsidR="00F52AF3">
        <w:rPr>
          <w:rFonts w:ascii="Times New Roman" w:hAnsi="Times New Roman" w:cs="Times New Roman"/>
        </w:rPr>
        <w:t>2</w:t>
      </w:r>
      <w:r w:rsidR="006857E9" w:rsidRPr="002667E0">
        <w:rPr>
          <w:rFonts w:ascii="Times New Roman" w:hAnsi="Times New Roman" w:cs="Times New Roman"/>
        </w:rPr>
        <w:t>,</w:t>
      </w:r>
      <w:r w:rsidR="00161FB7">
        <w:rPr>
          <w:rFonts w:ascii="Times New Roman" w:hAnsi="Times New Roman" w:cs="Times New Roman"/>
        </w:rPr>
        <w:t>112</w:t>
      </w:r>
      <w:r w:rsidR="007F3970">
        <w:rPr>
          <w:rFonts w:ascii="Times New Roman" w:hAnsi="Times New Roman" w:cs="Times New Roman"/>
        </w:rPr>
        <w:t xml:space="preserve"> million during </w:t>
      </w:r>
      <w:r w:rsidR="0057452E">
        <w:rPr>
          <w:rFonts w:ascii="Times New Roman" w:hAnsi="Times New Roman" w:cs="Times New Roman"/>
        </w:rPr>
        <w:t>FY</w:t>
      </w:r>
      <w:r w:rsidR="00F52AF3">
        <w:rPr>
          <w:rFonts w:ascii="Times New Roman" w:hAnsi="Times New Roman" w:cs="Times New Roman"/>
        </w:rPr>
        <w:t>1</w:t>
      </w:r>
      <w:r w:rsidR="0080399A">
        <w:rPr>
          <w:rFonts w:ascii="Times New Roman" w:hAnsi="Times New Roman" w:cs="Times New Roman"/>
        </w:rPr>
        <w:t>2</w:t>
      </w:r>
      <w:r w:rsidR="006857E9" w:rsidRPr="002667E0">
        <w:rPr>
          <w:rFonts w:ascii="Times New Roman" w:hAnsi="Times New Roman" w:cs="Times New Roman"/>
        </w:rPr>
        <w:t xml:space="preserve"> as compared </w:t>
      </w:r>
      <w:r w:rsidR="003A70F3">
        <w:rPr>
          <w:rFonts w:ascii="Times New Roman" w:hAnsi="Times New Roman" w:cs="Times New Roman"/>
        </w:rPr>
        <w:t>to</w:t>
      </w:r>
      <w:r w:rsidR="006857E9" w:rsidRPr="002667E0">
        <w:rPr>
          <w:rFonts w:ascii="Times New Roman" w:hAnsi="Times New Roman" w:cs="Times New Roman"/>
        </w:rPr>
        <w:t xml:space="preserve"> $</w:t>
      </w:r>
      <w:r w:rsidR="007F3970">
        <w:rPr>
          <w:rFonts w:ascii="Times New Roman" w:hAnsi="Times New Roman" w:cs="Times New Roman"/>
        </w:rPr>
        <w:t>2</w:t>
      </w:r>
      <w:r w:rsidR="006857E9" w:rsidRPr="002667E0">
        <w:rPr>
          <w:rFonts w:ascii="Times New Roman" w:hAnsi="Times New Roman" w:cs="Times New Roman"/>
        </w:rPr>
        <w:t>,</w:t>
      </w:r>
      <w:r w:rsidR="0080399A">
        <w:rPr>
          <w:rFonts w:ascii="Times New Roman" w:hAnsi="Times New Roman" w:cs="Times New Roman"/>
        </w:rPr>
        <w:t>037</w:t>
      </w:r>
      <w:r w:rsidR="006857E9" w:rsidRPr="002667E0">
        <w:rPr>
          <w:rFonts w:ascii="Times New Roman" w:hAnsi="Times New Roman" w:cs="Times New Roman"/>
        </w:rPr>
        <w:t xml:space="preserve"> million </w:t>
      </w:r>
      <w:r w:rsidR="003A70F3">
        <w:rPr>
          <w:rFonts w:ascii="Times New Roman" w:hAnsi="Times New Roman" w:cs="Times New Roman"/>
        </w:rPr>
        <w:t>in the last year</w:t>
      </w:r>
      <w:r w:rsidR="006857E9" w:rsidRPr="002667E0">
        <w:rPr>
          <w:rFonts w:ascii="Times New Roman" w:hAnsi="Times New Roman" w:cs="Times New Roman"/>
        </w:rPr>
        <w:t xml:space="preserve">. </w:t>
      </w:r>
      <w:r w:rsidR="00F52AF3">
        <w:rPr>
          <w:rFonts w:ascii="Times New Roman" w:hAnsi="Times New Roman" w:cs="Times New Roman"/>
        </w:rPr>
        <w:t>Portfolio</w:t>
      </w:r>
      <w:r w:rsidR="006857E9" w:rsidRPr="002667E0">
        <w:rPr>
          <w:rFonts w:ascii="Times New Roman" w:hAnsi="Times New Roman" w:cs="Times New Roman"/>
        </w:rPr>
        <w:t xml:space="preserve"> investment income and other inv</w:t>
      </w:r>
      <w:r w:rsidR="006B1FBA" w:rsidRPr="002667E0">
        <w:rPr>
          <w:rFonts w:ascii="Times New Roman" w:hAnsi="Times New Roman" w:cs="Times New Roman"/>
        </w:rPr>
        <w:t xml:space="preserve">estment </w:t>
      </w:r>
      <w:r w:rsidR="00285039" w:rsidRPr="002667E0">
        <w:rPr>
          <w:rFonts w:ascii="Times New Roman" w:hAnsi="Times New Roman" w:cs="Times New Roman"/>
        </w:rPr>
        <w:t xml:space="preserve">income </w:t>
      </w:r>
      <w:r w:rsidR="00285039">
        <w:rPr>
          <w:rFonts w:ascii="Times New Roman" w:hAnsi="Times New Roman" w:cs="Times New Roman"/>
        </w:rPr>
        <w:t>posted</w:t>
      </w:r>
      <w:r w:rsidR="00F52AF3">
        <w:rPr>
          <w:rFonts w:ascii="Times New Roman" w:hAnsi="Times New Roman" w:cs="Times New Roman"/>
        </w:rPr>
        <w:t xml:space="preserve"> net outflow</w:t>
      </w:r>
      <w:r w:rsidR="006D2AED">
        <w:rPr>
          <w:rFonts w:ascii="Times New Roman" w:hAnsi="Times New Roman" w:cs="Times New Roman"/>
        </w:rPr>
        <w:t>s</w:t>
      </w:r>
      <w:r w:rsidR="00F52AF3">
        <w:rPr>
          <w:rFonts w:ascii="Times New Roman" w:hAnsi="Times New Roman" w:cs="Times New Roman"/>
        </w:rPr>
        <w:t xml:space="preserve"> o</w:t>
      </w:r>
      <w:r w:rsidR="007959C1">
        <w:rPr>
          <w:rFonts w:ascii="Times New Roman" w:hAnsi="Times New Roman" w:cs="Times New Roman"/>
        </w:rPr>
        <w:t>f $</w:t>
      </w:r>
      <w:r w:rsidR="0080399A">
        <w:rPr>
          <w:rFonts w:ascii="Times New Roman" w:hAnsi="Times New Roman" w:cs="Times New Roman"/>
        </w:rPr>
        <w:t>374</w:t>
      </w:r>
      <w:r w:rsidR="003176AA">
        <w:rPr>
          <w:rFonts w:ascii="Times New Roman" w:hAnsi="Times New Roman" w:cs="Times New Roman"/>
        </w:rPr>
        <w:t xml:space="preserve"> million and </w:t>
      </w:r>
      <w:r w:rsidR="007959C1">
        <w:rPr>
          <w:rFonts w:ascii="Times New Roman" w:hAnsi="Times New Roman" w:cs="Times New Roman"/>
        </w:rPr>
        <w:t>$</w:t>
      </w:r>
      <w:r w:rsidR="000B1B85">
        <w:rPr>
          <w:rFonts w:ascii="Times New Roman" w:hAnsi="Times New Roman" w:cs="Times New Roman"/>
        </w:rPr>
        <w:t>7</w:t>
      </w:r>
      <w:r w:rsidR="0080399A">
        <w:rPr>
          <w:rFonts w:ascii="Times New Roman" w:hAnsi="Times New Roman" w:cs="Times New Roman"/>
        </w:rPr>
        <w:t>8</w:t>
      </w:r>
      <w:r w:rsidR="007F3970">
        <w:rPr>
          <w:rFonts w:ascii="Times New Roman" w:hAnsi="Times New Roman" w:cs="Times New Roman"/>
        </w:rPr>
        <w:t>0</w:t>
      </w:r>
      <w:r w:rsidR="007959C1">
        <w:rPr>
          <w:rFonts w:ascii="Times New Roman" w:hAnsi="Times New Roman" w:cs="Times New Roman"/>
        </w:rPr>
        <w:t xml:space="preserve"> million respectively</w:t>
      </w:r>
      <w:r w:rsidR="00F52AF3">
        <w:rPr>
          <w:rFonts w:ascii="Times New Roman" w:hAnsi="Times New Roman" w:cs="Times New Roman"/>
        </w:rPr>
        <w:t xml:space="preserve">.   </w:t>
      </w:r>
    </w:p>
    <w:p w:rsidR="008E63B3" w:rsidRPr="00544C8A" w:rsidRDefault="006857E9" w:rsidP="00544C8A">
      <w:pPr>
        <w:pStyle w:val="BodyTextIndent"/>
        <w:spacing w:line="276" w:lineRule="auto"/>
        <w:ind w:firstLine="0"/>
        <w:rPr>
          <w:b/>
        </w:rPr>
      </w:pPr>
      <w:r w:rsidRPr="00544C8A">
        <w:rPr>
          <w:b/>
        </w:rPr>
        <w:t>Current Transfers</w:t>
      </w:r>
      <w:r w:rsidR="008E63B3" w:rsidRPr="00544C8A">
        <w:rPr>
          <w:b/>
        </w:rPr>
        <w:t xml:space="preserve">   </w:t>
      </w:r>
    </w:p>
    <w:p w:rsidR="00FD5254" w:rsidRDefault="008E63B3" w:rsidP="00B37CFA">
      <w:pPr>
        <w:pStyle w:val="Heading4"/>
        <w:spacing w:before="0"/>
        <w:rPr>
          <w:rFonts w:ascii="Times New Roman" w:hAnsi="Times New Roman" w:cs="Times New Roman"/>
          <w:i w:val="0"/>
          <w:color w:val="000000" w:themeColor="text1"/>
        </w:rPr>
      </w:pPr>
      <w:r>
        <w:rPr>
          <w:rFonts w:ascii="Times New Roman" w:hAnsi="Times New Roman" w:cs="Times New Roman"/>
          <w:i w:val="0"/>
          <w:color w:val="000000" w:themeColor="text1"/>
        </w:rPr>
        <w:t xml:space="preserve">                    </w:t>
      </w:r>
    </w:p>
    <w:p w:rsidR="006857E9" w:rsidRPr="007413CB" w:rsidRDefault="008E63B3" w:rsidP="00BF7E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transfers</w:t>
      </w:r>
      <w:r w:rsidR="00365F0C">
        <w:rPr>
          <w:rFonts w:ascii="Times New Roman" w:hAnsi="Times New Roman" w:cs="Times New Roman"/>
        </w:rPr>
        <w:t xml:space="preserve"> account remained affluent with </w:t>
      </w:r>
      <w:r w:rsidR="00EB01DB" w:rsidRPr="007413CB">
        <w:rPr>
          <w:rFonts w:ascii="Times New Roman" w:hAnsi="Times New Roman" w:cs="Times New Roman"/>
        </w:rPr>
        <w:t>$1</w:t>
      </w:r>
      <w:r w:rsidR="007413CB">
        <w:rPr>
          <w:rFonts w:ascii="Times New Roman" w:hAnsi="Times New Roman" w:cs="Times New Roman"/>
        </w:rPr>
        <w:t>7</w:t>
      </w:r>
      <w:r w:rsidR="00EB01DB" w:rsidRPr="007413CB">
        <w:rPr>
          <w:rFonts w:ascii="Times New Roman" w:hAnsi="Times New Roman" w:cs="Times New Roman"/>
        </w:rPr>
        <w:t>,</w:t>
      </w:r>
      <w:r w:rsidR="007413CB">
        <w:rPr>
          <w:rFonts w:ascii="Times New Roman" w:hAnsi="Times New Roman" w:cs="Times New Roman"/>
        </w:rPr>
        <w:t>5</w:t>
      </w:r>
      <w:r w:rsidR="009E0F1D">
        <w:rPr>
          <w:rFonts w:ascii="Times New Roman" w:hAnsi="Times New Roman" w:cs="Times New Roman"/>
        </w:rPr>
        <w:t>44</w:t>
      </w:r>
      <w:r w:rsidR="00EB01DB" w:rsidRPr="007413CB">
        <w:rPr>
          <w:rFonts w:ascii="Times New Roman" w:hAnsi="Times New Roman" w:cs="Times New Roman"/>
        </w:rPr>
        <w:t xml:space="preserve"> million during </w:t>
      </w:r>
      <w:r w:rsidR="0057452E" w:rsidRPr="007413CB">
        <w:rPr>
          <w:rFonts w:ascii="Times New Roman" w:hAnsi="Times New Roman" w:cs="Times New Roman"/>
        </w:rPr>
        <w:t>FY</w:t>
      </w:r>
      <w:r w:rsidR="00EB01DB" w:rsidRPr="007413CB">
        <w:rPr>
          <w:rFonts w:ascii="Times New Roman" w:hAnsi="Times New Roman" w:cs="Times New Roman"/>
        </w:rPr>
        <w:t>1</w:t>
      </w:r>
      <w:r w:rsidR="007413CB">
        <w:rPr>
          <w:rFonts w:ascii="Times New Roman" w:hAnsi="Times New Roman" w:cs="Times New Roman"/>
        </w:rPr>
        <w:t>2</w:t>
      </w:r>
      <w:r w:rsidR="00C260C5" w:rsidRPr="007413CB">
        <w:rPr>
          <w:rFonts w:ascii="Times New Roman" w:hAnsi="Times New Roman" w:cs="Times New Roman"/>
        </w:rPr>
        <w:t>,</w:t>
      </w:r>
      <w:r w:rsidR="00741495" w:rsidRPr="007413CB">
        <w:rPr>
          <w:rFonts w:ascii="Times New Roman" w:hAnsi="Times New Roman" w:cs="Times New Roman"/>
        </w:rPr>
        <w:t xml:space="preserve"> up by</w:t>
      </w:r>
      <w:r w:rsidR="00C260C5" w:rsidRPr="007413CB">
        <w:rPr>
          <w:rFonts w:ascii="Times New Roman" w:hAnsi="Times New Roman" w:cs="Times New Roman"/>
        </w:rPr>
        <w:t xml:space="preserve"> $</w:t>
      </w:r>
      <w:r w:rsidR="007413CB">
        <w:rPr>
          <w:rFonts w:ascii="Times New Roman" w:hAnsi="Times New Roman" w:cs="Times New Roman"/>
        </w:rPr>
        <w:t>1</w:t>
      </w:r>
      <w:r w:rsidR="00C260C5" w:rsidRPr="007413CB">
        <w:rPr>
          <w:rFonts w:ascii="Times New Roman" w:hAnsi="Times New Roman" w:cs="Times New Roman"/>
        </w:rPr>
        <w:t>,</w:t>
      </w:r>
      <w:r w:rsidR="007413CB">
        <w:rPr>
          <w:rFonts w:ascii="Times New Roman" w:hAnsi="Times New Roman" w:cs="Times New Roman"/>
        </w:rPr>
        <w:t>8</w:t>
      </w:r>
      <w:r w:rsidR="009E0F1D">
        <w:rPr>
          <w:rFonts w:ascii="Times New Roman" w:hAnsi="Times New Roman" w:cs="Times New Roman"/>
        </w:rPr>
        <w:t>57</w:t>
      </w:r>
      <w:r w:rsidR="00C260C5" w:rsidRPr="007413CB">
        <w:rPr>
          <w:rFonts w:ascii="Times New Roman" w:hAnsi="Times New Roman" w:cs="Times New Roman"/>
        </w:rPr>
        <w:t xml:space="preserve"> </w:t>
      </w:r>
      <w:r w:rsidR="002733B4" w:rsidRPr="007413CB">
        <w:rPr>
          <w:rFonts w:ascii="Times New Roman" w:hAnsi="Times New Roman" w:cs="Times New Roman"/>
        </w:rPr>
        <w:t>million (</w:t>
      </w:r>
      <w:r w:rsidR="007413CB">
        <w:rPr>
          <w:rFonts w:ascii="Times New Roman" w:hAnsi="Times New Roman" w:cs="Times New Roman"/>
        </w:rPr>
        <w:t>12</w:t>
      </w:r>
      <w:r w:rsidR="002733B4" w:rsidRPr="007413CB">
        <w:rPr>
          <w:rFonts w:ascii="Times New Roman" w:hAnsi="Times New Roman" w:cs="Times New Roman"/>
        </w:rPr>
        <w:t xml:space="preserve"> percent</w:t>
      </w:r>
      <w:r w:rsidR="00577D51" w:rsidRPr="007413CB">
        <w:rPr>
          <w:rFonts w:ascii="Times New Roman" w:hAnsi="Times New Roman" w:cs="Times New Roman"/>
        </w:rPr>
        <w:t>)</w:t>
      </w:r>
      <w:r w:rsidR="00C260C5" w:rsidRPr="007413CB">
        <w:rPr>
          <w:rFonts w:ascii="Times New Roman" w:hAnsi="Times New Roman" w:cs="Times New Roman"/>
        </w:rPr>
        <w:t xml:space="preserve"> </w:t>
      </w:r>
      <w:r w:rsidR="0063456B" w:rsidRPr="007413CB">
        <w:rPr>
          <w:rFonts w:ascii="Times New Roman" w:hAnsi="Times New Roman" w:cs="Times New Roman"/>
        </w:rPr>
        <w:t>from $1</w:t>
      </w:r>
      <w:r w:rsidR="007413CB">
        <w:rPr>
          <w:rFonts w:ascii="Times New Roman" w:hAnsi="Times New Roman" w:cs="Times New Roman"/>
        </w:rPr>
        <w:t>5</w:t>
      </w:r>
      <w:r w:rsidR="0063456B" w:rsidRPr="007413CB">
        <w:rPr>
          <w:rFonts w:ascii="Times New Roman" w:hAnsi="Times New Roman" w:cs="Times New Roman"/>
        </w:rPr>
        <w:t>,</w:t>
      </w:r>
      <w:r w:rsidR="007413CB">
        <w:rPr>
          <w:rFonts w:ascii="Times New Roman" w:hAnsi="Times New Roman" w:cs="Times New Roman"/>
        </w:rPr>
        <w:t>687</w:t>
      </w:r>
      <w:r w:rsidR="0063456B" w:rsidRPr="007413CB">
        <w:rPr>
          <w:rFonts w:ascii="Times New Roman" w:hAnsi="Times New Roman" w:cs="Times New Roman"/>
        </w:rPr>
        <w:t xml:space="preserve"> million in </w:t>
      </w:r>
      <w:r w:rsidR="0057452E" w:rsidRPr="007413CB">
        <w:rPr>
          <w:rFonts w:ascii="Times New Roman" w:hAnsi="Times New Roman" w:cs="Times New Roman"/>
        </w:rPr>
        <w:t>FY</w:t>
      </w:r>
      <w:r w:rsidR="005E70D2" w:rsidRPr="007413CB">
        <w:rPr>
          <w:rFonts w:ascii="Times New Roman" w:hAnsi="Times New Roman" w:cs="Times New Roman"/>
        </w:rPr>
        <w:t>1</w:t>
      </w:r>
      <w:r w:rsidR="007413CB">
        <w:rPr>
          <w:rFonts w:ascii="Times New Roman" w:hAnsi="Times New Roman" w:cs="Times New Roman"/>
        </w:rPr>
        <w:t>1</w:t>
      </w:r>
      <w:r w:rsidR="0063456B" w:rsidRPr="007413CB">
        <w:rPr>
          <w:rFonts w:ascii="Times New Roman" w:hAnsi="Times New Roman" w:cs="Times New Roman"/>
        </w:rPr>
        <w:t>.</w:t>
      </w:r>
      <w:r w:rsidR="00FD5254" w:rsidRPr="007413CB">
        <w:rPr>
          <w:rFonts w:ascii="Times New Roman" w:hAnsi="Times New Roman" w:cs="Times New Roman"/>
        </w:rPr>
        <w:t xml:space="preserve"> </w:t>
      </w:r>
      <w:r w:rsidR="00365F0C">
        <w:rPr>
          <w:rFonts w:ascii="Times New Roman" w:hAnsi="Times New Roman" w:cs="Times New Roman"/>
        </w:rPr>
        <w:t xml:space="preserve">Pakistani expatriates, during </w:t>
      </w:r>
      <w:r w:rsidR="00365F0C" w:rsidRPr="007413CB">
        <w:rPr>
          <w:rFonts w:ascii="Times New Roman" w:hAnsi="Times New Roman" w:cs="Times New Roman"/>
        </w:rPr>
        <w:t>FY12</w:t>
      </w:r>
      <w:r w:rsidR="00365F0C">
        <w:rPr>
          <w:rFonts w:ascii="Times New Roman" w:hAnsi="Times New Roman" w:cs="Times New Roman"/>
        </w:rPr>
        <w:t xml:space="preserve">, sent more than $13 billion, highest repatriation of all </w:t>
      </w:r>
      <w:r w:rsidR="009E0F1D">
        <w:rPr>
          <w:rFonts w:ascii="Times New Roman" w:hAnsi="Times New Roman" w:cs="Times New Roman"/>
        </w:rPr>
        <w:t>times in</w:t>
      </w:r>
      <w:r w:rsidR="00365F0C">
        <w:rPr>
          <w:rFonts w:ascii="Times New Roman" w:hAnsi="Times New Roman" w:cs="Times New Roman"/>
        </w:rPr>
        <w:t xml:space="preserve"> a fiscal year.  </w:t>
      </w:r>
      <w:r w:rsidR="005E70D2" w:rsidRPr="007413CB">
        <w:rPr>
          <w:rFonts w:ascii="Times New Roman" w:hAnsi="Times New Roman" w:cs="Times New Roman"/>
        </w:rPr>
        <w:t xml:space="preserve"> </w:t>
      </w:r>
      <w:r w:rsidR="00FC4827" w:rsidRPr="007413CB">
        <w:rPr>
          <w:rFonts w:ascii="Times New Roman" w:hAnsi="Times New Roman" w:cs="Times New Roman"/>
        </w:rPr>
        <w:t>Current transfers payments</w:t>
      </w:r>
      <w:r w:rsidR="00741495" w:rsidRPr="007413CB">
        <w:rPr>
          <w:rFonts w:ascii="Times New Roman" w:hAnsi="Times New Roman" w:cs="Times New Roman"/>
        </w:rPr>
        <w:t xml:space="preserve"> of $</w:t>
      </w:r>
      <w:r w:rsidR="007413CB">
        <w:rPr>
          <w:rFonts w:ascii="Times New Roman" w:hAnsi="Times New Roman" w:cs="Times New Roman"/>
        </w:rPr>
        <w:t>73</w:t>
      </w:r>
      <w:r w:rsidR="00741495" w:rsidRPr="007413CB">
        <w:rPr>
          <w:rFonts w:ascii="Times New Roman" w:hAnsi="Times New Roman" w:cs="Times New Roman"/>
        </w:rPr>
        <w:t xml:space="preserve"> million and $</w:t>
      </w:r>
      <w:r w:rsidR="007413CB">
        <w:rPr>
          <w:rFonts w:ascii="Times New Roman" w:hAnsi="Times New Roman" w:cs="Times New Roman"/>
        </w:rPr>
        <w:t>69</w:t>
      </w:r>
      <w:r w:rsidR="00741495" w:rsidRPr="007413CB">
        <w:rPr>
          <w:rFonts w:ascii="Times New Roman" w:hAnsi="Times New Roman" w:cs="Times New Roman"/>
        </w:rPr>
        <w:t xml:space="preserve"> million were </w:t>
      </w:r>
      <w:r w:rsidR="00FB0404" w:rsidRPr="007413CB">
        <w:rPr>
          <w:rFonts w:ascii="Times New Roman" w:hAnsi="Times New Roman" w:cs="Times New Roman"/>
        </w:rPr>
        <w:t xml:space="preserve">made </w:t>
      </w:r>
      <w:r w:rsidR="00741495" w:rsidRPr="007413CB">
        <w:rPr>
          <w:rFonts w:ascii="Times New Roman" w:hAnsi="Times New Roman" w:cs="Times New Roman"/>
        </w:rPr>
        <w:t xml:space="preserve">by </w:t>
      </w:r>
      <w:r w:rsidR="00293F16" w:rsidRPr="007413CB">
        <w:rPr>
          <w:rFonts w:ascii="Times New Roman" w:hAnsi="Times New Roman" w:cs="Times New Roman"/>
        </w:rPr>
        <w:t xml:space="preserve">general government and other sectors </w:t>
      </w:r>
      <w:r w:rsidR="00FC4827" w:rsidRPr="007413CB">
        <w:rPr>
          <w:rFonts w:ascii="Times New Roman" w:hAnsi="Times New Roman" w:cs="Times New Roman"/>
        </w:rPr>
        <w:t>respectively.</w:t>
      </w:r>
    </w:p>
    <w:p w:rsidR="009A2D17" w:rsidRDefault="00E820CB" w:rsidP="00B37CFA">
      <w:pPr>
        <w:pStyle w:val="BodyTextIndent"/>
        <w:spacing w:line="276" w:lineRule="auto"/>
        <w:ind w:firstLine="0"/>
        <w:jc w:val="left"/>
        <w:rPr>
          <w:b/>
          <w:sz w:val="22"/>
          <w:szCs w:val="22"/>
        </w:rPr>
      </w:pPr>
      <w:r w:rsidRPr="00E820CB">
        <w:rPr>
          <w:noProof/>
        </w:rPr>
        <w:pict>
          <v:shape id="_x0000_s1039" type="#_x0000_t75" style="position:absolute;margin-left:170.15pt;margin-top:449.6pt;width:318.6pt;height:137.15pt;z-index:-251458560;mso-position-horizontal-relative:margin;mso-position-vertical-relative:margin" wrapcoords="-49 118 -49 21364 21600 21364 21600 118 -49 118">
            <v:imagedata r:id="rId23" o:title=""/>
            <w10:wrap type="tight" anchorx="margin" anchory="margin"/>
          </v:shape>
          <o:OLEObject Type="Embed" ProgID="Excel.Sheet.8" ShapeID="_x0000_s1039" DrawAspect="Content" ObjectID="_1426413032" r:id="rId24"/>
        </w:pict>
      </w:r>
    </w:p>
    <w:p w:rsidR="006857E9" w:rsidRDefault="006857E9" w:rsidP="00B37CFA">
      <w:pPr>
        <w:pStyle w:val="BodyTextIndent"/>
        <w:spacing w:line="276" w:lineRule="auto"/>
        <w:ind w:firstLine="0"/>
        <w:jc w:val="left"/>
        <w:rPr>
          <w:b/>
          <w:sz w:val="22"/>
          <w:szCs w:val="22"/>
        </w:rPr>
      </w:pPr>
      <w:r w:rsidRPr="006857E9">
        <w:rPr>
          <w:b/>
          <w:sz w:val="22"/>
          <w:szCs w:val="22"/>
        </w:rPr>
        <w:t xml:space="preserve">Capital &amp; Financial </w:t>
      </w:r>
      <w:r w:rsidR="004E4608">
        <w:rPr>
          <w:b/>
          <w:sz w:val="22"/>
          <w:szCs w:val="22"/>
        </w:rPr>
        <w:t>A</w:t>
      </w:r>
      <w:r w:rsidRPr="006857E9">
        <w:rPr>
          <w:b/>
          <w:sz w:val="22"/>
          <w:szCs w:val="22"/>
        </w:rPr>
        <w:t xml:space="preserve">ccount </w:t>
      </w:r>
    </w:p>
    <w:p w:rsidR="008E63B3" w:rsidRDefault="008E63B3" w:rsidP="00B37CFA">
      <w:pPr>
        <w:pStyle w:val="BodyTextIndent"/>
        <w:spacing w:line="276" w:lineRule="auto"/>
        <w:ind w:firstLine="0"/>
        <w:jc w:val="left"/>
        <w:rPr>
          <w:b/>
          <w:sz w:val="22"/>
          <w:szCs w:val="22"/>
        </w:rPr>
      </w:pPr>
    </w:p>
    <w:p w:rsidR="00196CDA" w:rsidRDefault="006857E9" w:rsidP="00B37CFA">
      <w:pPr>
        <w:pStyle w:val="BodyText"/>
        <w:tabs>
          <w:tab w:val="left" w:pos="9270"/>
          <w:tab w:val="left" w:pos="10098"/>
        </w:tabs>
        <w:jc w:val="both"/>
        <w:rPr>
          <w:rFonts w:ascii="Times New Roman" w:hAnsi="Times New Roman" w:cs="Times New Roman"/>
        </w:rPr>
      </w:pPr>
      <w:r w:rsidRPr="006857E9">
        <w:rPr>
          <w:rFonts w:ascii="Times New Roman" w:hAnsi="Times New Roman" w:cs="Times New Roman"/>
        </w:rPr>
        <w:t>The net inflow in capital &amp; financial accoun</w:t>
      </w:r>
      <w:r w:rsidR="008A4E68">
        <w:rPr>
          <w:rFonts w:ascii="Times New Roman" w:hAnsi="Times New Roman" w:cs="Times New Roman"/>
        </w:rPr>
        <w:t xml:space="preserve">t during </w:t>
      </w:r>
      <w:r w:rsidR="0057452E">
        <w:rPr>
          <w:rFonts w:ascii="Times New Roman" w:hAnsi="Times New Roman" w:cs="Times New Roman"/>
        </w:rPr>
        <w:t>FY</w:t>
      </w:r>
      <w:r w:rsidR="001F6150">
        <w:rPr>
          <w:rFonts w:ascii="Times New Roman" w:hAnsi="Times New Roman" w:cs="Times New Roman"/>
        </w:rPr>
        <w:t>1</w:t>
      </w:r>
      <w:r w:rsidR="00196CDA">
        <w:rPr>
          <w:rFonts w:ascii="Times New Roman" w:hAnsi="Times New Roman" w:cs="Times New Roman"/>
        </w:rPr>
        <w:t>2</w:t>
      </w:r>
      <w:r w:rsidR="008A4E68">
        <w:rPr>
          <w:rFonts w:ascii="Times New Roman" w:hAnsi="Times New Roman" w:cs="Times New Roman"/>
        </w:rPr>
        <w:t xml:space="preserve"> </w:t>
      </w:r>
      <w:r w:rsidR="00A20182">
        <w:rPr>
          <w:rFonts w:ascii="Times New Roman" w:hAnsi="Times New Roman" w:cs="Times New Roman"/>
        </w:rPr>
        <w:t>reduce</w:t>
      </w:r>
      <w:r w:rsidR="00B96CAD">
        <w:rPr>
          <w:rFonts w:ascii="Times New Roman" w:hAnsi="Times New Roman" w:cs="Times New Roman"/>
        </w:rPr>
        <w:t>d</w:t>
      </w:r>
      <w:r w:rsidR="00A20182">
        <w:rPr>
          <w:rFonts w:ascii="Times New Roman" w:hAnsi="Times New Roman" w:cs="Times New Roman"/>
        </w:rPr>
        <w:t xml:space="preserve"> </w:t>
      </w:r>
      <w:r w:rsidR="00B96CAD">
        <w:rPr>
          <w:rFonts w:ascii="Times New Roman" w:hAnsi="Times New Roman" w:cs="Times New Roman"/>
        </w:rPr>
        <w:t>to $</w:t>
      </w:r>
      <w:r w:rsidR="00196CDA">
        <w:rPr>
          <w:rFonts w:ascii="Times New Roman" w:hAnsi="Times New Roman" w:cs="Times New Roman"/>
        </w:rPr>
        <w:t>1</w:t>
      </w:r>
      <w:r w:rsidR="008A4E68">
        <w:rPr>
          <w:rFonts w:ascii="Times New Roman" w:hAnsi="Times New Roman" w:cs="Times New Roman"/>
        </w:rPr>
        <w:t>,</w:t>
      </w:r>
      <w:r w:rsidR="00196CDA">
        <w:rPr>
          <w:rFonts w:ascii="Times New Roman" w:hAnsi="Times New Roman" w:cs="Times New Roman"/>
        </w:rPr>
        <w:t>4</w:t>
      </w:r>
      <w:r w:rsidR="008F59E6">
        <w:rPr>
          <w:rFonts w:ascii="Times New Roman" w:hAnsi="Times New Roman" w:cs="Times New Roman"/>
        </w:rPr>
        <w:t>63</w:t>
      </w:r>
      <w:r w:rsidR="0019338E">
        <w:rPr>
          <w:rFonts w:ascii="Times New Roman" w:hAnsi="Times New Roman" w:cs="Times New Roman"/>
        </w:rPr>
        <w:t xml:space="preserve"> million as against $</w:t>
      </w:r>
      <w:r w:rsidR="00196CDA">
        <w:rPr>
          <w:rFonts w:ascii="Times New Roman" w:hAnsi="Times New Roman" w:cs="Times New Roman"/>
        </w:rPr>
        <w:t>2</w:t>
      </w:r>
      <w:r w:rsidRPr="006857E9">
        <w:rPr>
          <w:rFonts w:ascii="Times New Roman" w:hAnsi="Times New Roman" w:cs="Times New Roman"/>
        </w:rPr>
        <w:t>,</w:t>
      </w:r>
      <w:r w:rsidR="00196CDA">
        <w:rPr>
          <w:rFonts w:ascii="Times New Roman" w:hAnsi="Times New Roman" w:cs="Times New Roman"/>
        </w:rPr>
        <w:t>262</w:t>
      </w:r>
      <w:r w:rsidR="00A20182">
        <w:rPr>
          <w:rFonts w:ascii="Times New Roman" w:hAnsi="Times New Roman" w:cs="Times New Roman"/>
        </w:rPr>
        <w:t xml:space="preserve"> </w:t>
      </w:r>
      <w:r w:rsidRPr="006857E9">
        <w:rPr>
          <w:rFonts w:ascii="Times New Roman" w:hAnsi="Times New Roman" w:cs="Times New Roman"/>
        </w:rPr>
        <w:t>million during previous year. The net</w:t>
      </w:r>
      <w:r w:rsidR="008A4E68">
        <w:rPr>
          <w:rFonts w:ascii="Times New Roman" w:hAnsi="Times New Roman" w:cs="Times New Roman"/>
        </w:rPr>
        <w:t xml:space="preserve"> capital</w:t>
      </w:r>
      <w:r w:rsidR="00196CDA">
        <w:rPr>
          <w:rFonts w:ascii="Times New Roman" w:hAnsi="Times New Roman" w:cs="Times New Roman"/>
        </w:rPr>
        <w:t xml:space="preserve"> inflow</w:t>
      </w:r>
      <w:r w:rsidR="008A4E68">
        <w:rPr>
          <w:rFonts w:ascii="Times New Roman" w:hAnsi="Times New Roman" w:cs="Times New Roman"/>
        </w:rPr>
        <w:t xml:space="preserve"> </w:t>
      </w:r>
      <w:r w:rsidR="008F59E6">
        <w:rPr>
          <w:rFonts w:ascii="Times New Roman" w:hAnsi="Times New Roman" w:cs="Times New Roman"/>
        </w:rPr>
        <w:t xml:space="preserve">increased by $22 million touched </w:t>
      </w:r>
      <w:r w:rsidR="00196CDA">
        <w:rPr>
          <w:rFonts w:ascii="Times New Roman" w:hAnsi="Times New Roman" w:cs="Times New Roman"/>
        </w:rPr>
        <w:t>$1</w:t>
      </w:r>
      <w:r w:rsidR="008F59E6">
        <w:rPr>
          <w:rFonts w:ascii="Times New Roman" w:hAnsi="Times New Roman" w:cs="Times New Roman"/>
        </w:rPr>
        <w:t>83</w:t>
      </w:r>
      <w:r w:rsidR="00196CDA">
        <w:rPr>
          <w:rFonts w:ascii="Times New Roman" w:hAnsi="Times New Roman" w:cs="Times New Roman"/>
        </w:rPr>
        <w:t xml:space="preserve"> million</w:t>
      </w:r>
      <w:r w:rsidR="008F59E6">
        <w:rPr>
          <w:rFonts w:ascii="Times New Roman" w:hAnsi="Times New Roman" w:cs="Times New Roman"/>
        </w:rPr>
        <w:t xml:space="preserve"> during FY12</w:t>
      </w:r>
      <w:r w:rsidR="00196CDA">
        <w:rPr>
          <w:rFonts w:ascii="Times New Roman" w:hAnsi="Times New Roman" w:cs="Times New Roman"/>
        </w:rPr>
        <w:t xml:space="preserve">. </w:t>
      </w:r>
      <w:r w:rsidRPr="006857E9">
        <w:rPr>
          <w:rFonts w:ascii="Times New Roman" w:hAnsi="Times New Roman" w:cs="Times New Roman"/>
        </w:rPr>
        <w:t xml:space="preserve"> </w:t>
      </w:r>
    </w:p>
    <w:p w:rsidR="008E63B3" w:rsidRDefault="001F6150" w:rsidP="00B37CFA">
      <w:pPr>
        <w:pStyle w:val="BodyText"/>
        <w:tabs>
          <w:tab w:val="left" w:pos="1009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account recorded a surplus of $</w:t>
      </w:r>
      <w:r w:rsidR="00196C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="00196CDA">
        <w:rPr>
          <w:rFonts w:ascii="Times New Roman" w:hAnsi="Times New Roman" w:cs="Times New Roman"/>
        </w:rPr>
        <w:t>280</w:t>
      </w:r>
      <w:r>
        <w:rPr>
          <w:rFonts w:ascii="Times New Roman" w:hAnsi="Times New Roman" w:cs="Times New Roman"/>
        </w:rPr>
        <w:t xml:space="preserve"> million during FY1</w:t>
      </w:r>
      <w:r w:rsidR="00196CDA">
        <w:rPr>
          <w:rFonts w:ascii="Times New Roman" w:hAnsi="Times New Roman" w:cs="Times New Roman"/>
        </w:rPr>
        <w:t>2</w:t>
      </w:r>
      <w:r w:rsidR="00577D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96CDA">
        <w:rPr>
          <w:rFonts w:ascii="Times New Roman" w:hAnsi="Times New Roman" w:cs="Times New Roman"/>
        </w:rPr>
        <w:t>3</w:t>
      </w:r>
      <w:r w:rsidR="00A20182">
        <w:rPr>
          <w:rFonts w:ascii="Times New Roman" w:hAnsi="Times New Roman" w:cs="Times New Roman"/>
        </w:rPr>
        <w:t>9</w:t>
      </w:r>
      <w:r w:rsidR="00D26E20">
        <w:rPr>
          <w:rFonts w:ascii="Times New Roman" w:hAnsi="Times New Roman" w:cs="Times New Roman"/>
        </w:rPr>
        <w:t xml:space="preserve"> </w:t>
      </w:r>
      <w:r w:rsidR="00A20182">
        <w:rPr>
          <w:rFonts w:ascii="Times New Roman" w:hAnsi="Times New Roman" w:cs="Times New Roman"/>
        </w:rPr>
        <w:t>percent lower</w:t>
      </w:r>
      <w:r w:rsidR="007959C1">
        <w:rPr>
          <w:rFonts w:ascii="Times New Roman" w:hAnsi="Times New Roman" w:cs="Times New Roman"/>
        </w:rPr>
        <w:t xml:space="preserve"> than last</w:t>
      </w:r>
      <w:r>
        <w:rPr>
          <w:rFonts w:ascii="Times New Roman" w:hAnsi="Times New Roman" w:cs="Times New Roman"/>
        </w:rPr>
        <w:t xml:space="preserve"> year’s position ($</w:t>
      </w:r>
      <w:r w:rsidR="00196CD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="00196CDA"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>million).</w:t>
      </w:r>
      <w:r w:rsidR="006857E9" w:rsidRPr="006857E9">
        <w:rPr>
          <w:rFonts w:ascii="Times New Roman" w:hAnsi="Times New Roman" w:cs="Times New Roman"/>
        </w:rPr>
        <w:t xml:space="preserve"> </w:t>
      </w:r>
      <w:r w:rsidR="00FC4827">
        <w:rPr>
          <w:rFonts w:ascii="Times New Roman" w:hAnsi="Times New Roman" w:cs="Times New Roman"/>
        </w:rPr>
        <w:t xml:space="preserve">Direct investment shrunk </w:t>
      </w:r>
      <w:r w:rsidR="00A21F64">
        <w:rPr>
          <w:rFonts w:ascii="Times New Roman" w:hAnsi="Times New Roman" w:cs="Times New Roman"/>
        </w:rPr>
        <w:t xml:space="preserve">by </w:t>
      </w:r>
      <w:r w:rsidR="00196CDA">
        <w:rPr>
          <w:rFonts w:ascii="Times New Roman" w:hAnsi="Times New Roman" w:cs="Times New Roman"/>
        </w:rPr>
        <w:t>5</w:t>
      </w:r>
      <w:r w:rsidR="00A20182">
        <w:rPr>
          <w:rFonts w:ascii="Times New Roman" w:hAnsi="Times New Roman" w:cs="Times New Roman"/>
        </w:rPr>
        <w:t>3</w:t>
      </w:r>
      <w:r w:rsidR="00A21F64">
        <w:rPr>
          <w:rFonts w:ascii="Times New Roman" w:hAnsi="Times New Roman" w:cs="Times New Roman"/>
        </w:rPr>
        <w:t xml:space="preserve"> percent, </w:t>
      </w:r>
      <w:r w:rsidR="00694D52">
        <w:rPr>
          <w:rFonts w:ascii="Times New Roman" w:hAnsi="Times New Roman" w:cs="Times New Roman"/>
        </w:rPr>
        <w:t>to</w:t>
      </w:r>
      <w:r w:rsidR="00A21F64">
        <w:rPr>
          <w:rFonts w:ascii="Times New Roman" w:hAnsi="Times New Roman" w:cs="Times New Roman"/>
        </w:rPr>
        <w:t xml:space="preserve"> $</w:t>
      </w:r>
      <w:r w:rsidR="00196CDA">
        <w:rPr>
          <w:rFonts w:ascii="Times New Roman" w:hAnsi="Times New Roman" w:cs="Times New Roman"/>
        </w:rPr>
        <w:t>744</w:t>
      </w:r>
      <w:r w:rsidR="00A21F64">
        <w:rPr>
          <w:rFonts w:ascii="Times New Roman" w:hAnsi="Times New Roman" w:cs="Times New Roman"/>
        </w:rPr>
        <w:t xml:space="preserve"> million</w:t>
      </w:r>
      <w:r w:rsidR="00B96CAD">
        <w:rPr>
          <w:rFonts w:ascii="Times New Roman" w:hAnsi="Times New Roman" w:cs="Times New Roman"/>
        </w:rPr>
        <w:t xml:space="preserve"> from $</w:t>
      </w:r>
      <w:r w:rsidR="00196CDA">
        <w:rPr>
          <w:rFonts w:ascii="Times New Roman" w:hAnsi="Times New Roman" w:cs="Times New Roman"/>
        </w:rPr>
        <w:t>1</w:t>
      </w:r>
      <w:r w:rsidR="00B96CAD">
        <w:rPr>
          <w:rFonts w:ascii="Times New Roman" w:hAnsi="Times New Roman" w:cs="Times New Roman"/>
        </w:rPr>
        <w:t>,</w:t>
      </w:r>
      <w:r w:rsidR="00196CDA">
        <w:rPr>
          <w:rFonts w:ascii="Times New Roman" w:hAnsi="Times New Roman" w:cs="Times New Roman"/>
        </w:rPr>
        <w:t>591</w:t>
      </w:r>
      <w:r w:rsidR="00B96CAD">
        <w:rPr>
          <w:rFonts w:ascii="Times New Roman" w:hAnsi="Times New Roman" w:cs="Times New Roman"/>
        </w:rPr>
        <w:t xml:space="preserve"> million</w:t>
      </w:r>
      <w:r w:rsidR="00E67AB7">
        <w:rPr>
          <w:rFonts w:ascii="Times New Roman" w:hAnsi="Times New Roman" w:cs="Times New Roman"/>
        </w:rPr>
        <w:t xml:space="preserve"> </w:t>
      </w:r>
      <w:r w:rsidR="00544C8A">
        <w:rPr>
          <w:rFonts w:ascii="Times New Roman" w:hAnsi="Times New Roman" w:cs="Times New Roman"/>
        </w:rPr>
        <w:t>in the</w:t>
      </w:r>
      <w:r w:rsidR="00E67AB7">
        <w:rPr>
          <w:rFonts w:ascii="Times New Roman" w:hAnsi="Times New Roman" w:cs="Times New Roman"/>
        </w:rPr>
        <w:t xml:space="preserve"> previous year</w:t>
      </w:r>
      <w:r w:rsidR="00B96CAD">
        <w:rPr>
          <w:rFonts w:ascii="Times New Roman" w:hAnsi="Times New Roman" w:cs="Times New Roman"/>
        </w:rPr>
        <w:t>.</w:t>
      </w:r>
      <w:r w:rsidR="00A21F64">
        <w:rPr>
          <w:rFonts w:ascii="Times New Roman" w:hAnsi="Times New Roman" w:cs="Times New Roman"/>
        </w:rPr>
        <w:t xml:space="preserve"> </w:t>
      </w:r>
      <w:proofErr w:type="gramStart"/>
      <w:r w:rsidR="00FB0404">
        <w:rPr>
          <w:rFonts w:ascii="Times New Roman" w:hAnsi="Times New Roman" w:cs="Times New Roman"/>
        </w:rPr>
        <w:t>The p</w:t>
      </w:r>
      <w:r w:rsidR="00A21F64">
        <w:rPr>
          <w:rFonts w:ascii="Times New Roman" w:hAnsi="Times New Roman" w:cs="Times New Roman"/>
        </w:rPr>
        <w:t xml:space="preserve">ortfolio investment, </w:t>
      </w:r>
      <w:r w:rsidR="00A20182">
        <w:rPr>
          <w:rFonts w:ascii="Times New Roman" w:hAnsi="Times New Roman" w:cs="Times New Roman"/>
        </w:rPr>
        <w:t xml:space="preserve">recorded net </w:t>
      </w:r>
      <w:r w:rsidR="00196CDA">
        <w:rPr>
          <w:rFonts w:ascii="Times New Roman" w:hAnsi="Times New Roman" w:cs="Times New Roman"/>
        </w:rPr>
        <w:t>outflow</w:t>
      </w:r>
      <w:r w:rsidR="00A20182">
        <w:rPr>
          <w:rFonts w:ascii="Times New Roman" w:hAnsi="Times New Roman" w:cs="Times New Roman"/>
        </w:rPr>
        <w:t xml:space="preserve"> of $</w:t>
      </w:r>
      <w:r w:rsidR="00196CDA">
        <w:rPr>
          <w:rFonts w:ascii="Times New Roman" w:hAnsi="Times New Roman" w:cs="Times New Roman"/>
        </w:rPr>
        <w:t>144</w:t>
      </w:r>
      <w:r w:rsidR="00A20182">
        <w:rPr>
          <w:rFonts w:ascii="Times New Roman" w:hAnsi="Times New Roman" w:cs="Times New Roman"/>
        </w:rPr>
        <w:t xml:space="preserve"> million as compared with net </w:t>
      </w:r>
      <w:r w:rsidR="00196CDA">
        <w:rPr>
          <w:rFonts w:ascii="Times New Roman" w:hAnsi="Times New Roman" w:cs="Times New Roman"/>
        </w:rPr>
        <w:lastRenderedPageBreak/>
        <w:t>in</w:t>
      </w:r>
      <w:r w:rsidR="00A20182">
        <w:rPr>
          <w:rFonts w:ascii="Times New Roman" w:hAnsi="Times New Roman" w:cs="Times New Roman"/>
        </w:rPr>
        <w:t>flow of</w:t>
      </w:r>
      <w:r w:rsidR="00741495">
        <w:rPr>
          <w:rFonts w:ascii="Times New Roman" w:hAnsi="Times New Roman" w:cs="Times New Roman"/>
        </w:rPr>
        <w:t xml:space="preserve"> </w:t>
      </w:r>
      <w:r w:rsidR="00A21F64">
        <w:rPr>
          <w:rFonts w:ascii="Times New Roman" w:hAnsi="Times New Roman" w:cs="Times New Roman"/>
        </w:rPr>
        <w:t>$</w:t>
      </w:r>
      <w:r w:rsidR="00196CDA">
        <w:rPr>
          <w:rFonts w:ascii="Times New Roman" w:hAnsi="Times New Roman" w:cs="Times New Roman"/>
        </w:rPr>
        <w:t>338</w:t>
      </w:r>
      <w:r w:rsidR="00A21F64">
        <w:rPr>
          <w:rFonts w:ascii="Times New Roman" w:hAnsi="Times New Roman" w:cs="Times New Roman"/>
        </w:rPr>
        <w:t xml:space="preserve"> million</w:t>
      </w:r>
      <w:r w:rsidR="004F3FD9" w:rsidRPr="004F3FD9">
        <w:rPr>
          <w:rFonts w:ascii="Times New Roman" w:hAnsi="Times New Roman" w:cs="Times New Roman"/>
        </w:rPr>
        <w:t xml:space="preserve"> </w:t>
      </w:r>
      <w:r w:rsidR="00A20182">
        <w:rPr>
          <w:rFonts w:ascii="Times New Roman" w:hAnsi="Times New Roman" w:cs="Times New Roman"/>
        </w:rPr>
        <w:t>in the previous year</w:t>
      </w:r>
      <w:r w:rsidR="00A21F64">
        <w:rPr>
          <w:rFonts w:ascii="Times New Roman" w:hAnsi="Times New Roman" w:cs="Times New Roman"/>
        </w:rPr>
        <w:t>.</w:t>
      </w:r>
      <w:proofErr w:type="gramEnd"/>
      <w:r w:rsidR="00A21F64">
        <w:rPr>
          <w:rFonts w:ascii="Times New Roman" w:hAnsi="Times New Roman" w:cs="Times New Roman"/>
        </w:rPr>
        <w:t xml:space="preserve">  </w:t>
      </w:r>
      <w:r w:rsidR="00B96CAD">
        <w:rPr>
          <w:rFonts w:ascii="Times New Roman" w:hAnsi="Times New Roman" w:cs="Times New Roman"/>
        </w:rPr>
        <w:t xml:space="preserve">The other investment </w:t>
      </w:r>
      <w:r w:rsidR="00196CDA">
        <w:rPr>
          <w:rFonts w:ascii="Times New Roman" w:hAnsi="Times New Roman" w:cs="Times New Roman"/>
        </w:rPr>
        <w:t>increased</w:t>
      </w:r>
      <w:r w:rsidR="00B96CAD">
        <w:rPr>
          <w:rFonts w:ascii="Times New Roman" w:hAnsi="Times New Roman" w:cs="Times New Roman"/>
        </w:rPr>
        <w:t xml:space="preserve"> by </w:t>
      </w:r>
      <w:r w:rsidR="00196CDA">
        <w:rPr>
          <w:rFonts w:ascii="Times New Roman" w:hAnsi="Times New Roman" w:cs="Times New Roman"/>
        </w:rPr>
        <w:t xml:space="preserve">$508 million from $172 </w:t>
      </w:r>
      <w:r w:rsidR="00B96CAD">
        <w:rPr>
          <w:rFonts w:ascii="Times New Roman" w:hAnsi="Times New Roman" w:cs="Times New Roman"/>
        </w:rPr>
        <w:t>million to $</w:t>
      </w:r>
      <w:r w:rsidR="00196CDA">
        <w:rPr>
          <w:rFonts w:ascii="Times New Roman" w:hAnsi="Times New Roman" w:cs="Times New Roman"/>
        </w:rPr>
        <w:t>680</w:t>
      </w:r>
      <w:r w:rsidR="00B96CAD">
        <w:rPr>
          <w:rFonts w:ascii="Times New Roman" w:hAnsi="Times New Roman" w:cs="Times New Roman"/>
        </w:rPr>
        <w:t xml:space="preserve"> million. </w:t>
      </w:r>
    </w:p>
    <w:p w:rsidR="005F2BC5" w:rsidRDefault="00B57935" w:rsidP="00B37CFA">
      <w:pPr>
        <w:tabs>
          <w:tab w:val="center" w:pos="3063"/>
        </w:tabs>
        <w:jc w:val="both"/>
        <w:rPr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b/>
          <w:color w:val="000000" w:themeColor="text1"/>
        </w:rPr>
        <w:t>Disbursement and Repayment of Loans</w:t>
      </w:r>
    </w:p>
    <w:p w:rsidR="000C4AE0" w:rsidRDefault="006857E9" w:rsidP="00B37CFA">
      <w:pPr>
        <w:pStyle w:val="BodyText"/>
        <w:tabs>
          <w:tab w:val="left" w:pos="10098"/>
        </w:tabs>
        <w:jc w:val="both"/>
        <w:rPr>
          <w:rFonts w:ascii="Times New Roman" w:hAnsi="Times New Roman" w:cs="Times New Roman"/>
        </w:rPr>
      </w:pPr>
      <w:r w:rsidRPr="006857E9">
        <w:rPr>
          <w:rFonts w:ascii="Times New Roman" w:hAnsi="Times New Roman" w:cs="Times New Roman"/>
        </w:rPr>
        <w:t xml:space="preserve">The inflow of foreign loans/credits </w:t>
      </w:r>
      <w:r w:rsidR="0091019F">
        <w:rPr>
          <w:rFonts w:ascii="Times New Roman" w:hAnsi="Times New Roman" w:cs="Times New Roman"/>
        </w:rPr>
        <w:t>increased</w:t>
      </w:r>
      <w:r w:rsidR="00AE56EB">
        <w:rPr>
          <w:rFonts w:ascii="Times New Roman" w:hAnsi="Times New Roman" w:cs="Times New Roman"/>
        </w:rPr>
        <w:t xml:space="preserve"> to </w:t>
      </w:r>
      <w:r w:rsidR="008A4E68">
        <w:rPr>
          <w:rFonts w:ascii="Times New Roman" w:hAnsi="Times New Roman" w:cs="Times New Roman"/>
        </w:rPr>
        <w:t>$</w:t>
      </w:r>
      <w:r w:rsidR="0091019F">
        <w:rPr>
          <w:rFonts w:ascii="Times New Roman" w:hAnsi="Times New Roman" w:cs="Times New Roman"/>
        </w:rPr>
        <w:t>3</w:t>
      </w:r>
      <w:r w:rsidR="008A4E68">
        <w:rPr>
          <w:rFonts w:ascii="Times New Roman" w:hAnsi="Times New Roman" w:cs="Times New Roman"/>
        </w:rPr>
        <w:t>,</w:t>
      </w:r>
      <w:r w:rsidR="0091019F">
        <w:rPr>
          <w:rFonts w:ascii="Times New Roman" w:hAnsi="Times New Roman" w:cs="Times New Roman"/>
        </w:rPr>
        <w:t>191</w:t>
      </w:r>
      <w:r w:rsidR="00B302DB">
        <w:rPr>
          <w:rFonts w:ascii="Times New Roman" w:hAnsi="Times New Roman" w:cs="Times New Roman"/>
        </w:rPr>
        <w:t xml:space="preserve"> </w:t>
      </w:r>
      <w:r w:rsidRPr="006857E9">
        <w:rPr>
          <w:rFonts w:ascii="Times New Roman" w:hAnsi="Times New Roman" w:cs="Times New Roman"/>
        </w:rPr>
        <w:t xml:space="preserve">million as compared </w:t>
      </w:r>
      <w:r w:rsidR="00B0151F">
        <w:rPr>
          <w:rFonts w:ascii="Times New Roman" w:hAnsi="Times New Roman" w:cs="Times New Roman"/>
        </w:rPr>
        <w:t>to</w:t>
      </w:r>
      <w:r w:rsidRPr="006857E9">
        <w:rPr>
          <w:rFonts w:ascii="Times New Roman" w:hAnsi="Times New Roman" w:cs="Times New Roman"/>
        </w:rPr>
        <w:t xml:space="preserve"> $</w:t>
      </w:r>
      <w:r w:rsidR="0091019F">
        <w:rPr>
          <w:rFonts w:ascii="Times New Roman" w:hAnsi="Times New Roman" w:cs="Times New Roman"/>
        </w:rPr>
        <w:t>2</w:t>
      </w:r>
      <w:r w:rsidRPr="006857E9">
        <w:rPr>
          <w:rFonts w:ascii="Times New Roman" w:hAnsi="Times New Roman" w:cs="Times New Roman"/>
        </w:rPr>
        <w:t>,</w:t>
      </w:r>
      <w:r w:rsidR="0091019F">
        <w:rPr>
          <w:rFonts w:ascii="Times New Roman" w:hAnsi="Times New Roman" w:cs="Times New Roman"/>
        </w:rPr>
        <w:t>866</w:t>
      </w:r>
      <w:r w:rsidRPr="006857E9">
        <w:rPr>
          <w:rFonts w:ascii="Times New Roman" w:hAnsi="Times New Roman" w:cs="Times New Roman"/>
        </w:rPr>
        <w:t xml:space="preserve"> million</w:t>
      </w:r>
      <w:r w:rsidR="00247995">
        <w:rPr>
          <w:rFonts w:ascii="Times New Roman" w:hAnsi="Times New Roman" w:cs="Times New Roman"/>
        </w:rPr>
        <w:t xml:space="preserve"> in the</w:t>
      </w:r>
      <w:r w:rsidRPr="006857E9">
        <w:rPr>
          <w:rFonts w:ascii="Times New Roman" w:hAnsi="Times New Roman" w:cs="Times New Roman"/>
        </w:rPr>
        <w:t xml:space="preserve"> </w:t>
      </w:r>
      <w:r w:rsidR="004B4534">
        <w:rPr>
          <w:rFonts w:ascii="Times New Roman" w:hAnsi="Times New Roman" w:cs="Times New Roman"/>
        </w:rPr>
        <w:t>previous</w:t>
      </w:r>
      <w:r w:rsidR="00CE17A6">
        <w:rPr>
          <w:rFonts w:ascii="Times New Roman" w:hAnsi="Times New Roman" w:cs="Times New Roman"/>
        </w:rPr>
        <w:t xml:space="preserve"> year.</w:t>
      </w:r>
      <w:r w:rsidRPr="006857E9">
        <w:rPr>
          <w:rFonts w:ascii="Times New Roman" w:hAnsi="Times New Roman" w:cs="Times New Roman"/>
        </w:rPr>
        <w:t xml:space="preserve"> Of the total disbursement of long</w:t>
      </w:r>
      <w:r w:rsidR="008A4E68">
        <w:rPr>
          <w:rFonts w:ascii="Times New Roman" w:hAnsi="Times New Roman" w:cs="Times New Roman"/>
        </w:rPr>
        <w:t>-term loans of $</w:t>
      </w:r>
      <w:r w:rsidR="0091019F">
        <w:rPr>
          <w:rFonts w:ascii="Times New Roman" w:hAnsi="Times New Roman" w:cs="Times New Roman"/>
        </w:rPr>
        <w:t>3</w:t>
      </w:r>
      <w:r w:rsidR="008A4E68">
        <w:rPr>
          <w:rFonts w:ascii="Times New Roman" w:hAnsi="Times New Roman" w:cs="Times New Roman"/>
        </w:rPr>
        <w:t>,</w:t>
      </w:r>
      <w:r w:rsidR="0091019F">
        <w:rPr>
          <w:rFonts w:ascii="Times New Roman" w:hAnsi="Times New Roman" w:cs="Times New Roman"/>
        </w:rPr>
        <w:t>070</w:t>
      </w:r>
      <w:r w:rsidR="008A4E68">
        <w:rPr>
          <w:rFonts w:ascii="Times New Roman" w:hAnsi="Times New Roman" w:cs="Times New Roman"/>
        </w:rPr>
        <w:t xml:space="preserve"> million, </w:t>
      </w:r>
      <w:r w:rsidR="008A4E68" w:rsidRPr="00D02BFC">
        <w:rPr>
          <w:rFonts w:ascii="Times New Roman" w:hAnsi="Times New Roman" w:cs="Times New Roman"/>
        </w:rPr>
        <w:t>$</w:t>
      </w:r>
      <w:r w:rsidR="0091019F" w:rsidRPr="00D02BFC">
        <w:rPr>
          <w:rFonts w:ascii="Times New Roman" w:hAnsi="Times New Roman" w:cs="Times New Roman"/>
        </w:rPr>
        <w:t>1,</w:t>
      </w:r>
      <w:r w:rsidR="006C178A" w:rsidRPr="00D02BFC">
        <w:rPr>
          <w:rFonts w:ascii="Times New Roman" w:hAnsi="Times New Roman" w:cs="Times New Roman"/>
        </w:rPr>
        <w:t>781</w:t>
      </w:r>
      <w:r w:rsidRPr="00D02BFC">
        <w:rPr>
          <w:rFonts w:ascii="Times New Roman" w:hAnsi="Times New Roman" w:cs="Times New Roman"/>
        </w:rPr>
        <w:t xml:space="preserve"> million</w:t>
      </w:r>
      <w:r w:rsidRPr="006857E9">
        <w:rPr>
          <w:rFonts w:ascii="Times New Roman" w:hAnsi="Times New Roman" w:cs="Times New Roman"/>
        </w:rPr>
        <w:t xml:space="preserve"> were for financing of various projects </w:t>
      </w:r>
      <w:r w:rsidRPr="00D02BFC">
        <w:rPr>
          <w:rFonts w:ascii="Times New Roman" w:hAnsi="Times New Roman" w:cs="Times New Roman"/>
        </w:rPr>
        <w:t>while $</w:t>
      </w:r>
      <w:r w:rsidR="006C178A" w:rsidRPr="00D02BFC">
        <w:rPr>
          <w:rFonts w:ascii="Times New Roman" w:hAnsi="Times New Roman" w:cs="Times New Roman"/>
        </w:rPr>
        <w:t>852</w:t>
      </w:r>
      <w:r w:rsidRPr="00D02BFC">
        <w:rPr>
          <w:rFonts w:ascii="Times New Roman" w:hAnsi="Times New Roman" w:cs="Times New Roman"/>
        </w:rPr>
        <w:t xml:space="preserve"> million</w:t>
      </w:r>
      <w:r w:rsidRPr="006857E9">
        <w:rPr>
          <w:rFonts w:ascii="Times New Roman" w:hAnsi="Times New Roman" w:cs="Times New Roman"/>
        </w:rPr>
        <w:t xml:space="preserve"> </w:t>
      </w:r>
      <w:r w:rsidR="00544C8A">
        <w:rPr>
          <w:rFonts w:ascii="Times New Roman" w:hAnsi="Times New Roman" w:cs="Times New Roman"/>
        </w:rPr>
        <w:t xml:space="preserve">was </w:t>
      </w:r>
      <w:r w:rsidR="004B4534">
        <w:rPr>
          <w:rFonts w:ascii="Times New Roman" w:hAnsi="Times New Roman" w:cs="Times New Roman"/>
        </w:rPr>
        <w:t>non-project</w:t>
      </w:r>
      <w:r w:rsidRPr="006857E9">
        <w:rPr>
          <w:rFonts w:ascii="Times New Roman" w:hAnsi="Times New Roman" w:cs="Times New Roman"/>
        </w:rPr>
        <w:t xml:space="preserve"> </w:t>
      </w:r>
      <w:r w:rsidR="000C4AE0" w:rsidRPr="006857E9">
        <w:rPr>
          <w:rFonts w:ascii="Times New Roman" w:hAnsi="Times New Roman" w:cs="Times New Roman"/>
        </w:rPr>
        <w:t>loans.</w:t>
      </w:r>
      <w:r w:rsidR="000C4AE0">
        <w:rPr>
          <w:rFonts w:ascii="Times New Roman" w:hAnsi="Times New Roman" w:cs="Times New Roman"/>
        </w:rPr>
        <w:t xml:space="preserve"> Short term </w:t>
      </w:r>
      <w:r w:rsidR="00293F16">
        <w:rPr>
          <w:rFonts w:ascii="Times New Roman" w:hAnsi="Times New Roman" w:cs="Times New Roman"/>
        </w:rPr>
        <w:t xml:space="preserve">loans </w:t>
      </w:r>
      <w:r w:rsidR="00E67AB7">
        <w:rPr>
          <w:rFonts w:ascii="Times New Roman" w:hAnsi="Times New Roman" w:cs="Times New Roman"/>
        </w:rPr>
        <w:t xml:space="preserve">stood </w:t>
      </w:r>
      <w:r w:rsidR="00D02BFC">
        <w:rPr>
          <w:rFonts w:ascii="Times New Roman" w:hAnsi="Times New Roman" w:cs="Times New Roman"/>
        </w:rPr>
        <w:t>at $</w:t>
      </w:r>
      <w:r w:rsidR="0091019F">
        <w:rPr>
          <w:rFonts w:ascii="Times New Roman" w:hAnsi="Times New Roman" w:cs="Times New Roman"/>
        </w:rPr>
        <w:t>121</w:t>
      </w:r>
      <w:r w:rsidR="000A2E98">
        <w:rPr>
          <w:rFonts w:ascii="Times New Roman" w:hAnsi="Times New Roman" w:cs="Times New Roman"/>
        </w:rPr>
        <w:t xml:space="preserve"> </w:t>
      </w:r>
      <w:r w:rsidR="000C4AE0">
        <w:rPr>
          <w:rFonts w:ascii="Times New Roman" w:hAnsi="Times New Roman" w:cs="Times New Roman"/>
        </w:rPr>
        <w:t>million from $</w:t>
      </w:r>
      <w:r w:rsidR="0091019F">
        <w:rPr>
          <w:rFonts w:ascii="Times New Roman" w:hAnsi="Times New Roman" w:cs="Times New Roman"/>
        </w:rPr>
        <w:t>20</w:t>
      </w:r>
      <w:r w:rsidR="000C4AE0">
        <w:rPr>
          <w:rFonts w:ascii="Times New Roman" w:hAnsi="Times New Roman" w:cs="Times New Roman"/>
        </w:rPr>
        <w:t xml:space="preserve"> million a year ago.  </w:t>
      </w:r>
    </w:p>
    <w:p w:rsidR="00D14241" w:rsidRDefault="00E820CB" w:rsidP="00B928C6">
      <w:pPr>
        <w:pStyle w:val="BodyText"/>
        <w:tabs>
          <w:tab w:val="left" w:pos="10098"/>
        </w:tabs>
        <w:jc w:val="both"/>
        <w:rPr>
          <w:rFonts w:ascii="Times New Roman" w:hAnsi="Times New Roman" w:cs="Times New Roman"/>
        </w:rPr>
      </w:pPr>
      <w:r w:rsidRPr="00E820CB">
        <w:rPr>
          <w:rFonts w:ascii="Times New Roman" w:hAnsi="Times New Roman" w:cs="Times New Roman"/>
          <w:b/>
          <w:noProof/>
          <w:color w:val="000000" w:themeColor="text1"/>
        </w:rPr>
        <w:pict>
          <v:shape id="_x0000_s1051" type="#_x0000_t75" style="position:absolute;left:0;text-align:left;margin-left:231.7pt;margin-top:63.85pt;width:222.75pt;height:177.65pt;z-index:251870208" wrapcoords="-73 85 -73 21429 21600 21429 21600 85 -73 85">
            <v:imagedata r:id="rId25" o:title=""/>
            <w10:wrap type="tight"/>
          </v:shape>
          <o:OLEObject Type="Embed" ProgID="Excel.Sheet.8" ShapeID="_x0000_s1051" DrawAspect="Content" ObjectID="_1426413033" r:id="rId26"/>
        </w:pict>
      </w:r>
      <w:r w:rsidRPr="00E820CB">
        <w:rPr>
          <w:rFonts w:ascii="Times New Roman" w:hAnsi="Times New Roman" w:cs="Times New Roman"/>
          <w:b/>
          <w:noProof/>
          <w:color w:val="000000" w:themeColor="text1"/>
        </w:rPr>
        <w:pict>
          <v:shape id="_x0000_s1050" type="#_x0000_t75" style="position:absolute;left:0;text-align:left;margin-left:0;margin-top:64.15pt;width:206.25pt;height:181.95pt;z-index:251868160" wrapcoords="-79 84 -79 21432 21600 21432 21600 84 -79 84">
            <v:imagedata r:id="rId27" o:title=""/>
            <w10:wrap type="tight"/>
          </v:shape>
          <o:OLEObject Type="Embed" ProgID="Excel.Sheet.8" ShapeID="_x0000_s1050" DrawAspect="Content" ObjectID="_1426413034" r:id="rId28"/>
        </w:pict>
      </w:r>
      <w:r w:rsidR="006857E9" w:rsidRPr="006857E9">
        <w:rPr>
          <w:rFonts w:ascii="Times New Roman" w:hAnsi="Times New Roman" w:cs="Times New Roman"/>
        </w:rPr>
        <w:t xml:space="preserve">The repayment </w:t>
      </w:r>
      <w:r w:rsidR="002A2714" w:rsidRPr="006857E9">
        <w:rPr>
          <w:rFonts w:ascii="Times New Roman" w:hAnsi="Times New Roman" w:cs="Times New Roman"/>
        </w:rPr>
        <w:t xml:space="preserve">of </w:t>
      </w:r>
      <w:r w:rsidR="002A2714">
        <w:rPr>
          <w:rFonts w:ascii="Times New Roman" w:hAnsi="Times New Roman" w:cs="Times New Roman"/>
        </w:rPr>
        <w:t>loans</w:t>
      </w:r>
      <w:r w:rsidR="008A4E68">
        <w:rPr>
          <w:rFonts w:ascii="Times New Roman" w:hAnsi="Times New Roman" w:cs="Times New Roman"/>
        </w:rPr>
        <w:t xml:space="preserve">/credits </w:t>
      </w:r>
      <w:r w:rsidR="00446B54">
        <w:rPr>
          <w:rFonts w:ascii="Times New Roman" w:hAnsi="Times New Roman" w:cs="Times New Roman"/>
        </w:rPr>
        <w:t xml:space="preserve">reached </w:t>
      </w:r>
      <w:r w:rsidR="008A4E68">
        <w:rPr>
          <w:rFonts w:ascii="Times New Roman" w:hAnsi="Times New Roman" w:cs="Times New Roman"/>
        </w:rPr>
        <w:t>$</w:t>
      </w:r>
      <w:r w:rsidR="0091019F">
        <w:rPr>
          <w:rFonts w:ascii="Times New Roman" w:hAnsi="Times New Roman" w:cs="Times New Roman"/>
        </w:rPr>
        <w:t>3</w:t>
      </w:r>
      <w:r w:rsidR="008A4E68">
        <w:rPr>
          <w:rFonts w:ascii="Times New Roman" w:hAnsi="Times New Roman" w:cs="Times New Roman"/>
        </w:rPr>
        <w:t>,</w:t>
      </w:r>
      <w:r w:rsidR="0091019F">
        <w:rPr>
          <w:rFonts w:ascii="Times New Roman" w:hAnsi="Times New Roman" w:cs="Times New Roman"/>
        </w:rPr>
        <w:t xml:space="preserve">370 </w:t>
      </w:r>
      <w:r w:rsidR="006857E9" w:rsidRPr="006857E9">
        <w:rPr>
          <w:rFonts w:ascii="Times New Roman" w:hAnsi="Times New Roman" w:cs="Times New Roman"/>
        </w:rPr>
        <w:t>million during the current year as against $</w:t>
      </w:r>
      <w:r w:rsidR="0091019F">
        <w:rPr>
          <w:rFonts w:ascii="Times New Roman" w:hAnsi="Times New Roman" w:cs="Times New Roman"/>
        </w:rPr>
        <w:t>2</w:t>
      </w:r>
      <w:r w:rsidR="006857E9" w:rsidRPr="006857E9">
        <w:rPr>
          <w:rFonts w:ascii="Times New Roman" w:hAnsi="Times New Roman" w:cs="Times New Roman"/>
        </w:rPr>
        <w:t>,</w:t>
      </w:r>
      <w:r w:rsidR="0091019F">
        <w:rPr>
          <w:rFonts w:ascii="Times New Roman" w:hAnsi="Times New Roman" w:cs="Times New Roman"/>
        </w:rPr>
        <w:t>733</w:t>
      </w:r>
      <w:r w:rsidR="006857E9" w:rsidRPr="006857E9">
        <w:rPr>
          <w:rFonts w:ascii="Times New Roman" w:hAnsi="Times New Roman" w:cs="Times New Roman"/>
        </w:rPr>
        <w:t xml:space="preserve"> million in the previous year.</w:t>
      </w:r>
      <w:r w:rsidR="002A2714">
        <w:rPr>
          <w:rFonts w:ascii="Times New Roman" w:hAnsi="Times New Roman" w:cs="Times New Roman"/>
        </w:rPr>
        <w:t xml:space="preserve"> </w:t>
      </w:r>
      <w:r w:rsidR="006640E5">
        <w:rPr>
          <w:rFonts w:ascii="Times New Roman" w:hAnsi="Times New Roman" w:cs="Times New Roman"/>
        </w:rPr>
        <w:t xml:space="preserve">An amount of </w:t>
      </w:r>
      <w:r w:rsidR="002A2714">
        <w:rPr>
          <w:rFonts w:ascii="Times New Roman" w:hAnsi="Times New Roman" w:cs="Times New Roman"/>
        </w:rPr>
        <w:t>$</w:t>
      </w:r>
      <w:r w:rsidR="0091019F">
        <w:rPr>
          <w:rFonts w:ascii="Times New Roman" w:hAnsi="Times New Roman" w:cs="Times New Roman"/>
        </w:rPr>
        <w:t>3</w:t>
      </w:r>
      <w:r w:rsidR="002A2714">
        <w:rPr>
          <w:rFonts w:ascii="Times New Roman" w:hAnsi="Times New Roman" w:cs="Times New Roman"/>
        </w:rPr>
        <w:t>,</w:t>
      </w:r>
      <w:r w:rsidR="0091019F">
        <w:rPr>
          <w:rFonts w:ascii="Times New Roman" w:hAnsi="Times New Roman" w:cs="Times New Roman"/>
        </w:rPr>
        <w:t>076</w:t>
      </w:r>
      <w:r w:rsidR="002A2714">
        <w:rPr>
          <w:rFonts w:ascii="Times New Roman" w:hAnsi="Times New Roman" w:cs="Times New Roman"/>
        </w:rPr>
        <w:t xml:space="preserve"> million, </w:t>
      </w:r>
      <w:r w:rsidR="0091019F">
        <w:rPr>
          <w:rFonts w:ascii="Times New Roman" w:hAnsi="Times New Roman" w:cs="Times New Roman"/>
        </w:rPr>
        <w:t>91</w:t>
      </w:r>
      <w:r w:rsidR="00D14241">
        <w:rPr>
          <w:rFonts w:ascii="Times New Roman" w:hAnsi="Times New Roman" w:cs="Times New Roman"/>
        </w:rPr>
        <w:t xml:space="preserve"> </w:t>
      </w:r>
      <w:r w:rsidR="002A2714">
        <w:rPr>
          <w:rFonts w:ascii="Times New Roman" w:hAnsi="Times New Roman" w:cs="Times New Roman"/>
        </w:rPr>
        <w:t xml:space="preserve">percent of total </w:t>
      </w:r>
      <w:r w:rsidR="002A2714" w:rsidRPr="00504196">
        <w:rPr>
          <w:rFonts w:ascii="Times New Roman" w:hAnsi="Times New Roman" w:cs="Times New Roman"/>
        </w:rPr>
        <w:t>repayments</w:t>
      </w:r>
      <w:r w:rsidR="004B4534" w:rsidRPr="00504196">
        <w:rPr>
          <w:rFonts w:ascii="Times New Roman" w:hAnsi="Times New Roman" w:cs="Times New Roman"/>
        </w:rPr>
        <w:t xml:space="preserve"> </w:t>
      </w:r>
      <w:r w:rsidR="00B928C6" w:rsidRPr="00504196">
        <w:rPr>
          <w:rFonts w:ascii="Times New Roman" w:hAnsi="Times New Roman" w:cs="Times New Roman"/>
        </w:rPr>
        <w:t>was</w:t>
      </w:r>
      <w:r w:rsidR="002A2714" w:rsidRPr="00504196">
        <w:rPr>
          <w:rFonts w:ascii="Times New Roman" w:hAnsi="Times New Roman" w:cs="Times New Roman"/>
        </w:rPr>
        <w:t xml:space="preserve"> made</w:t>
      </w:r>
      <w:r w:rsidR="002A2714">
        <w:rPr>
          <w:rFonts w:ascii="Times New Roman" w:hAnsi="Times New Roman" w:cs="Times New Roman"/>
        </w:rPr>
        <w:t xml:space="preserve"> against lon</w:t>
      </w:r>
      <w:r w:rsidR="004F3FD9">
        <w:rPr>
          <w:rFonts w:ascii="Times New Roman" w:hAnsi="Times New Roman" w:cs="Times New Roman"/>
        </w:rPr>
        <w:t>g term loans,</w:t>
      </w:r>
      <w:r w:rsidR="002A2714">
        <w:rPr>
          <w:rFonts w:ascii="Times New Roman" w:hAnsi="Times New Roman" w:cs="Times New Roman"/>
        </w:rPr>
        <w:t xml:space="preserve"> </w:t>
      </w:r>
      <w:r w:rsidR="004F3FD9">
        <w:rPr>
          <w:rFonts w:ascii="Times New Roman" w:hAnsi="Times New Roman" w:cs="Times New Roman"/>
        </w:rPr>
        <w:t>o</w:t>
      </w:r>
      <w:r w:rsidR="002A2714">
        <w:rPr>
          <w:rFonts w:ascii="Times New Roman" w:hAnsi="Times New Roman" w:cs="Times New Roman"/>
        </w:rPr>
        <w:t>f which</w:t>
      </w:r>
      <w:r w:rsidR="00E32A0A">
        <w:rPr>
          <w:rFonts w:ascii="Times New Roman" w:hAnsi="Times New Roman" w:cs="Times New Roman"/>
        </w:rPr>
        <w:t xml:space="preserve"> $1,</w:t>
      </w:r>
      <w:r w:rsidR="0091019F">
        <w:rPr>
          <w:rFonts w:ascii="Times New Roman" w:hAnsi="Times New Roman" w:cs="Times New Roman"/>
        </w:rPr>
        <w:t>445</w:t>
      </w:r>
      <w:r w:rsidR="00E32A0A">
        <w:rPr>
          <w:rFonts w:ascii="Times New Roman" w:hAnsi="Times New Roman" w:cs="Times New Roman"/>
        </w:rPr>
        <w:t xml:space="preserve"> million were </w:t>
      </w:r>
      <w:r w:rsidR="00641495">
        <w:rPr>
          <w:rFonts w:ascii="Times New Roman" w:hAnsi="Times New Roman" w:cs="Times New Roman"/>
        </w:rPr>
        <w:t>for official</w:t>
      </w:r>
      <w:r w:rsidR="00E32A0A">
        <w:rPr>
          <w:rFonts w:ascii="Times New Roman" w:hAnsi="Times New Roman" w:cs="Times New Roman"/>
        </w:rPr>
        <w:t xml:space="preserve"> loans. </w:t>
      </w:r>
      <w:r w:rsidR="002A2714">
        <w:rPr>
          <w:rFonts w:ascii="Times New Roman" w:hAnsi="Times New Roman" w:cs="Times New Roman"/>
        </w:rPr>
        <w:t xml:space="preserve"> </w:t>
      </w:r>
      <w:r w:rsidR="006857E9" w:rsidRPr="006857E9">
        <w:rPr>
          <w:rFonts w:ascii="Times New Roman" w:hAnsi="Times New Roman" w:cs="Times New Roman"/>
        </w:rPr>
        <w:t xml:space="preserve"> The repayment of short-term loans/credits </w:t>
      </w:r>
      <w:r w:rsidR="000A2E98">
        <w:rPr>
          <w:rFonts w:ascii="Times New Roman" w:hAnsi="Times New Roman" w:cs="Times New Roman"/>
        </w:rPr>
        <w:t xml:space="preserve">decreased to </w:t>
      </w:r>
      <w:r w:rsidR="000A2E98" w:rsidRPr="006857E9">
        <w:rPr>
          <w:rFonts w:ascii="Times New Roman" w:hAnsi="Times New Roman" w:cs="Times New Roman"/>
        </w:rPr>
        <w:t>$</w:t>
      </w:r>
      <w:r w:rsidR="0091019F">
        <w:rPr>
          <w:rFonts w:ascii="Times New Roman" w:hAnsi="Times New Roman" w:cs="Times New Roman"/>
        </w:rPr>
        <w:t>294</w:t>
      </w:r>
      <w:r w:rsidR="00B302DB">
        <w:rPr>
          <w:rFonts w:ascii="Times New Roman" w:hAnsi="Times New Roman" w:cs="Times New Roman"/>
        </w:rPr>
        <w:t xml:space="preserve"> </w:t>
      </w:r>
      <w:r w:rsidR="00B302DB" w:rsidRPr="006857E9">
        <w:rPr>
          <w:rFonts w:ascii="Times New Roman" w:hAnsi="Times New Roman" w:cs="Times New Roman"/>
        </w:rPr>
        <w:t>million</w:t>
      </w:r>
      <w:r w:rsidR="006857E9" w:rsidRPr="006857E9">
        <w:rPr>
          <w:rFonts w:ascii="Times New Roman" w:hAnsi="Times New Roman" w:cs="Times New Roman"/>
        </w:rPr>
        <w:t xml:space="preserve"> during </w:t>
      </w:r>
      <w:r w:rsidR="0057452E">
        <w:rPr>
          <w:rFonts w:ascii="Times New Roman" w:hAnsi="Times New Roman" w:cs="Times New Roman"/>
        </w:rPr>
        <w:t>FY</w:t>
      </w:r>
      <w:r w:rsidR="007959C1">
        <w:rPr>
          <w:rFonts w:ascii="Times New Roman" w:hAnsi="Times New Roman" w:cs="Times New Roman"/>
        </w:rPr>
        <w:t>1</w:t>
      </w:r>
      <w:r w:rsidR="0091019F">
        <w:rPr>
          <w:rFonts w:ascii="Times New Roman" w:hAnsi="Times New Roman" w:cs="Times New Roman"/>
        </w:rPr>
        <w:t>2</w:t>
      </w:r>
      <w:r w:rsidR="007959C1">
        <w:rPr>
          <w:rFonts w:ascii="Times New Roman" w:hAnsi="Times New Roman" w:cs="Times New Roman"/>
        </w:rPr>
        <w:t xml:space="preserve"> </w:t>
      </w:r>
      <w:r w:rsidR="006857E9" w:rsidRPr="006857E9">
        <w:rPr>
          <w:rFonts w:ascii="Times New Roman" w:hAnsi="Times New Roman" w:cs="Times New Roman"/>
        </w:rPr>
        <w:t>as against $</w:t>
      </w:r>
      <w:r w:rsidR="0091019F">
        <w:rPr>
          <w:rFonts w:ascii="Times New Roman" w:hAnsi="Times New Roman" w:cs="Times New Roman"/>
        </w:rPr>
        <w:t>484</w:t>
      </w:r>
      <w:r w:rsidR="006857E9" w:rsidRPr="006857E9">
        <w:rPr>
          <w:rFonts w:ascii="Times New Roman" w:hAnsi="Times New Roman" w:cs="Times New Roman"/>
        </w:rPr>
        <w:t xml:space="preserve"> million </w:t>
      </w:r>
      <w:r w:rsidR="007959C1">
        <w:rPr>
          <w:rFonts w:ascii="Times New Roman" w:hAnsi="Times New Roman" w:cs="Times New Roman"/>
        </w:rPr>
        <w:t xml:space="preserve">in </w:t>
      </w:r>
      <w:r w:rsidR="0057452E">
        <w:rPr>
          <w:rFonts w:ascii="Times New Roman" w:hAnsi="Times New Roman" w:cs="Times New Roman"/>
        </w:rPr>
        <w:t>FY</w:t>
      </w:r>
      <w:r w:rsidR="00AE56EB">
        <w:rPr>
          <w:rFonts w:ascii="Times New Roman" w:hAnsi="Times New Roman" w:cs="Times New Roman"/>
        </w:rPr>
        <w:t>1</w:t>
      </w:r>
      <w:r w:rsidR="0091019F">
        <w:rPr>
          <w:rFonts w:ascii="Times New Roman" w:hAnsi="Times New Roman" w:cs="Times New Roman"/>
        </w:rPr>
        <w:t>1</w:t>
      </w:r>
      <w:r w:rsidR="007959C1">
        <w:rPr>
          <w:rFonts w:ascii="Times New Roman" w:hAnsi="Times New Roman" w:cs="Times New Roman"/>
        </w:rPr>
        <w:t>.</w:t>
      </w:r>
      <w:r w:rsidR="00230E85" w:rsidRPr="00230E85">
        <w:rPr>
          <w:rFonts w:ascii="Times New Roman" w:hAnsi="Times New Roman" w:cs="Times New Roman"/>
        </w:rPr>
        <w:t xml:space="preserve"> </w:t>
      </w:r>
      <w:r w:rsidR="006857E9" w:rsidRPr="006857E9">
        <w:rPr>
          <w:rFonts w:ascii="Times New Roman" w:hAnsi="Times New Roman" w:cs="Times New Roman"/>
        </w:rPr>
        <w:t xml:space="preserve">                 </w:t>
      </w:r>
      <w:r w:rsidR="00FF254A">
        <w:rPr>
          <w:rFonts w:ascii="Times New Roman" w:hAnsi="Times New Roman" w:cs="Times New Roman"/>
        </w:rPr>
        <w:t xml:space="preserve">                           </w:t>
      </w:r>
      <w:r w:rsidR="006E2CC3">
        <w:rPr>
          <w:rFonts w:ascii="Times New Roman" w:hAnsi="Times New Roman" w:cs="Times New Roman"/>
        </w:rPr>
        <w:t xml:space="preserve">   </w:t>
      </w:r>
    </w:p>
    <w:p w:rsidR="002D75DC" w:rsidRDefault="000A2E98" w:rsidP="00B37CFA">
      <w:pPr>
        <w:tabs>
          <w:tab w:val="center" w:pos="3063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="000918C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6857E9" w:rsidRDefault="00544C8A" w:rsidP="00544C8A">
      <w:pPr>
        <w:tabs>
          <w:tab w:val="center" w:pos="3063"/>
          <w:tab w:val="left" w:pos="9270"/>
        </w:tabs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R</w:t>
      </w:r>
      <w:r w:rsidRPr="006105F5">
        <w:rPr>
          <w:rFonts w:ascii="Times New Roman" w:hAnsi="Times New Roman" w:cs="Times New Roman"/>
          <w:b/>
          <w:color w:val="000000" w:themeColor="text1"/>
        </w:rPr>
        <w:t>eserves</w:t>
      </w:r>
      <w:r w:rsidR="006857E9" w:rsidRPr="006105F5">
        <w:rPr>
          <w:rFonts w:ascii="Times New Roman" w:hAnsi="Times New Roman" w:cs="Times New Roman"/>
          <w:b/>
          <w:color w:val="000000" w:themeColor="text1"/>
        </w:rPr>
        <w:t xml:space="preserve"> and related items</w:t>
      </w:r>
      <w:r w:rsidR="00F24C7A" w:rsidRPr="00F24C7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467C3" w:rsidRDefault="00E820CB" w:rsidP="00B928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3" type="#_x0000_t75" style="position:absolute;left:0;text-align:left;margin-left:144.7pt;margin-top:464.25pt;width:320.65pt;height:143.3pt;z-index:251882496;mso-position-horizontal-relative:margin;mso-position-vertical-relative:margin">
            <v:imagedata r:id="rId29" o:title=""/>
            <w10:wrap type="square" side="left" anchorx="margin" anchory="margin"/>
          </v:shape>
          <o:OLEObject Type="Embed" ProgID="Excel.Sheet.8" ShapeID="_x0000_s1063" DrawAspect="Content" ObjectID="_1426413035" r:id="rId30"/>
        </w:pict>
      </w:r>
      <w:r w:rsidR="0079247D">
        <w:rPr>
          <w:rFonts w:ascii="Times New Roman" w:hAnsi="Times New Roman" w:cs="Times New Roman"/>
        </w:rPr>
        <w:t xml:space="preserve">Net reserve assets </w:t>
      </w:r>
      <w:r w:rsidR="00AA7CE1">
        <w:rPr>
          <w:rFonts w:ascii="Times New Roman" w:hAnsi="Times New Roman" w:cs="Times New Roman"/>
        </w:rPr>
        <w:t xml:space="preserve">decreased </w:t>
      </w:r>
      <w:r w:rsidR="00B928C6" w:rsidRPr="00504196">
        <w:rPr>
          <w:rFonts w:ascii="Times New Roman" w:hAnsi="Times New Roman" w:cs="Times New Roman"/>
        </w:rPr>
        <w:t>by</w:t>
      </w:r>
      <w:r w:rsidR="0079247D">
        <w:rPr>
          <w:rFonts w:ascii="Times New Roman" w:hAnsi="Times New Roman" w:cs="Times New Roman"/>
        </w:rPr>
        <w:t xml:space="preserve"> $</w:t>
      </w:r>
      <w:r w:rsidR="00070FBE">
        <w:rPr>
          <w:rFonts w:ascii="Times New Roman" w:hAnsi="Times New Roman" w:cs="Times New Roman"/>
        </w:rPr>
        <w:t>4</w:t>
      </w:r>
      <w:r w:rsidR="0079247D">
        <w:rPr>
          <w:rFonts w:ascii="Times New Roman" w:hAnsi="Times New Roman" w:cs="Times New Roman"/>
        </w:rPr>
        <w:t>,</w:t>
      </w:r>
      <w:r w:rsidR="00070FBE">
        <w:rPr>
          <w:rFonts w:ascii="Times New Roman" w:hAnsi="Times New Roman" w:cs="Times New Roman"/>
        </w:rPr>
        <w:t xml:space="preserve">430 </w:t>
      </w:r>
      <w:r w:rsidR="0079247D">
        <w:rPr>
          <w:rFonts w:ascii="Times New Roman" w:hAnsi="Times New Roman" w:cs="Times New Roman"/>
        </w:rPr>
        <w:t xml:space="preserve">million </w:t>
      </w:r>
      <w:r w:rsidR="00365F0C">
        <w:rPr>
          <w:rFonts w:ascii="Times New Roman" w:hAnsi="Times New Roman" w:cs="Times New Roman"/>
        </w:rPr>
        <w:t>during FY12</w:t>
      </w:r>
      <w:r w:rsidR="00AA7CE1">
        <w:rPr>
          <w:rFonts w:ascii="Times New Roman" w:hAnsi="Times New Roman" w:cs="Times New Roman"/>
        </w:rPr>
        <w:t xml:space="preserve"> </w:t>
      </w:r>
      <w:r w:rsidR="00CE570D">
        <w:rPr>
          <w:rFonts w:ascii="Times New Roman" w:hAnsi="Times New Roman" w:cs="Times New Roman"/>
        </w:rPr>
        <w:t>contrary to an</w:t>
      </w:r>
      <w:r w:rsidR="00AA7CE1">
        <w:rPr>
          <w:rFonts w:ascii="Times New Roman" w:hAnsi="Times New Roman" w:cs="Times New Roman"/>
        </w:rPr>
        <w:t xml:space="preserve"> increase of $2, 225 million in the preceding year. </w:t>
      </w:r>
      <w:r w:rsidR="00365F0C">
        <w:rPr>
          <w:rFonts w:ascii="Times New Roman" w:hAnsi="Times New Roman" w:cs="Times New Roman"/>
        </w:rPr>
        <w:t xml:space="preserve"> </w:t>
      </w:r>
      <w:r w:rsidR="006640E5">
        <w:rPr>
          <w:rFonts w:ascii="Times New Roman" w:hAnsi="Times New Roman" w:cs="Times New Roman"/>
        </w:rPr>
        <w:t xml:space="preserve">Use </w:t>
      </w:r>
      <w:proofErr w:type="gramStart"/>
      <w:r w:rsidR="006640E5">
        <w:rPr>
          <w:rFonts w:ascii="Times New Roman" w:hAnsi="Times New Roman" w:cs="Times New Roman"/>
        </w:rPr>
        <w:t>of  fund</w:t>
      </w:r>
      <w:proofErr w:type="gramEnd"/>
      <w:r w:rsidR="006640E5">
        <w:rPr>
          <w:rFonts w:ascii="Times New Roman" w:hAnsi="Times New Roman" w:cs="Times New Roman"/>
        </w:rPr>
        <w:t xml:space="preserve"> credit r</w:t>
      </w:r>
      <w:r w:rsidR="0079247D">
        <w:rPr>
          <w:rFonts w:ascii="Times New Roman" w:hAnsi="Times New Roman" w:cs="Times New Roman"/>
        </w:rPr>
        <w:t>epurchases/repayments in current year</w:t>
      </w:r>
      <w:r w:rsidR="00AC0803">
        <w:rPr>
          <w:rFonts w:ascii="Times New Roman" w:hAnsi="Times New Roman" w:cs="Times New Roman"/>
        </w:rPr>
        <w:t xml:space="preserve"> increased to $</w:t>
      </w:r>
      <w:r w:rsidR="00070FBE">
        <w:rPr>
          <w:rFonts w:ascii="Times New Roman" w:hAnsi="Times New Roman" w:cs="Times New Roman"/>
        </w:rPr>
        <w:t>1,1</w:t>
      </w:r>
      <w:r w:rsidR="00AF29EA">
        <w:rPr>
          <w:rFonts w:ascii="Times New Roman" w:hAnsi="Times New Roman" w:cs="Times New Roman"/>
        </w:rPr>
        <w:t>5</w:t>
      </w:r>
      <w:r w:rsidR="00070FBE">
        <w:rPr>
          <w:rFonts w:ascii="Times New Roman" w:hAnsi="Times New Roman" w:cs="Times New Roman"/>
        </w:rPr>
        <w:t>5</w:t>
      </w:r>
      <w:r w:rsidR="00AC0803">
        <w:rPr>
          <w:rFonts w:ascii="Times New Roman" w:hAnsi="Times New Roman" w:cs="Times New Roman"/>
        </w:rPr>
        <w:t xml:space="preserve"> million from $2</w:t>
      </w:r>
      <w:r w:rsidR="00070FBE">
        <w:rPr>
          <w:rFonts w:ascii="Times New Roman" w:hAnsi="Times New Roman" w:cs="Times New Roman"/>
        </w:rPr>
        <w:t>67</w:t>
      </w:r>
      <w:r w:rsidR="00AF29EA">
        <w:rPr>
          <w:rFonts w:ascii="Times New Roman" w:hAnsi="Times New Roman" w:cs="Times New Roman"/>
        </w:rPr>
        <w:t>million. Q</w:t>
      </w:r>
      <w:r w:rsidR="000C0A57">
        <w:rPr>
          <w:rFonts w:ascii="Times New Roman" w:hAnsi="Times New Roman" w:cs="Times New Roman"/>
        </w:rPr>
        <w:t>uarter-</w:t>
      </w:r>
      <w:r w:rsidR="007F3F34">
        <w:rPr>
          <w:rFonts w:ascii="Times New Roman" w:hAnsi="Times New Roman" w:cs="Times New Roman"/>
        </w:rPr>
        <w:t>wise bifurcation</w:t>
      </w:r>
      <w:r w:rsidR="00AF29EA">
        <w:rPr>
          <w:rFonts w:ascii="Times New Roman" w:hAnsi="Times New Roman" w:cs="Times New Roman"/>
        </w:rPr>
        <w:t xml:space="preserve"> of repurchases/re</w:t>
      </w:r>
      <w:r w:rsidR="000C0A57">
        <w:rPr>
          <w:rFonts w:ascii="Times New Roman" w:hAnsi="Times New Roman" w:cs="Times New Roman"/>
        </w:rPr>
        <w:t xml:space="preserve">payments </w:t>
      </w:r>
      <w:r w:rsidR="00AF29EA">
        <w:rPr>
          <w:rFonts w:ascii="Times New Roman" w:hAnsi="Times New Roman" w:cs="Times New Roman"/>
        </w:rPr>
        <w:t>is</w:t>
      </w:r>
      <w:r w:rsidR="000C0A57">
        <w:rPr>
          <w:rFonts w:ascii="Times New Roman" w:hAnsi="Times New Roman" w:cs="Times New Roman"/>
        </w:rPr>
        <w:t xml:space="preserve"> </w:t>
      </w:r>
      <w:r w:rsidR="0079247D">
        <w:rPr>
          <w:rFonts w:ascii="Times New Roman" w:hAnsi="Times New Roman" w:cs="Times New Roman"/>
        </w:rPr>
        <w:t>$5</w:t>
      </w:r>
      <w:r w:rsidR="00C04585">
        <w:rPr>
          <w:rFonts w:ascii="Times New Roman" w:hAnsi="Times New Roman" w:cs="Times New Roman"/>
        </w:rPr>
        <w:t>5</w:t>
      </w:r>
      <w:r w:rsidR="0079247D">
        <w:rPr>
          <w:rFonts w:ascii="Times New Roman" w:hAnsi="Times New Roman" w:cs="Times New Roman"/>
        </w:rPr>
        <w:t xml:space="preserve"> million (SDR 34.</w:t>
      </w:r>
      <w:r w:rsidR="006F0493">
        <w:rPr>
          <w:rFonts w:ascii="Times New Roman" w:hAnsi="Times New Roman" w:cs="Times New Roman"/>
        </w:rPr>
        <w:t>46</w:t>
      </w:r>
      <w:r w:rsidR="0079247D">
        <w:rPr>
          <w:rFonts w:ascii="Times New Roman" w:hAnsi="Times New Roman" w:cs="Times New Roman"/>
        </w:rPr>
        <w:t xml:space="preserve"> </w:t>
      </w:r>
      <w:r w:rsidR="00AF29EA">
        <w:rPr>
          <w:rFonts w:ascii="Times New Roman" w:hAnsi="Times New Roman" w:cs="Times New Roman"/>
        </w:rPr>
        <w:t>million), $</w:t>
      </w:r>
      <w:r w:rsidR="00C04585">
        <w:rPr>
          <w:rFonts w:ascii="Times New Roman" w:hAnsi="Times New Roman" w:cs="Times New Roman"/>
        </w:rPr>
        <w:t>81</w:t>
      </w:r>
      <w:r w:rsidR="0079247D">
        <w:rPr>
          <w:rFonts w:ascii="Times New Roman" w:hAnsi="Times New Roman" w:cs="Times New Roman"/>
        </w:rPr>
        <w:t xml:space="preserve"> million (SDR 51.6</w:t>
      </w:r>
      <w:r w:rsidR="006F0493">
        <w:rPr>
          <w:rFonts w:ascii="Times New Roman" w:hAnsi="Times New Roman" w:cs="Times New Roman"/>
        </w:rPr>
        <w:t>9</w:t>
      </w:r>
      <w:r w:rsidR="0079247D">
        <w:rPr>
          <w:rFonts w:ascii="Times New Roman" w:hAnsi="Times New Roman" w:cs="Times New Roman"/>
        </w:rPr>
        <w:t xml:space="preserve"> </w:t>
      </w:r>
      <w:r w:rsidR="00AF29EA">
        <w:rPr>
          <w:rFonts w:ascii="Times New Roman" w:hAnsi="Times New Roman" w:cs="Times New Roman"/>
        </w:rPr>
        <w:t xml:space="preserve">million), </w:t>
      </w:r>
      <w:r w:rsidR="00AF29EA" w:rsidRPr="00711F40">
        <w:rPr>
          <w:rFonts w:ascii="Times New Roman" w:hAnsi="Times New Roman" w:cs="Times New Roman"/>
        </w:rPr>
        <w:t>$</w:t>
      </w:r>
      <w:r w:rsidR="00D6727D" w:rsidRPr="00711F40">
        <w:rPr>
          <w:rFonts w:ascii="Times New Roman" w:hAnsi="Times New Roman" w:cs="Times New Roman"/>
        </w:rPr>
        <w:t>53</w:t>
      </w:r>
      <w:r w:rsidR="0079247D" w:rsidRPr="00711F40">
        <w:rPr>
          <w:rFonts w:ascii="Times New Roman" w:hAnsi="Times New Roman" w:cs="Times New Roman"/>
        </w:rPr>
        <w:t xml:space="preserve"> million (SDR </w:t>
      </w:r>
      <w:r w:rsidR="00D6727D" w:rsidRPr="00711F40">
        <w:rPr>
          <w:rFonts w:ascii="Times New Roman" w:hAnsi="Times New Roman" w:cs="Times New Roman"/>
        </w:rPr>
        <w:t>3</w:t>
      </w:r>
      <w:r w:rsidR="00711F40" w:rsidRPr="00711F40">
        <w:rPr>
          <w:rFonts w:ascii="Times New Roman" w:hAnsi="Times New Roman" w:cs="Times New Roman"/>
        </w:rPr>
        <w:t>5</w:t>
      </w:r>
      <w:r w:rsidR="0079247D" w:rsidRPr="00711F40">
        <w:rPr>
          <w:rFonts w:ascii="Times New Roman" w:hAnsi="Times New Roman" w:cs="Times New Roman"/>
        </w:rPr>
        <w:t xml:space="preserve"> </w:t>
      </w:r>
      <w:r w:rsidR="00AF29EA" w:rsidRPr="00711F40">
        <w:rPr>
          <w:rFonts w:ascii="Times New Roman" w:hAnsi="Times New Roman" w:cs="Times New Roman"/>
        </w:rPr>
        <w:t>m</w:t>
      </w:r>
      <w:r w:rsidR="0079247D" w:rsidRPr="00711F40">
        <w:rPr>
          <w:rFonts w:ascii="Times New Roman" w:hAnsi="Times New Roman" w:cs="Times New Roman"/>
        </w:rPr>
        <w:t>illion</w:t>
      </w:r>
      <w:r w:rsidR="0079247D">
        <w:rPr>
          <w:rFonts w:ascii="Times New Roman" w:hAnsi="Times New Roman" w:cs="Times New Roman"/>
        </w:rPr>
        <w:t>) and $</w:t>
      </w:r>
      <w:r w:rsidR="00D6727D" w:rsidRPr="00711F40">
        <w:rPr>
          <w:rFonts w:ascii="Times New Roman" w:hAnsi="Times New Roman" w:cs="Times New Roman"/>
        </w:rPr>
        <w:t>66</w:t>
      </w:r>
      <w:r w:rsidR="0079247D" w:rsidRPr="00711F40">
        <w:rPr>
          <w:rFonts w:ascii="Times New Roman" w:hAnsi="Times New Roman" w:cs="Times New Roman"/>
        </w:rPr>
        <w:t xml:space="preserve"> million (SDR </w:t>
      </w:r>
      <w:r w:rsidR="00D6727D" w:rsidRPr="00711F40">
        <w:rPr>
          <w:rFonts w:ascii="Times New Roman" w:hAnsi="Times New Roman" w:cs="Times New Roman"/>
        </w:rPr>
        <w:t>43</w:t>
      </w:r>
      <w:r w:rsidR="0079247D" w:rsidRPr="00711F40">
        <w:rPr>
          <w:rFonts w:ascii="Times New Roman" w:hAnsi="Times New Roman" w:cs="Times New Roman"/>
        </w:rPr>
        <w:t xml:space="preserve"> </w:t>
      </w:r>
      <w:r w:rsidR="00AF29EA" w:rsidRPr="00711F40">
        <w:rPr>
          <w:rFonts w:ascii="Times New Roman" w:hAnsi="Times New Roman" w:cs="Times New Roman"/>
        </w:rPr>
        <w:t>m</w:t>
      </w:r>
      <w:r w:rsidR="0079247D" w:rsidRPr="00711F40">
        <w:rPr>
          <w:rFonts w:ascii="Times New Roman" w:hAnsi="Times New Roman" w:cs="Times New Roman"/>
        </w:rPr>
        <w:t>illion)</w:t>
      </w:r>
      <w:r w:rsidR="00AC0803">
        <w:rPr>
          <w:rFonts w:ascii="Times New Roman" w:hAnsi="Times New Roman" w:cs="Times New Roman"/>
        </w:rPr>
        <w:t xml:space="preserve"> on the account of ECF</w:t>
      </w:r>
      <w:r w:rsidR="000C0A57" w:rsidRPr="000C0A57">
        <w:rPr>
          <w:rFonts w:ascii="Times New Roman" w:hAnsi="Times New Roman" w:cs="Times New Roman"/>
        </w:rPr>
        <w:t xml:space="preserve"> </w:t>
      </w:r>
      <w:r w:rsidR="000C0A57">
        <w:rPr>
          <w:rFonts w:ascii="Times New Roman" w:hAnsi="Times New Roman" w:cs="Times New Roman"/>
        </w:rPr>
        <w:t>in the current year</w:t>
      </w:r>
      <w:r w:rsidR="0079247D">
        <w:rPr>
          <w:rFonts w:ascii="Times New Roman" w:hAnsi="Times New Roman" w:cs="Times New Roman"/>
        </w:rPr>
        <w:t xml:space="preserve">. </w:t>
      </w:r>
      <w:r w:rsidR="00B00D67">
        <w:rPr>
          <w:rFonts w:ascii="Times New Roman" w:hAnsi="Times New Roman" w:cs="Times New Roman"/>
        </w:rPr>
        <w:t xml:space="preserve"> $</w:t>
      </w:r>
      <w:r w:rsidR="00F30351">
        <w:rPr>
          <w:rFonts w:ascii="Times New Roman" w:hAnsi="Times New Roman" w:cs="Times New Roman"/>
        </w:rPr>
        <w:t>399</w:t>
      </w:r>
      <w:r w:rsidR="00B00D67">
        <w:rPr>
          <w:rFonts w:ascii="Times New Roman" w:hAnsi="Times New Roman" w:cs="Times New Roman"/>
        </w:rPr>
        <w:t xml:space="preserve"> million </w:t>
      </w:r>
      <w:r w:rsidR="00D6727D">
        <w:rPr>
          <w:rFonts w:ascii="Times New Roman" w:hAnsi="Times New Roman" w:cs="Times New Roman"/>
        </w:rPr>
        <w:t>(SDR 258 million</w:t>
      </w:r>
      <w:r w:rsidR="00B00D67">
        <w:rPr>
          <w:rFonts w:ascii="Times New Roman" w:hAnsi="Times New Roman" w:cs="Times New Roman"/>
        </w:rPr>
        <w:t xml:space="preserve">) &amp; </w:t>
      </w:r>
      <w:r w:rsidR="00F30351">
        <w:rPr>
          <w:rFonts w:ascii="Times New Roman" w:hAnsi="Times New Roman" w:cs="Times New Roman"/>
        </w:rPr>
        <w:t>501</w:t>
      </w:r>
      <w:r w:rsidR="00B00D67">
        <w:rPr>
          <w:rFonts w:ascii="Times New Roman" w:hAnsi="Times New Roman" w:cs="Times New Roman"/>
        </w:rPr>
        <w:t xml:space="preserve"> million (SDR</w:t>
      </w:r>
      <w:r w:rsidR="00D6727D">
        <w:rPr>
          <w:rFonts w:ascii="Times New Roman" w:hAnsi="Times New Roman" w:cs="Times New Roman"/>
        </w:rPr>
        <w:t xml:space="preserve"> 330 million) were</w:t>
      </w:r>
      <w:r w:rsidR="00B00D67">
        <w:rPr>
          <w:rFonts w:ascii="Times New Roman" w:hAnsi="Times New Roman" w:cs="Times New Roman"/>
        </w:rPr>
        <w:t xml:space="preserve"> </w:t>
      </w:r>
      <w:r w:rsidR="00D6727D">
        <w:rPr>
          <w:rFonts w:ascii="Times New Roman" w:hAnsi="Times New Roman" w:cs="Times New Roman"/>
        </w:rPr>
        <w:t>paid against</w:t>
      </w:r>
      <w:r w:rsidR="00B00D67">
        <w:rPr>
          <w:rFonts w:ascii="Times New Roman" w:hAnsi="Times New Roman" w:cs="Times New Roman"/>
        </w:rPr>
        <w:t xml:space="preserve"> Stand </w:t>
      </w:r>
      <w:r w:rsidR="001467C3">
        <w:rPr>
          <w:rFonts w:ascii="Times New Roman" w:hAnsi="Times New Roman" w:cs="Times New Roman"/>
        </w:rPr>
        <w:t>by</w:t>
      </w:r>
      <w:r w:rsidR="00B00D67">
        <w:rPr>
          <w:rFonts w:ascii="Times New Roman" w:hAnsi="Times New Roman" w:cs="Times New Roman"/>
        </w:rPr>
        <w:t xml:space="preserve"> Arrangements. </w:t>
      </w:r>
      <w:r w:rsidR="00577D3A">
        <w:rPr>
          <w:rFonts w:ascii="Times New Roman" w:hAnsi="Times New Roman" w:cs="Times New Roman"/>
        </w:rPr>
        <w:br w:type="textWrapping" w:clear="all"/>
      </w:r>
    </w:p>
    <w:p w:rsidR="001467C3" w:rsidRDefault="001467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027" w:type="dxa"/>
        <w:tblInd w:w="93" w:type="dxa"/>
        <w:tblLook w:val="0000"/>
      </w:tblPr>
      <w:tblGrid>
        <w:gridCol w:w="2895"/>
        <w:gridCol w:w="960"/>
        <w:gridCol w:w="1020"/>
        <w:gridCol w:w="236"/>
        <w:gridCol w:w="844"/>
        <w:gridCol w:w="888"/>
        <w:gridCol w:w="12"/>
        <w:gridCol w:w="224"/>
        <w:gridCol w:w="12"/>
        <w:gridCol w:w="856"/>
        <w:gridCol w:w="1080"/>
      </w:tblGrid>
      <w:tr w:rsidR="001467C3" w:rsidRPr="007A6171" w:rsidTr="001467C3">
        <w:trPr>
          <w:trHeight w:hRule="exact" w:val="360"/>
        </w:trPr>
        <w:tc>
          <w:tcPr>
            <w:tcW w:w="9027" w:type="dxa"/>
            <w:gridSpan w:val="11"/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Summary Balance of</w:t>
            </w:r>
          </w:p>
        </w:tc>
      </w:tr>
      <w:tr w:rsidR="001467C3" w:rsidRPr="007A6171" w:rsidTr="001467C3">
        <w:trPr>
          <w:trHeight w:hRule="exact" w:val="360"/>
        </w:trPr>
        <w:tc>
          <w:tcPr>
            <w:tcW w:w="9027" w:type="dxa"/>
            <w:gridSpan w:val="11"/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1467C3" w:rsidRPr="007A6171" w:rsidTr="001467C3">
        <w:trPr>
          <w:trHeight w:hRule="exact" w:val="230"/>
        </w:trPr>
        <w:tc>
          <w:tcPr>
            <w:tcW w:w="2895" w:type="dxa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72" w:type="dxa"/>
            <w:gridSpan w:val="6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1467C3" w:rsidRPr="007A6171" w:rsidTr="001467C3">
        <w:trPr>
          <w:cantSplit/>
          <w:trHeight w:hRule="exact" w:val="230"/>
        </w:trPr>
        <w:tc>
          <w:tcPr>
            <w:tcW w:w="2895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36" w:type="dxa"/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Jul - Jun</w:t>
            </w:r>
          </w:p>
        </w:tc>
      </w:tr>
      <w:tr w:rsidR="001467C3" w:rsidRPr="007A6171" w:rsidTr="001467C3">
        <w:trPr>
          <w:cantSplit/>
          <w:trHeight w:hRule="exact" w:val="230"/>
        </w:trPr>
        <w:tc>
          <w:tcPr>
            <w:tcW w:w="2895" w:type="dxa"/>
            <w:vMerge/>
            <w:tcBorders>
              <w:bottom w:val="single" w:sz="12" w:space="0" w:color="auto"/>
            </w:tcBorders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Jul – Sep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Oct -  Dec</w:t>
            </w:r>
          </w:p>
        </w:tc>
        <w:tc>
          <w:tcPr>
            <w:tcW w:w="236" w:type="dxa"/>
            <w:noWrap/>
            <w:vAlign w:val="center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Jan - Mar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Apr – Jun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</w:t>
            </w: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-1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</w:t>
            </w:r>
            <w:r w:rsidRPr="007A61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tcBorders>
              <w:top w:val="single" w:sz="12" w:space="0" w:color="auto"/>
            </w:tcBorders>
            <w:vAlign w:val="bottom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bottom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Current Account Balance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-1,367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-1,032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-639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-1,620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-4,658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</w:tr>
      <w:tr w:rsidR="001467C3" w:rsidRPr="007A6171" w:rsidTr="001467C3">
        <w:trPr>
          <w:trHeight w:hRule="exact" w:val="540"/>
        </w:trPr>
        <w:tc>
          <w:tcPr>
            <w:tcW w:w="2895" w:type="dxa"/>
            <w:shd w:val="clear" w:color="auto" w:fill="FFFFFF"/>
            <w:vAlign w:val="bottom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Current Account Balance without off. transfers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-1,452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-1,207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-844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-1,740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-5,243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-610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Goods:  Exports fob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6,149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5,923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6,262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6,362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24,696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25,356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Goods:  Imports fob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10,390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9,699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10,082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10,290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40,461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35,872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Trade Balance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-4,241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-3,776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-3,820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-3,928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-15,765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-10,516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Services:  Credit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1,230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1,440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1,227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1,138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5,035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5,768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Services:  Debit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1,976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2,059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1,959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2,233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8,227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7,708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Balance on Goods &amp; Services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-4,987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-4,395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-4,552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-5,023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-18,957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-12,456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Income:  Credit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224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267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138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197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826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716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Income:  Debit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874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1,189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828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1,180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4,071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3,733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Of which : Interest payments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370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506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331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1,633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1,483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Balance on Gds &amp; Serv. &amp; Inc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-5,637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-5,317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-5,242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-6,006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-22,202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-15,473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Current Transfers.: Credit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4,287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4,344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4,622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4,433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17,686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15,863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Of which: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Workers' Remittances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3,297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3,028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3,411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3,450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13,186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11,201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 FCAs Residents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-78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167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149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289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367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Current Transfers :Debit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176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Capital Account, 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183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161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Capital Account, : Credit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186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161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Project Grants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180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160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Debt Forgiveness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Others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Capital Account... Debit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Financial Account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602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-326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145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859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1,280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2,101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Direct Investment Abroad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-33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-21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-77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-44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Dir. Invest. In Rep. Econ.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263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268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222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821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1,635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Portfolio Investment Assets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-16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-32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-7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Equity Securities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-18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-37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-7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Debt Securities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Portfolio Investment </w:t>
            </w:r>
            <w:proofErr w:type="spellStart"/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Liab</w:t>
            </w:r>
            <w:proofErr w:type="spellEnd"/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-44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-116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-112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345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Equity Securities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-45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-63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-60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366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Debt Securities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-53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-52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-21</w:t>
            </w:r>
          </w:p>
        </w:tc>
      </w:tr>
      <w:tr w:rsidR="001467C3" w:rsidRPr="007A6171" w:rsidTr="001467C3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Financial Derivatives Assets</w:t>
            </w:r>
          </w:p>
        </w:tc>
        <w:tc>
          <w:tcPr>
            <w:tcW w:w="96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8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1467C3" w:rsidRPr="007A6171" w:rsidTr="001467C3">
        <w:trPr>
          <w:trHeight w:val="135"/>
        </w:trPr>
        <w:tc>
          <w:tcPr>
            <w:tcW w:w="28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Financial Derivatives Liabilities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92" w:type="dxa"/>
            <w:gridSpan w:val="3"/>
            <w:tcBorders>
              <w:bottom w:val="single" w:sz="12" w:space="0" w:color="auto"/>
            </w:tcBorders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</w:tbl>
    <w:p w:rsidR="001467C3" w:rsidRDefault="001467C3" w:rsidP="008E63B3">
      <w:pPr>
        <w:rPr>
          <w:rFonts w:ascii="Times New Roman" w:hAnsi="Times New Roman" w:cs="Times New Roman"/>
        </w:rPr>
      </w:pPr>
    </w:p>
    <w:p w:rsidR="001467C3" w:rsidRDefault="001467C3" w:rsidP="008E63B3">
      <w:pPr>
        <w:rPr>
          <w:rFonts w:ascii="Times New Roman" w:hAnsi="Times New Roman" w:cs="Times New Roman"/>
        </w:rPr>
      </w:pPr>
    </w:p>
    <w:tbl>
      <w:tblPr>
        <w:tblW w:w="9369" w:type="dxa"/>
        <w:tblLook w:val="0000"/>
      </w:tblPr>
      <w:tblGrid>
        <w:gridCol w:w="98"/>
        <w:gridCol w:w="3138"/>
        <w:gridCol w:w="98"/>
        <w:gridCol w:w="912"/>
        <w:gridCol w:w="98"/>
        <w:gridCol w:w="564"/>
        <w:gridCol w:w="222"/>
        <w:gridCol w:w="98"/>
        <w:gridCol w:w="248"/>
        <w:gridCol w:w="889"/>
        <w:gridCol w:w="947"/>
        <w:gridCol w:w="252"/>
        <w:gridCol w:w="114"/>
        <w:gridCol w:w="771"/>
        <w:gridCol w:w="920"/>
      </w:tblGrid>
      <w:tr w:rsidR="001467C3" w:rsidRPr="007A6171" w:rsidTr="00C70B21">
        <w:trPr>
          <w:gridBefore w:val="1"/>
          <w:wBefore w:w="98" w:type="dxa"/>
          <w:trHeight w:hRule="exact" w:val="383"/>
        </w:trPr>
        <w:tc>
          <w:tcPr>
            <w:tcW w:w="9270" w:type="dxa"/>
            <w:gridSpan w:val="14"/>
            <w:noWrap/>
            <w:vAlign w:val="bottom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</w:rPr>
              <w:lastRenderedPageBreak/>
              <w:br w:type="page"/>
            </w: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Payments –Overall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83"/>
        </w:trPr>
        <w:tc>
          <w:tcPr>
            <w:tcW w:w="9270" w:type="dxa"/>
            <w:gridSpan w:val="14"/>
            <w:noWrap/>
            <w:vAlign w:val="bottom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1467C3" w:rsidRPr="007A6171" w:rsidTr="00C70B21">
        <w:trPr>
          <w:gridBefore w:val="1"/>
          <w:wBefore w:w="98" w:type="dxa"/>
          <w:trHeight w:hRule="exact" w:val="245"/>
        </w:trPr>
        <w:tc>
          <w:tcPr>
            <w:tcW w:w="4810" w:type="dxa"/>
            <w:gridSpan w:val="5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gridSpan w:val="7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0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(Million US Dollars)</w:t>
            </w:r>
          </w:p>
        </w:tc>
      </w:tr>
      <w:tr w:rsidR="001467C3" w:rsidRPr="007A6171" w:rsidTr="00C70B21">
        <w:trPr>
          <w:gridBefore w:val="1"/>
          <w:wBefore w:w="98" w:type="dxa"/>
          <w:cantSplit/>
          <w:trHeight w:hRule="exact" w:val="245"/>
        </w:trPr>
        <w:tc>
          <w:tcPr>
            <w:tcW w:w="3236" w:type="dxa"/>
            <w:gridSpan w:val="2"/>
            <w:vMerge w:val="restart"/>
            <w:tcBorders>
              <w:bottom w:val="single" w:sz="12" w:space="0" w:color="auto"/>
            </w:tcBorders>
            <w:noWrap/>
            <w:vAlign w:val="center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94" w:type="dxa"/>
            <w:gridSpan w:val="5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8" w:type="dxa"/>
            <w:noWrap/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" w:type="dxa"/>
            <w:tcBorders>
              <w:top w:val="single" w:sz="12" w:space="0" w:color="auto"/>
            </w:tcBorders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467C3" w:rsidRPr="007A6171" w:rsidRDefault="001467C3" w:rsidP="001467C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Jul – Jun</w:t>
            </w:r>
          </w:p>
        </w:tc>
      </w:tr>
      <w:tr w:rsidR="001467C3" w:rsidRPr="007A6171" w:rsidTr="00C70B21">
        <w:trPr>
          <w:gridBefore w:val="1"/>
          <w:wBefore w:w="98" w:type="dxa"/>
          <w:cantSplit/>
          <w:trHeight w:hRule="exact" w:val="245"/>
        </w:trPr>
        <w:tc>
          <w:tcPr>
            <w:tcW w:w="3236" w:type="dxa"/>
            <w:gridSpan w:val="2"/>
            <w:vMerge/>
            <w:tcBorders>
              <w:bottom w:val="single" w:sz="12" w:space="0" w:color="auto"/>
            </w:tcBorders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Jul – Sep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Oct - Dec  </w:t>
            </w:r>
            <w:proofErr w:type="spellStart"/>
            <w:r w:rsidRPr="007A617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Dec</w:t>
            </w:r>
            <w:proofErr w:type="spellEnd"/>
          </w:p>
        </w:tc>
        <w:tc>
          <w:tcPr>
            <w:tcW w:w="248" w:type="dxa"/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Jan-Mar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Apr – Jun</w:t>
            </w:r>
          </w:p>
        </w:tc>
        <w:tc>
          <w:tcPr>
            <w:tcW w:w="252" w:type="dxa"/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</w:t>
            </w:r>
            <w:r w:rsidRPr="007A617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-1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</w:t>
            </w:r>
            <w:r w:rsidRPr="007A6171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tcBorders>
              <w:top w:val="single" w:sz="12" w:space="0" w:color="auto"/>
            </w:tcBorders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Other Investment Assets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334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-550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-920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Monetary Authorities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General Government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-2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-3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Banks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200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-224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-60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-7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-91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-63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Other Sector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133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-326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156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134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-854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Other Investment </w:t>
            </w:r>
            <w:proofErr w:type="spellStart"/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Liab</w:t>
            </w:r>
            <w:proofErr w:type="spellEnd"/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82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79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-17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527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671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1,092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Monetary Authorities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-8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-100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-105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-10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General Government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-48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305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-37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778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998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298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Disbursements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371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647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322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1,293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2,633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2,377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Long-term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371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647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322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1,293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2,633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2,377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Project loans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294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641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322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524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1,781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925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Program loans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769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852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1,452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Short-term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Commercial loans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IDB loans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Amortization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419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341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344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473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1,577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1,957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Long-term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319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341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344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473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1,477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1,557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Short-term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400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Other Liabilities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-15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-42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-58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-122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Banks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378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-68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166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-256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220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52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Other Sector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-240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-159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-148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105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-442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752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Disbursements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213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114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558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489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Amortization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160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234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129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115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638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509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Other Liabilities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-211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-138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-133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120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-362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772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shd w:val="clear" w:color="auto" w:fill="FFFFFF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Net Errors and Omissions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-25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266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-419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-80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Overall Balance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-759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-1,033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-859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-624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-3,275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2,492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Reserves and Related Items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759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1,033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859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624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3,275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-2,492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Reserve Assets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814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1,114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1,311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1,191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4,430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-2,225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Use of Fund Credit and Loans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-55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-81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-452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-567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-1,155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-267</w:t>
            </w:r>
          </w:p>
        </w:tc>
      </w:tr>
      <w:tr w:rsidR="001467C3" w:rsidRPr="007A6171" w:rsidTr="00C70B21">
        <w:trPr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Purchases  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23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1467C3" w:rsidRPr="007A6171" w:rsidTr="00C70B21">
        <w:trPr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Repurchases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55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81</w:t>
            </w:r>
          </w:p>
        </w:tc>
        <w:tc>
          <w:tcPr>
            <w:tcW w:w="123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452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567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1,155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267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Exceptional Financing</w:t>
            </w: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A617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vAlign w:val="center"/>
          </w:tcPr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A617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SBP Reserves</w:t>
            </w:r>
          </w:p>
          <w:p w:rsidR="001467C3" w:rsidRPr="007A6171" w:rsidRDefault="001467C3" w:rsidP="001467C3">
            <w:pP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15,614</w:t>
            </w:r>
          </w:p>
        </w:tc>
        <w:tc>
          <w:tcPr>
            <w:tcW w:w="884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14,451</w:t>
            </w:r>
          </w:p>
        </w:tc>
        <w:tc>
          <w:tcPr>
            <w:tcW w:w="1137" w:type="dxa"/>
            <w:gridSpan w:val="2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13,167</w:t>
            </w:r>
          </w:p>
        </w:tc>
        <w:tc>
          <w:tcPr>
            <w:tcW w:w="947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11,905</w:t>
            </w:r>
          </w:p>
        </w:tc>
        <w:tc>
          <w:tcPr>
            <w:tcW w:w="1137" w:type="dxa"/>
            <w:gridSpan w:val="3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11,905</w:t>
            </w:r>
          </w:p>
        </w:tc>
        <w:tc>
          <w:tcPr>
            <w:tcW w:w="920" w:type="dxa"/>
            <w:noWrap/>
            <w:vAlign w:val="bottom"/>
          </w:tcPr>
          <w:p w:rsidR="001467C3" w:rsidRPr="0043375F" w:rsidRDefault="001467C3" w:rsidP="001467C3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3375F">
              <w:rPr>
                <w:rFonts w:ascii="Times New Roman" w:hAnsi="Times New Roman" w:cs="Times New Roman"/>
                <w:sz w:val="15"/>
                <w:szCs w:val="15"/>
              </w:rPr>
              <w:t>16,614</w:t>
            </w:r>
          </w:p>
        </w:tc>
      </w:tr>
      <w:tr w:rsidR="001467C3" w:rsidRPr="007A6171" w:rsidTr="00C70B21">
        <w:trPr>
          <w:gridBefore w:val="1"/>
          <w:wBefore w:w="98" w:type="dxa"/>
          <w:trHeight w:hRule="exact" w:val="306"/>
        </w:trPr>
        <w:tc>
          <w:tcPr>
            <w:tcW w:w="3236" w:type="dxa"/>
            <w:gridSpan w:val="2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10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gridSpan w:val="3"/>
            <w:tcBorders>
              <w:bottom w:val="single" w:sz="12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noWrap/>
            <w:vAlign w:val="bottom"/>
          </w:tcPr>
          <w:p w:rsidR="001467C3" w:rsidRPr="007A6171" w:rsidRDefault="001467C3" w:rsidP="001467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467C3" w:rsidRDefault="001467C3" w:rsidP="008E63B3">
      <w:pPr>
        <w:rPr>
          <w:rFonts w:ascii="Times New Roman" w:hAnsi="Times New Roman" w:cs="Times New Roman"/>
        </w:rPr>
      </w:pPr>
    </w:p>
    <w:sectPr w:rsidR="001467C3" w:rsidSect="00BF7E5F">
      <w:footerReference w:type="default" r:id="rId31"/>
      <w:pgSz w:w="12240" w:h="15840"/>
      <w:pgMar w:top="1440" w:right="1440" w:bottom="1440" w:left="1440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1E" w:rsidRDefault="002E321E" w:rsidP="00E32A0A">
      <w:pPr>
        <w:spacing w:after="0" w:line="240" w:lineRule="auto"/>
      </w:pPr>
      <w:r>
        <w:separator/>
      </w:r>
    </w:p>
  </w:endnote>
  <w:endnote w:type="continuationSeparator" w:id="0">
    <w:p w:rsidR="002E321E" w:rsidRDefault="002E321E" w:rsidP="00E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7481"/>
      <w:docPartObj>
        <w:docPartGallery w:val="Page Numbers (Bottom of Page)"/>
        <w:docPartUnique/>
      </w:docPartObj>
    </w:sdtPr>
    <w:sdtContent>
      <w:p w:rsidR="003761F5" w:rsidRDefault="00E820CB">
        <w:pPr>
          <w:pStyle w:val="Footer"/>
          <w:jc w:val="right"/>
        </w:pPr>
        <w:r w:rsidRPr="0051334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3761F5" w:rsidRPr="0051334C">
          <w:rPr>
            <w:rFonts w:ascii="Times New Roman" w:hAnsi="Times New Roman" w:cs="Times New Roman"/>
            <w:sz w:val="16"/>
            <w:szCs w:val="16"/>
          </w:rPr>
          <w:instrText xml:space="preserve"> PAGE  \* ROMAN  \* MERGEFORMAT </w:instrText>
        </w:r>
        <w:r w:rsidRPr="0051334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91CE6">
          <w:rPr>
            <w:rFonts w:ascii="Times New Roman" w:hAnsi="Times New Roman" w:cs="Times New Roman"/>
            <w:noProof/>
            <w:sz w:val="16"/>
            <w:szCs w:val="16"/>
          </w:rPr>
          <w:t>XI</w:t>
        </w:r>
        <w:r w:rsidRPr="0051334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761F5" w:rsidRDefault="003761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1E" w:rsidRDefault="002E321E" w:rsidP="00E32A0A">
      <w:pPr>
        <w:spacing w:after="0" w:line="240" w:lineRule="auto"/>
      </w:pPr>
      <w:r>
        <w:separator/>
      </w:r>
    </w:p>
  </w:footnote>
  <w:footnote w:type="continuationSeparator" w:id="0">
    <w:p w:rsidR="002E321E" w:rsidRDefault="002E321E" w:rsidP="00E3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AD3"/>
    <w:rsid w:val="0000029A"/>
    <w:rsid w:val="00007C9E"/>
    <w:rsid w:val="00010C5F"/>
    <w:rsid w:val="00014CF3"/>
    <w:rsid w:val="00025641"/>
    <w:rsid w:val="0003102D"/>
    <w:rsid w:val="00031382"/>
    <w:rsid w:val="0003656B"/>
    <w:rsid w:val="00040BC9"/>
    <w:rsid w:val="00040F26"/>
    <w:rsid w:val="000429A5"/>
    <w:rsid w:val="0004467D"/>
    <w:rsid w:val="00046BBE"/>
    <w:rsid w:val="000549A5"/>
    <w:rsid w:val="00054FA8"/>
    <w:rsid w:val="000555E2"/>
    <w:rsid w:val="00057505"/>
    <w:rsid w:val="00061751"/>
    <w:rsid w:val="00066F5B"/>
    <w:rsid w:val="000671B5"/>
    <w:rsid w:val="00070FBE"/>
    <w:rsid w:val="000736C5"/>
    <w:rsid w:val="00074C8E"/>
    <w:rsid w:val="00075708"/>
    <w:rsid w:val="00077BD5"/>
    <w:rsid w:val="0008086A"/>
    <w:rsid w:val="0008336A"/>
    <w:rsid w:val="00084371"/>
    <w:rsid w:val="00084D90"/>
    <w:rsid w:val="00085F84"/>
    <w:rsid w:val="000911A3"/>
    <w:rsid w:val="000918CB"/>
    <w:rsid w:val="00093ACA"/>
    <w:rsid w:val="000A19AB"/>
    <w:rsid w:val="000A2E98"/>
    <w:rsid w:val="000A6C5C"/>
    <w:rsid w:val="000B1B85"/>
    <w:rsid w:val="000B3D46"/>
    <w:rsid w:val="000B7DC0"/>
    <w:rsid w:val="000C0A57"/>
    <w:rsid w:val="000C108E"/>
    <w:rsid w:val="000C3B38"/>
    <w:rsid w:val="000C4AE0"/>
    <w:rsid w:val="000C614E"/>
    <w:rsid w:val="000D100F"/>
    <w:rsid w:val="000D19BF"/>
    <w:rsid w:val="000D3384"/>
    <w:rsid w:val="000D76FF"/>
    <w:rsid w:val="000D7C3C"/>
    <w:rsid w:val="000E38F6"/>
    <w:rsid w:val="000E3F2B"/>
    <w:rsid w:val="000E6B4F"/>
    <w:rsid w:val="000F13AD"/>
    <w:rsid w:val="000F66AF"/>
    <w:rsid w:val="00100145"/>
    <w:rsid w:val="00101C4E"/>
    <w:rsid w:val="00103D64"/>
    <w:rsid w:val="00104C21"/>
    <w:rsid w:val="00112DD9"/>
    <w:rsid w:val="00114027"/>
    <w:rsid w:val="00116664"/>
    <w:rsid w:val="001209BA"/>
    <w:rsid w:val="00122C04"/>
    <w:rsid w:val="00131486"/>
    <w:rsid w:val="00132DFF"/>
    <w:rsid w:val="00133558"/>
    <w:rsid w:val="001344DA"/>
    <w:rsid w:val="00135D5C"/>
    <w:rsid w:val="00140A92"/>
    <w:rsid w:val="0014326F"/>
    <w:rsid w:val="001467C3"/>
    <w:rsid w:val="00147401"/>
    <w:rsid w:val="0015243A"/>
    <w:rsid w:val="00153458"/>
    <w:rsid w:val="00161FB7"/>
    <w:rsid w:val="00162C25"/>
    <w:rsid w:val="00165FCC"/>
    <w:rsid w:val="00170E1B"/>
    <w:rsid w:val="001825DE"/>
    <w:rsid w:val="001859D2"/>
    <w:rsid w:val="00186EC8"/>
    <w:rsid w:val="001920A0"/>
    <w:rsid w:val="0019338E"/>
    <w:rsid w:val="00196CDA"/>
    <w:rsid w:val="001A0234"/>
    <w:rsid w:val="001A0B3E"/>
    <w:rsid w:val="001A5CD7"/>
    <w:rsid w:val="001B16CD"/>
    <w:rsid w:val="001B42E5"/>
    <w:rsid w:val="001D22E7"/>
    <w:rsid w:val="001D2DEB"/>
    <w:rsid w:val="001D3602"/>
    <w:rsid w:val="001D5D32"/>
    <w:rsid w:val="001E7B26"/>
    <w:rsid w:val="001F1E99"/>
    <w:rsid w:val="001F6150"/>
    <w:rsid w:val="001F70AB"/>
    <w:rsid w:val="00201968"/>
    <w:rsid w:val="00202E36"/>
    <w:rsid w:val="002055B6"/>
    <w:rsid w:val="002059E7"/>
    <w:rsid w:val="002067E6"/>
    <w:rsid w:val="002205C4"/>
    <w:rsid w:val="00224B89"/>
    <w:rsid w:val="002261D9"/>
    <w:rsid w:val="00226975"/>
    <w:rsid w:val="00227F4E"/>
    <w:rsid w:val="00230E41"/>
    <w:rsid w:val="00230E85"/>
    <w:rsid w:val="00231777"/>
    <w:rsid w:val="00235CAB"/>
    <w:rsid w:val="002362DE"/>
    <w:rsid w:val="00240B35"/>
    <w:rsid w:val="00241BBC"/>
    <w:rsid w:val="00246CB5"/>
    <w:rsid w:val="00247995"/>
    <w:rsid w:val="00252D42"/>
    <w:rsid w:val="00253839"/>
    <w:rsid w:val="0026033F"/>
    <w:rsid w:val="0026196D"/>
    <w:rsid w:val="002667E0"/>
    <w:rsid w:val="002733B4"/>
    <w:rsid w:val="00276530"/>
    <w:rsid w:val="00277736"/>
    <w:rsid w:val="002779C7"/>
    <w:rsid w:val="002805D6"/>
    <w:rsid w:val="0028155E"/>
    <w:rsid w:val="00282D98"/>
    <w:rsid w:val="00285039"/>
    <w:rsid w:val="00287EF6"/>
    <w:rsid w:val="00293F16"/>
    <w:rsid w:val="00294923"/>
    <w:rsid w:val="00295D66"/>
    <w:rsid w:val="002A2714"/>
    <w:rsid w:val="002A455B"/>
    <w:rsid w:val="002A7E4C"/>
    <w:rsid w:val="002B25EA"/>
    <w:rsid w:val="002B2AFC"/>
    <w:rsid w:val="002B483C"/>
    <w:rsid w:val="002B5359"/>
    <w:rsid w:val="002B5B9D"/>
    <w:rsid w:val="002C0E76"/>
    <w:rsid w:val="002C2154"/>
    <w:rsid w:val="002C451C"/>
    <w:rsid w:val="002C522C"/>
    <w:rsid w:val="002D1FC0"/>
    <w:rsid w:val="002D2160"/>
    <w:rsid w:val="002D31D3"/>
    <w:rsid w:val="002D75DC"/>
    <w:rsid w:val="002E321E"/>
    <w:rsid w:val="002E7D70"/>
    <w:rsid w:val="002F23E6"/>
    <w:rsid w:val="002F37F3"/>
    <w:rsid w:val="002F66FD"/>
    <w:rsid w:val="00300DDC"/>
    <w:rsid w:val="00305BD6"/>
    <w:rsid w:val="00310CC2"/>
    <w:rsid w:val="0031435D"/>
    <w:rsid w:val="003176AA"/>
    <w:rsid w:val="00324F0B"/>
    <w:rsid w:val="00331F50"/>
    <w:rsid w:val="00344DBE"/>
    <w:rsid w:val="0034545E"/>
    <w:rsid w:val="0035018A"/>
    <w:rsid w:val="003563D2"/>
    <w:rsid w:val="00360D24"/>
    <w:rsid w:val="0036346C"/>
    <w:rsid w:val="00365F0C"/>
    <w:rsid w:val="00365F3B"/>
    <w:rsid w:val="0037000D"/>
    <w:rsid w:val="0037018E"/>
    <w:rsid w:val="00372C4A"/>
    <w:rsid w:val="00372F55"/>
    <w:rsid w:val="00376003"/>
    <w:rsid w:val="003761F5"/>
    <w:rsid w:val="003818DD"/>
    <w:rsid w:val="003835B0"/>
    <w:rsid w:val="0038518C"/>
    <w:rsid w:val="0038748D"/>
    <w:rsid w:val="003A70F3"/>
    <w:rsid w:val="003B2EF3"/>
    <w:rsid w:val="003B30AE"/>
    <w:rsid w:val="003B6116"/>
    <w:rsid w:val="003D4428"/>
    <w:rsid w:val="003D6AD6"/>
    <w:rsid w:val="003E2B43"/>
    <w:rsid w:val="003E47AF"/>
    <w:rsid w:val="003E4E62"/>
    <w:rsid w:val="003F1F5B"/>
    <w:rsid w:val="003F3562"/>
    <w:rsid w:val="003F3E87"/>
    <w:rsid w:val="003F6A7B"/>
    <w:rsid w:val="003F6E03"/>
    <w:rsid w:val="003F6EBE"/>
    <w:rsid w:val="004008AB"/>
    <w:rsid w:val="004022B3"/>
    <w:rsid w:val="00402585"/>
    <w:rsid w:val="00402DB2"/>
    <w:rsid w:val="00404338"/>
    <w:rsid w:val="00410EC8"/>
    <w:rsid w:val="00411692"/>
    <w:rsid w:val="00414078"/>
    <w:rsid w:val="00415637"/>
    <w:rsid w:val="004250AB"/>
    <w:rsid w:val="00427178"/>
    <w:rsid w:val="00434680"/>
    <w:rsid w:val="00435298"/>
    <w:rsid w:val="00436491"/>
    <w:rsid w:val="00442B0A"/>
    <w:rsid w:val="00446B54"/>
    <w:rsid w:val="00447BCC"/>
    <w:rsid w:val="00452DBC"/>
    <w:rsid w:val="0045760A"/>
    <w:rsid w:val="00460253"/>
    <w:rsid w:val="00462D97"/>
    <w:rsid w:val="004633E0"/>
    <w:rsid w:val="00465559"/>
    <w:rsid w:val="00466CF9"/>
    <w:rsid w:val="00476C54"/>
    <w:rsid w:val="0047750D"/>
    <w:rsid w:val="004825F3"/>
    <w:rsid w:val="00485C3C"/>
    <w:rsid w:val="00490428"/>
    <w:rsid w:val="00494277"/>
    <w:rsid w:val="004A316B"/>
    <w:rsid w:val="004B4534"/>
    <w:rsid w:val="004B4A15"/>
    <w:rsid w:val="004B5126"/>
    <w:rsid w:val="004B57A9"/>
    <w:rsid w:val="004C6CFA"/>
    <w:rsid w:val="004C7EFA"/>
    <w:rsid w:val="004D297C"/>
    <w:rsid w:val="004D29E4"/>
    <w:rsid w:val="004D4AAA"/>
    <w:rsid w:val="004D4AD8"/>
    <w:rsid w:val="004D6F4D"/>
    <w:rsid w:val="004E0E6B"/>
    <w:rsid w:val="004E3627"/>
    <w:rsid w:val="004E38D7"/>
    <w:rsid w:val="004E4608"/>
    <w:rsid w:val="004F1203"/>
    <w:rsid w:val="004F26D6"/>
    <w:rsid w:val="004F3885"/>
    <w:rsid w:val="004F3FD9"/>
    <w:rsid w:val="004F6CA8"/>
    <w:rsid w:val="00500ECC"/>
    <w:rsid w:val="00501219"/>
    <w:rsid w:val="00501FB4"/>
    <w:rsid w:val="00502858"/>
    <w:rsid w:val="00504196"/>
    <w:rsid w:val="005058D7"/>
    <w:rsid w:val="00505E89"/>
    <w:rsid w:val="0051334C"/>
    <w:rsid w:val="00514854"/>
    <w:rsid w:val="005204E9"/>
    <w:rsid w:val="0052297C"/>
    <w:rsid w:val="0052415D"/>
    <w:rsid w:val="00532291"/>
    <w:rsid w:val="00540F6E"/>
    <w:rsid w:val="005419AD"/>
    <w:rsid w:val="00542D1F"/>
    <w:rsid w:val="00544C8A"/>
    <w:rsid w:val="0054605C"/>
    <w:rsid w:val="00551BEB"/>
    <w:rsid w:val="00553421"/>
    <w:rsid w:val="005600F0"/>
    <w:rsid w:val="005603A7"/>
    <w:rsid w:val="00561D06"/>
    <w:rsid w:val="00565045"/>
    <w:rsid w:val="00567BF7"/>
    <w:rsid w:val="0057452E"/>
    <w:rsid w:val="005768BA"/>
    <w:rsid w:val="00577D3A"/>
    <w:rsid w:val="00577D51"/>
    <w:rsid w:val="005860CE"/>
    <w:rsid w:val="00591907"/>
    <w:rsid w:val="00594CF6"/>
    <w:rsid w:val="00594D62"/>
    <w:rsid w:val="00597F63"/>
    <w:rsid w:val="005A3876"/>
    <w:rsid w:val="005A6985"/>
    <w:rsid w:val="005B0606"/>
    <w:rsid w:val="005B09D9"/>
    <w:rsid w:val="005B4458"/>
    <w:rsid w:val="005C1078"/>
    <w:rsid w:val="005C22FD"/>
    <w:rsid w:val="005C5DFF"/>
    <w:rsid w:val="005D1739"/>
    <w:rsid w:val="005D4C4A"/>
    <w:rsid w:val="005D5CD4"/>
    <w:rsid w:val="005D73BF"/>
    <w:rsid w:val="005E1D73"/>
    <w:rsid w:val="005E31A7"/>
    <w:rsid w:val="005E412E"/>
    <w:rsid w:val="005E70D2"/>
    <w:rsid w:val="005F24B6"/>
    <w:rsid w:val="005F2BC5"/>
    <w:rsid w:val="005F2EC7"/>
    <w:rsid w:val="005F497B"/>
    <w:rsid w:val="0060021A"/>
    <w:rsid w:val="00601FD4"/>
    <w:rsid w:val="00604D08"/>
    <w:rsid w:val="006105F5"/>
    <w:rsid w:val="0061393D"/>
    <w:rsid w:val="00617712"/>
    <w:rsid w:val="00620CF6"/>
    <w:rsid w:val="00621222"/>
    <w:rsid w:val="006221DC"/>
    <w:rsid w:val="00627594"/>
    <w:rsid w:val="00631448"/>
    <w:rsid w:val="006314CC"/>
    <w:rsid w:val="0063456B"/>
    <w:rsid w:val="006401AD"/>
    <w:rsid w:val="00641495"/>
    <w:rsid w:val="00641DC9"/>
    <w:rsid w:val="006428D3"/>
    <w:rsid w:val="00644F44"/>
    <w:rsid w:val="00646B44"/>
    <w:rsid w:val="006471D1"/>
    <w:rsid w:val="00647AD9"/>
    <w:rsid w:val="00647BFE"/>
    <w:rsid w:val="00647F26"/>
    <w:rsid w:val="00650BBC"/>
    <w:rsid w:val="00654EED"/>
    <w:rsid w:val="00656840"/>
    <w:rsid w:val="00661562"/>
    <w:rsid w:val="006640E5"/>
    <w:rsid w:val="00670864"/>
    <w:rsid w:val="006857E9"/>
    <w:rsid w:val="00691CE6"/>
    <w:rsid w:val="006934BE"/>
    <w:rsid w:val="00694D52"/>
    <w:rsid w:val="006B1FBA"/>
    <w:rsid w:val="006B2356"/>
    <w:rsid w:val="006C0A2E"/>
    <w:rsid w:val="006C178A"/>
    <w:rsid w:val="006C2A13"/>
    <w:rsid w:val="006C4301"/>
    <w:rsid w:val="006C4716"/>
    <w:rsid w:val="006C4BA1"/>
    <w:rsid w:val="006C6207"/>
    <w:rsid w:val="006C7610"/>
    <w:rsid w:val="006D2AED"/>
    <w:rsid w:val="006D66B6"/>
    <w:rsid w:val="006E0086"/>
    <w:rsid w:val="006E2CC3"/>
    <w:rsid w:val="006E7041"/>
    <w:rsid w:val="006F0493"/>
    <w:rsid w:val="006F0BD6"/>
    <w:rsid w:val="006F0F14"/>
    <w:rsid w:val="006F6011"/>
    <w:rsid w:val="007102E3"/>
    <w:rsid w:val="00711F40"/>
    <w:rsid w:val="007153CC"/>
    <w:rsid w:val="00721719"/>
    <w:rsid w:val="0072310A"/>
    <w:rsid w:val="00726F14"/>
    <w:rsid w:val="007329C0"/>
    <w:rsid w:val="00732CE2"/>
    <w:rsid w:val="00740BCC"/>
    <w:rsid w:val="007413CB"/>
    <w:rsid w:val="00741495"/>
    <w:rsid w:val="007423C5"/>
    <w:rsid w:val="00750A42"/>
    <w:rsid w:val="00750E5D"/>
    <w:rsid w:val="00752E66"/>
    <w:rsid w:val="00763C2E"/>
    <w:rsid w:val="00765438"/>
    <w:rsid w:val="00774CA7"/>
    <w:rsid w:val="00776825"/>
    <w:rsid w:val="0077717D"/>
    <w:rsid w:val="00785DB5"/>
    <w:rsid w:val="00791B98"/>
    <w:rsid w:val="0079247D"/>
    <w:rsid w:val="007959C1"/>
    <w:rsid w:val="007A7275"/>
    <w:rsid w:val="007B06BD"/>
    <w:rsid w:val="007C2AD3"/>
    <w:rsid w:val="007C6524"/>
    <w:rsid w:val="007C710A"/>
    <w:rsid w:val="007D4A69"/>
    <w:rsid w:val="007D683B"/>
    <w:rsid w:val="007E3BC4"/>
    <w:rsid w:val="007E58C7"/>
    <w:rsid w:val="007F2974"/>
    <w:rsid w:val="007F3970"/>
    <w:rsid w:val="007F3F34"/>
    <w:rsid w:val="007F70B5"/>
    <w:rsid w:val="007F7840"/>
    <w:rsid w:val="007F7C35"/>
    <w:rsid w:val="008022C9"/>
    <w:rsid w:val="00803123"/>
    <w:rsid w:val="0080399A"/>
    <w:rsid w:val="0081735D"/>
    <w:rsid w:val="00822309"/>
    <w:rsid w:val="00831BBD"/>
    <w:rsid w:val="0083238E"/>
    <w:rsid w:val="0083373D"/>
    <w:rsid w:val="008342E7"/>
    <w:rsid w:val="00836C67"/>
    <w:rsid w:val="00840293"/>
    <w:rsid w:val="008406AB"/>
    <w:rsid w:val="008406C4"/>
    <w:rsid w:val="00841836"/>
    <w:rsid w:val="00847145"/>
    <w:rsid w:val="008504F2"/>
    <w:rsid w:val="00851D24"/>
    <w:rsid w:val="0086222A"/>
    <w:rsid w:val="008633B9"/>
    <w:rsid w:val="0086786A"/>
    <w:rsid w:val="00874EF3"/>
    <w:rsid w:val="0088217D"/>
    <w:rsid w:val="008849C5"/>
    <w:rsid w:val="008859B8"/>
    <w:rsid w:val="00887551"/>
    <w:rsid w:val="008919FB"/>
    <w:rsid w:val="00891C6F"/>
    <w:rsid w:val="008942DB"/>
    <w:rsid w:val="008A4E68"/>
    <w:rsid w:val="008A5318"/>
    <w:rsid w:val="008B06D7"/>
    <w:rsid w:val="008B18D5"/>
    <w:rsid w:val="008C2659"/>
    <w:rsid w:val="008C67CD"/>
    <w:rsid w:val="008D0F5C"/>
    <w:rsid w:val="008D25DD"/>
    <w:rsid w:val="008D439A"/>
    <w:rsid w:val="008D46B4"/>
    <w:rsid w:val="008E626B"/>
    <w:rsid w:val="008E63B3"/>
    <w:rsid w:val="008F52A8"/>
    <w:rsid w:val="008F535B"/>
    <w:rsid w:val="008F59E6"/>
    <w:rsid w:val="008F6E10"/>
    <w:rsid w:val="008F6FE4"/>
    <w:rsid w:val="008F7DD9"/>
    <w:rsid w:val="009017FA"/>
    <w:rsid w:val="009055B5"/>
    <w:rsid w:val="00907485"/>
    <w:rsid w:val="00907D0E"/>
    <w:rsid w:val="0091019F"/>
    <w:rsid w:val="00915444"/>
    <w:rsid w:val="00915ADA"/>
    <w:rsid w:val="00920B11"/>
    <w:rsid w:val="00933220"/>
    <w:rsid w:val="00935C7C"/>
    <w:rsid w:val="00936867"/>
    <w:rsid w:val="00941E4A"/>
    <w:rsid w:val="0094339C"/>
    <w:rsid w:val="009433B3"/>
    <w:rsid w:val="00943DC5"/>
    <w:rsid w:val="00950046"/>
    <w:rsid w:val="00952554"/>
    <w:rsid w:val="00956C6C"/>
    <w:rsid w:val="0095719E"/>
    <w:rsid w:val="00961203"/>
    <w:rsid w:val="00967520"/>
    <w:rsid w:val="00971735"/>
    <w:rsid w:val="0097490C"/>
    <w:rsid w:val="009829B7"/>
    <w:rsid w:val="00986E9E"/>
    <w:rsid w:val="009963F7"/>
    <w:rsid w:val="009A1617"/>
    <w:rsid w:val="009A2D17"/>
    <w:rsid w:val="009B045B"/>
    <w:rsid w:val="009B57B4"/>
    <w:rsid w:val="009B7102"/>
    <w:rsid w:val="009C0218"/>
    <w:rsid w:val="009C6828"/>
    <w:rsid w:val="009D0709"/>
    <w:rsid w:val="009D1998"/>
    <w:rsid w:val="009D1C41"/>
    <w:rsid w:val="009D4BD8"/>
    <w:rsid w:val="009D4D20"/>
    <w:rsid w:val="009D72E8"/>
    <w:rsid w:val="009D7F13"/>
    <w:rsid w:val="009E0F1D"/>
    <w:rsid w:val="009E602F"/>
    <w:rsid w:val="009E74B4"/>
    <w:rsid w:val="009F0445"/>
    <w:rsid w:val="009F1CB6"/>
    <w:rsid w:val="009F621A"/>
    <w:rsid w:val="00A03847"/>
    <w:rsid w:val="00A044C6"/>
    <w:rsid w:val="00A04728"/>
    <w:rsid w:val="00A06F5B"/>
    <w:rsid w:val="00A11C36"/>
    <w:rsid w:val="00A12EC4"/>
    <w:rsid w:val="00A1495A"/>
    <w:rsid w:val="00A20182"/>
    <w:rsid w:val="00A21F64"/>
    <w:rsid w:val="00A23757"/>
    <w:rsid w:val="00A255D7"/>
    <w:rsid w:val="00A27544"/>
    <w:rsid w:val="00A346AB"/>
    <w:rsid w:val="00A36939"/>
    <w:rsid w:val="00A37932"/>
    <w:rsid w:val="00A418C4"/>
    <w:rsid w:val="00A41FC6"/>
    <w:rsid w:val="00A45CB5"/>
    <w:rsid w:val="00A652C1"/>
    <w:rsid w:val="00A71BFA"/>
    <w:rsid w:val="00A71F91"/>
    <w:rsid w:val="00A74806"/>
    <w:rsid w:val="00A75420"/>
    <w:rsid w:val="00A80969"/>
    <w:rsid w:val="00A82976"/>
    <w:rsid w:val="00A939F2"/>
    <w:rsid w:val="00A95071"/>
    <w:rsid w:val="00A9557E"/>
    <w:rsid w:val="00AA0939"/>
    <w:rsid w:val="00AA7CE1"/>
    <w:rsid w:val="00AB27BE"/>
    <w:rsid w:val="00AC0803"/>
    <w:rsid w:val="00AD37B3"/>
    <w:rsid w:val="00AD6647"/>
    <w:rsid w:val="00AE13A5"/>
    <w:rsid w:val="00AE56EB"/>
    <w:rsid w:val="00AE76BB"/>
    <w:rsid w:val="00AF29EA"/>
    <w:rsid w:val="00B00D67"/>
    <w:rsid w:val="00B00D77"/>
    <w:rsid w:val="00B0151F"/>
    <w:rsid w:val="00B02F7D"/>
    <w:rsid w:val="00B200DB"/>
    <w:rsid w:val="00B20B79"/>
    <w:rsid w:val="00B302DB"/>
    <w:rsid w:val="00B320D0"/>
    <w:rsid w:val="00B3337F"/>
    <w:rsid w:val="00B33E68"/>
    <w:rsid w:val="00B34B23"/>
    <w:rsid w:val="00B34CFD"/>
    <w:rsid w:val="00B34FAA"/>
    <w:rsid w:val="00B37CFA"/>
    <w:rsid w:val="00B417CF"/>
    <w:rsid w:val="00B41895"/>
    <w:rsid w:val="00B436F4"/>
    <w:rsid w:val="00B44354"/>
    <w:rsid w:val="00B452D4"/>
    <w:rsid w:val="00B46D3B"/>
    <w:rsid w:val="00B51C60"/>
    <w:rsid w:val="00B544D4"/>
    <w:rsid w:val="00B54536"/>
    <w:rsid w:val="00B556C1"/>
    <w:rsid w:val="00B55BC2"/>
    <w:rsid w:val="00B56750"/>
    <w:rsid w:val="00B57935"/>
    <w:rsid w:val="00B57E4D"/>
    <w:rsid w:val="00B62E3F"/>
    <w:rsid w:val="00B653EB"/>
    <w:rsid w:val="00B75495"/>
    <w:rsid w:val="00B928C6"/>
    <w:rsid w:val="00B95A59"/>
    <w:rsid w:val="00B9668C"/>
    <w:rsid w:val="00B96CAD"/>
    <w:rsid w:val="00BA280C"/>
    <w:rsid w:val="00BB34B0"/>
    <w:rsid w:val="00BB3DA5"/>
    <w:rsid w:val="00BB4BB5"/>
    <w:rsid w:val="00BD4B9F"/>
    <w:rsid w:val="00BD4D43"/>
    <w:rsid w:val="00BE17A7"/>
    <w:rsid w:val="00BE77A2"/>
    <w:rsid w:val="00BF1EFF"/>
    <w:rsid w:val="00BF3290"/>
    <w:rsid w:val="00BF3FA0"/>
    <w:rsid w:val="00BF6EC5"/>
    <w:rsid w:val="00BF7926"/>
    <w:rsid w:val="00BF7E5F"/>
    <w:rsid w:val="00C04585"/>
    <w:rsid w:val="00C1479D"/>
    <w:rsid w:val="00C17A11"/>
    <w:rsid w:val="00C260C5"/>
    <w:rsid w:val="00C27EA9"/>
    <w:rsid w:val="00C33896"/>
    <w:rsid w:val="00C362E6"/>
    <w:rsid w:val="00C36404"/>
    <w:rsid w:val="00C370E3"/>
    <w:rsid w:val="00C47471"/>
    <w:rsid w:val="00C5015D"/>
    <w:rsid w:val="00C514F8"/>
    <w:rsid w:val="00C55EC5"/>
    <w:rsid w:val="00C65403"/>
    <w:rsid w:val="00C70B21"/>
    <w:rsid w:val="00C74529"/>
    <w:rsid w:val="00C8643B"/>
    <w:rsid w:val="00C92A7F"/>
    <w:rsid w:val="00C952F3"/>
    <w:rsid w:val="00C96943"/>
    <w:rsid w:val="00CA145C"/>
    <w:rsid w:val="00CC0197"/>
    <w:rsid w:val="00CC66E1"/>
    <w:rsid w:val="00CD40FC"/>
    <w:rsid w:val="00CD5763"/>
    <w:rsid w:val="00CD5D25"/>
    <w:rsid w:val="00CE17A6"/>
    <w:rsid w:val="00CE33FB"/>
    <w:rsid w:val="00CE39B6"/>
    <w:rsid w:val="00CE56E0"/>
    <w:rsid w:val="00CE570D"/>
    <w:rsid w:val="00CF1C11"/>
    <w:rsid w:val="00D00C7A"/>
    <w:rsid w:val="00D02BFC"/>
    <w:rsid w:val="00D119B9"/>
    <w:rsid w:val="00D14241"/>
    <w:rsid w:val="00D15655"/>
    <w:rsid w:val="00D26E20"/>
    <w:rsid w:val="00D35509"/>
    <w:rsid w:val="00D36DE5"/>
    <w:rsid w:val="00D42342"/>
    <w:rsid w:val="00D515F6"/>
    <w:rsid w:val="00D54B70"/>
    <w:rsid w:val="00D612C9"/>
    <w:rsid w:val="00D63ABD"/>
    <w:rsid w:val="00D642F0"/>
    <w:rsid w:val="00D6727D"/>
    <w:rsid w:val="00D715D1"/>
    <w:rsid w:val="00D760FB"/>
    <w:rsid w:val="00D7676E"/>
    <w:rsid w:val="00D77E59"/>
    <w:rsid w:val="00D852DF"/>
    <w:rsid w:val="00D90BEC"/>
    <w:rsid w:val="00D9260B"/>
    <w:rsid w:val="00D934CA"/>
    <w:rsid w:val="00DA4F9D"/>
    <w:rsid w:val="00DB177E"/>
    <w:rsid w:val="00DB1FF5"/>
    <w:rsid w:val="00DB37AC"/>
    <w:rsid w:val="00DB430A"/>
    <w:rsid w:val="00DB6E6C"/>
    <w:rsid w:val="00DC2031"/>
    <w:rsid w:val="00DC6125"/>
    <w:rsid w:val="00DC65BD"/>
    <w:rsid w:val="00DE3BCB"/>
    <w:rsid w:val="00DE63F9"/>
    <w:rsid w:val="00DF50BB"/>
    <w:rsid w:val="00E0082B"/>
    <w:rsid w:val="00E07EA8"/>
    <w:rsid w:val="00E12AA0"/>
    <w:rsid w:val="00E13EB0"/>
    <w:rsid w:val="00E143DA"/>
    <w:rsid w:val="00E17899"/>
    <w:rsid w:val="00E2402E"/>
    <w:rsid w:val="00E26B50"/>
    <w:rsid w:val="00E276C9"/>
    <w:rsid w:val="00E30797"/>
    <w:rsid w:val="00E32976"/>
    <w:rsid w:val="00E32A0A"/>
    <w:rsid w:val="00E370BD"/>
    <w:rsid w:val="00E40B30"/>
    <w:rsid w:val="00E41557"/>
    <w:rsid w:val="00E43C27"/>
    <w:rsid w:val="00E46EFF"/>
    <w:rsid w:val="00E571F5"/>
    <w:rsid w:val="00E603D3"/>
    <w:rsid w:val="00E60A56"/>
    <w:rsid w:val="00E669D2"/>
    <w:rsid w:val="00E67666"/>
    <w:rsid w:val="00E67AB7"/>
    <w:rsid w:val="00E71D86"/>
    <w:rsid w:val="00E7696B"/>
    <w:rsid w:val="00E820CB"/>
    <w:rsid w:val="00E832E8"/>
    <w:rsid w:val="00E864F3"/>
    <w:rsid w:val="00E913CC"/>
    <w:rsid w:val="00EA2C2D"/>
    <w:rsid w:val="00EA3DEB"/>
    <w:rsid w:val="00EA633F"/>
    <w:rsid w:val="00EA6A6C"/>
    <w:rsid w:val="00EA78F5"/>
    <w:rsid w:val="00EB01DB"/>
    <w:rsid w:val="00EB0C87"/>
    <w:rsid w:val="00EB4BFD"/>
    <w:rsid w:val="00EC50F9"/>
    <w:rsid w:val="00EC6124"/>
    <w:rsid w:val="00ED1051"/>
    <w:rsid w:val="00ED1758"/>
    <w:rsid w:val="00ED2B99"/>
    <w:rsid w:val="00ED7A89"/>
    <w:rsid w:val="00EF376D"/>
    <w:rsid w:val="00EF3EDE"/>
    <w:rsid w:val="00EF5799"/>
    <w:rsid w:val="00F01593"/>
    <w:rsid w:val="00F037A0"/>
    <w:rsid w:val="00F20470"/>
    <w:rsid w:val="00F21E1F"/>
    <w:rsid w:val="00F24C7A"/>
    <w:rsid w:val="00F30351"/>
    <w:rsid w:val="00F31D2D"/>
    <w:rsid w:val="00F33587"/>
    <w:rsid w:val="00F34414"/>
    <w:rsid w:val="00F3657E"/>
    <w:rsid w:val="00F467B5"/>
    <w:rsid w:val="00F51D59"/>
    <w:rsid w:val="00F52AF3"/>
    <w:rsid w:val="00F54063"/>
    <w:rsid w:val="00F54D37"/>
    <w:rsid w:val="00F553F8"/>
    <w:rsid w:val="00F62D89"/>
    <w:rsid w:val="00F638D8"/>
    <w:rsid w:val="00F638FC"/>
    <w:rsid w:val="00F66D86"/>
    <w:rsid w:val="00F706E8"/>
    <w:rsid w:val="00F722C1"/>
    <w:rsid w:val="00F74830"/>
    <w:rsid w:val="00F82322"/>
    <w:rsid w:val="00F94043"/>
    <w:rsid w:val="00F9749C"/>
    <w:rsid w:val="00FA44DC"/>
    <w:rsid w:val="00FA5361"/>
    <w:rsid w:val="00FA7F1D"/>
    <w:rsid w:val="00FB0404"/>
    <w:rsid w:val="00FB0FE7"/>
    <w:rsid w:val="00FB4404"/>
    <w:rsid w:val="00FC4827"/>
    <w:rsid w:val="00FD04EE"/>
    <w:rsid w:val="00FD052A"/>
    <w:rsid w:val="00FD4A6B"/>
    <w:rsid w:val="00FD5254"/>
    <w:rsid w:val="00FD673A"/>
    <w:rsid w:val="00FD6A27"/>
    <w:rsid w:val="00FE4E65"/>
    <w:rsid w:val="00FF241E"/>
    <w:rsid w:val="00FF252A"/>
    <w:rsid w:val="00FF254A"/>
    <w:rsid w:val="00FF276D"/>
    <w:rsid w:val="00FF42B2"/>
    <w:rsid w:val="00FF4DF6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40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7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7C2AD3"/>
    <w:pPr>
      <w:keepNext/>
      <w:spacing w:after="0" w:line="240" w:lineRule="auto"/>
      <w:outlineLvl w:val="5"/>
    </w:pPr>
    <w:rPr>
      <w:rFonts w:ascii="Garamond" w:eastAsia="Times New Roman" w:hAnsi="Garamond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C2AD3"/>
    <w:rPr>
      <w:rFonts w:ascii="Garamond" w:eastAsia="Times New Roman" w:hAnsi="Garamond" w:cs="Times New Roman"/>
      <w:b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7C2AD3"/>
    <w:pPr>
      <w:overflowPunct w:val="0"/>
      <w:autoSpaceDE w:val="0"/>
      <w:autoSpaceDN w:val="0"/>
      <w:adjustRightInd w:val="0"/>
      <w:spacing w:after="0" w:line="240" w:lineRule="auto"/>
      <w:ind w:firstLine="144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C2A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34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34BE"/>
  </w:style>
  <w:style w:type="character" w:customStyle="1" w:styleId="Heading4Char">
    <w:name w:val="Heading 4 Char"/>
    <w:basedOn w:val="DefaultParagraphFont"/>
    <w:link w:val="Heading4"/>
    <w:uiPriority w:val="9"/>
    <w:rsid w:val="00685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685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57E9"/>
  </w:style>
  <w:style w:type="paragraph" w:styleId="BodyTextIndent2">
    <w:name w:val="Body Text Indent 2"/>
    <w:basedOn w:val="Normal"/>
    <w:link w:val="BodyTextIndent2Char"/>
    <w:uiPriority w:val="99"/>
    <w:unhideWhenUsed/>
    <w:rsid w:val="006857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857E9"/>
  </w:style>
  <w:style w:type="paragraph" w:styleId="Header">
    <w:name w:val="header"/>
    <w:basedOn w:val="Normal"/>
    <w:link w:val="HeaderChar"/>
    <w:uiPriority w:val="99"/>
    <w:semiHidden/>
    <w:unhideWhenUsed/>
    <w:rsid w:val="00E3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A0A"/>
  </w:style>
  <w:style w:type="paragraph" w:styleId="Footer">
    <w:name w:val="footer"/>
    <w:basedOn w:val="Normal"/>
    <w:link w:val="FooterChar"/>
    <w:uiPriority w:val="99"/>
    <w:unhideWhenUsed/>
    <w:rsid w:val="00E3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13" Type="http://schemas.openxmlformats.org/officeDocument/2006/relationships/image" Target="media/image4.emf"/><Relationship Id="rId18" Type="http://schemas.openxmlformats.org/officeDocument/2006/relationships/oleObject" Target="embeddings/Microsoft_Office_Excel_97-2003_Worksheet4.xls"/><Relationship Id="rId26" Type="http://schemas.openxmlformats.org/officeDocument/2006/relationships/oleObject" Target="embeddings/Microsoft_Office_Excel_97-2003_Worksheet8.xls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emf"/><Relationship Id="rId12" Type="http://schemas.openxmlformats.org/officeDocument/2006/relationships/oleObject" Target="embeddings/Microsoft_Office_Excel_97-2003_Worksheet2.xls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Microsoft_Office_Excel_97-2003_Worksheet3.xls"/><Relationship Id="rId20" Type="http://schemas.openxmlformats.org/officeDocument/2006/relationships/oleObject" Target="embeddings/Microsoft_Office_Excel_97-2003_Worksheet5.xls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Microsoft_Office_Excel_97-2003_Worksheet7.xls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Office_Excel_97-2003_Worksheet9.xls"/><Relationship Id="rId10" Type="http://schemas.openxmlformats.org/officeDocument/2006/relationships/oleObject" Target="embeddings/Microsoft_Office_Excel_97-2003_Worksheet1.xls"/><Relationship Id="rId19" Type="http://schemas.openxmlformats.org/officeDocument/2006/relationships/image" Target="media/image8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oleObject" Target="embeddings/Microsoft_Office_Excel_97-2003_Worksheet6.xls"/><Relationship Id="rId27" Type="http://schemas.openxmlformats.org/officeDocument/2006/relationships/image" Target="media/image12.emf"/><Relationship Id="rId30" Type="http://schemas.openxmlformats.org/officeDocument/2006/relationships/oleObject" Target="embeddings/Microsoft_Office_Excel_97-2003_Worksheet10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191B-3969-4370-B38F-8C802D33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uzma8889</dc:creator>
  <cp:lastModifiedBy>Faisal Obaid</cp:lastModifiedBy>
  <cp:revision>4</cp:revision>
  <cp:lastPrinted>2013-03-25T07:24:00Z</cp:lastPrinted>
  <dcterms:created xsi:type="dcterms:W3CDTF">2013-03-29T09:44:00Z</dcterms:created>
  <dcterms:modified xsi:type="dcterms:W3CDTF">2013-04-02T08:04:00Z</dcterms:modified>
</cp:coreProperties>
</file>