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D3" w:rsidRPr="006857E9" w:rsidRDefault="007C2AD3" w:rsidP="007C2AD3">
      <w:pPr>
        <w:pStyle w:val="Heading6"/>
        <w:ind w:left="540" w:right="432"/>
        <w:rPr>
          <w:rFonts w:ascii="Times New Roman" w:hAnsi="Times New Roman"/>
          <w:sz w:val="24"/>
          <w:u w:val="none"/>
        </w:rPr>
      </w:pPr>
      <w:r w:rsidRPr="006857E9">
        <w:rPr>
          <w:rFonts w:ascii="Times New Roman" w:hAnsi="Times New Roman"/>
          <w:sz w:val="24"/>
          <w:u w:val="none"/>
        </w:rPr>
        <w:t>Review of Pakistan’s Balance of Payments</w:t>
      </w:r>
    </w:p>
    <w:p w:rsidR="007C2AD3" w:rsidRPr="006857E9" w:rsidRDefault="007C2AD3" w:rsidP="007C2AD3">
      <w:pPr>
        <w:pStyle w:val="Heading6"/>
        <w:ind w:left="540"/>
        <w:rPr>
          <w:sz w:val="24"/>
        </w:rPr>
      </w:pPr>
      <w:r w:rsidRPr="006857E9">
        <w:rPr>
          <w:rFonts w:ascii="Times New Roman" w:hAnsi="Times New Roman"/>
          <w:sz w:val="24"/>
          <w:u w:val="none"/>
        </w:rPr>
        <w:t>July 2008 - June 2009</w:t>
      </w:r>
    </w:p>
    <w:p w:rsidR="00A03847" w:rsidRDefault="00A03847" w:rsidP="007C2AD3">
      <w:pPr>
        <w:pStyle w:val="BodyTextIndent"/>
        <w:tabs>
          <w:tab w:val="left" w:pos="9810"/>
        </w:tabs>
        <w:ind w:left="630" w:right="322" w:firstLine="0"/>
        <w:rPr>
          <w:sz w:val="22"/>
          <w:szCs w:val="22"/>
        </w:rPr>
      </w:pPr>
    </w:p>
    <w:p w:rsidR="008859B8" w:rsidRDefault="00732CE2" w:rsidP="008942DB">
      <w:pPr>
        <w:pStyle w:val="BodyTextIndent"/>
        <w:tabs>
          <w:tab w:val="left" w:pos="9810"/>
        </w:tabs>
        <w:ind w:left="630" w:right="322" w:firstLine="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2057400</wp:posOffset>
            </wp:positionH>
            <wp:positionV relativeFrom="margin">
              <wp:posOffset>561975</wp:posOffset>
            </wp:positionV>
            <wp:extent cx="3867150" cy="3286125"/>
            <wp:effectExtent l="1905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AD3" w:rsidRPr="00341E12" w:rsidRDefault="007C2AD3" w:rsidP="008942DB">
      <w:pPr>
        <w:pStyle w:val="BodyTextIndent"/>
        <w:tabs>
          <w:tab w:val="left" w:pos="9810"/>
        </w:tabs>
        <w:ind w:left="630" w:right="322" w:firstLine="0"/>
        <w:rPr>
          <w:sz w:val="22"/>
          <w:szCs w:val="22"/>
        </w:rPr>
      </w:pPr>
      <w:r w:rsidRPr="00341E12">
        <w:rPr>
          <w:sz w:val="22"/>
          <w:szCs w:val="22"/>
        </w:rPr>
        <w:t>Pakistan’s balance of pay</w:t>
      </w:r>
      <w:r w:rsidR="00FB0FE7">
        <w:rPr>
          <w:sz w:val="22"/>
          <w:szCs w:val="22"/>
        </w:rPr>
        <w:t>ments showed a deficit of $9,261</w:t>
      </w:r>
      <w:r w:rsidRPr="00341E12">
        <w:rPr>
          <w:sz w:val="22"/>
          <w:szCs w:val="22"/>
        </w:rPr>
        <w:t xml:space="preserve"> million in its current account balance during 2008-09 as against a deficit of $13,874 million during 2007-08. There has been a significant decline of $4,</w:t>
      </w:r>
      <w:r w:rsidR="00FB0FE7">
        <w:rPr>
          <w:sz w:val="22"/>
          <w:szCs w:val="22"/>
        </w:rPr>
        <w:t>613</w:t>
      </w:r>
      <w:r w:rsidRPr="00341E12">
        <w:rPr>
          <w:sz w:val="22"/>
          <w:szCs w:val="22"/>
        </w:rPr>
        <w:t xml:space="preserve"> million in current account deficit contributed by a decrease of $2,</w:t>
      </w:r>
      <w:r>
        <w:rPr>
          <w:sz w:val="22"/>
          <w:szCs w:val="22"/>
        </w:rPr>
        <w:t>343</w:t>
      </w:r>
      <w:r w:rsidRPr="00341E12">
        <w:rPr>
          <w:sz w:val="22"/>
          <w:szCs w:val="22"/>
        </w:rPr>
        <w:t xml:space="preserve"> million in trade deficit, mainly due to reduction of $3,650 million in import payments. A significant decline of $3,076 million is also observed in services</w:t>
      </w:r>
      <w:r w:rsidR="002C522C">
        <w:rPr>
          <w:sz w:val="22"/>
          <w:szCs w:val="22"/>
        </w:rPr>
        <w:t xml:space="preserve"> deficit</w:t>
      </w:r>
      <w:r w:rsidR="009C6828">
        <w:rPr>
          <w:sz w:val="22"/>
          <w:szCs w:val="22"/>
        </w:rPr>
        <w:t>,</w:t>
      </w:r>
      <w:r w:rsidR="00276530">
        <w:rPr>
          <w:sz w:val="22"/>
          <w:szCs w:val="22"/>
        </w:rPr>
        <w:t xml:space="preserve"> however, an increase of $484</w:t>
      </w:r>
      <w:r w:rsidRPr="00341E12">
        <w:rPr>
          <w:sz w:val="22"/>
          <w:szCs w:val="22"/>
        </w:rPr>
        <w:t xml:space="preserve"> million </w:t>
      </w:r>
      <w:r w:rsidR="002C522C">
        <w:rPr>
          <w:sz w:val="22"/>
          <w:szCs w:val="22"/>
        </w:rPr>
        <w:t xml:space="preserve">is recorded in </w:t>
      </w:r>
      <w:r w:rsidR="002C522C" w:rsidRPr="00341E12">
        <w:rPr>
          <w:sz w:val="22"/>
          <w:szCs w:val="22"/>
        </w:rPr>
        <w:t>income</w:t>
      </w:r>
      <w:r w:rsidRPr="00341E12">
        <w:rPr>
          <w:sz w:val="22"/>
          <w:szCs w:val="22"/>
        </w:rPr>
        <w:t xml:space="preserve"> deficit. </w:t>
      </w:r>
    </w:p>
    <w:p w:rsidR="007C2AD3" w:rsidRDefault="007C2AD3" w:rsidP="00502858">
      <w:pPr>
        <w:pStyle w:val="BodyTextIndent"/>
        <w:ind w:left="630" w:firstLine="0"/>
        <w:rPr>
          <w:sz w:val="22"/>
          <w:szCs w:val="22"/>
        </w:rPr>
      </w:pPr>
      <w:r w:rsidRPr="00341E12">
        <w:rPr>
          <w:sz w:val="22"/>
          <w:szCs w:val="22"/>
        </w:rPr>
        <w:t>The capital and financial account</w:t>
      </w:r>
      <w:r w:rsidR="009C6828">
        <w:rPr>
          <w:sz w:val="22"/>
          <w:szCs w:val="22"/>
        </w:rPr>
        <w:t>s</w:t>
      </w:r>
      <w:r w:rsidRPr="00341E12">
        <w:rPr>
          <w:sz w:val="22"/>
          <w:szCs w:val="22"/>
        </w:rPr>
        <w:t xml:space="preserve"> showed a net </w:t>
      </w:r>
      <w:r w:rsidR="000E38F6">
        <w:rPr>
          <w:sz w:val="22"/>
          <w:szCs w:val="22"/>
        </w:rPr>
        <w:t>inflow of $6,087</w:t>
      </w:r>
      <w:r w:rsidRPr="00341E12">
        <w:rPr>
          <w:sz w:val="22"/>
          <w:szCs w:val="22"/>
        </w:rPr>
        <w:t xml:space="preserve"> million</w:t>
      </w:r>
      <w:r w:rsidR="000E38F6">
        <w:rPr>
          <w:sz w:val="22"/>
          <w:szCs w:val="22"/>
        </w:rPr>
        <w:t xml:space="preserve"> reflecting a decrease of $2,165</w:t>
      </w:r>
      <w:r w:rsidRPr="00341E12">
        <w:rPr>
          <w:sz w:val="22"/>
          <w:szCs w:val="22"/>
        </w:rPr>
        <w:t xml:space="preserve"> million over the previous year. There has been a decrease of $2</w:t>
      </w:r>
      <w:r w:rsidR="002C522C">
        <w:rPr>
          <w:sz w:val="22"/>
          <w:szCs w:val="22"/>
        </w:rPr>
        <w:t xml:space="preserve">,309 million in overall </w:t>
      </w:r>
      <w:r w:rsidR="008859B8">
        <w:rPr>
          <w:sz w:val="22"/>
          <w:szCs w:val="22"/>
        </w:rPr>
        <w:t xml:space="preserve">deficit </w:t>
      </w:r>
      <w:r w:rsidR="002C522C">
        <w:rPr>
          <w:sz w:val="22"/>
          <w:szCs w:val="22"/>
        </w:rPr>
        <w:t>balance</w:t>
      </w:r>
      <w:r w:rsidRPr="00341E12">
        <w:rPr>
          <w:sz w:val="22"/>
          <w:szCs w:val="22"/>
        </w:rPr>
        <w:t xml:space="preserve"> as compared with previous year.  On quarterly basis, the overall balance registered deficits of $3,091 million, $1,663 million in first and second quarter while surpluses of $764 million and $934 million were witnessed in third and fourth quarter of FY09. </w:t>
      </w:r>
    </w:p>
    <w:p w:rsidR="008942DB" w:rsidRPr="00341E12" w:rsidRDefault="00732CE2" w:rsidP="007C2AD3">
      <w:pPr>
        <w:pStyle w:val="BodyTextIndent"/>
        <w:ind w:left="630" w:right="322" w:firstLine="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2247900</wp:posOffset>
            </wp:positionH>
            <wp:positionV relativeFrom="margin">
              <wp:posOffset>4762500</wp:posOffset>
            </wp:positionV>
            <wp:extent cx="3629025" cy="3409950"/>
            <wp:effectExtent l="19050" t="0" r="9525" b="0"/>
            <wp:wrapSquare wrapText="bothSides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9B8" w:rsidRDefault="008859B8" w:rsidP="008942DB">
      <w:pPr>
        <w:pStyle w:val="BodyTextIndent"/>
        <w:ind w:left="630" w:right="772" w:firstLine="0"/>
        <w:rPr>
          <w:b/>
          <w:sz w:val="22"/>
          <w:szCs w:val="22"/>
        </w:rPr>
      </w:pPr>
    </w:p>
    <w:p w:rsidR="008942DB" w:rsidRDefault="008942DB" w:rsidP="008942DB">
      <w:pPr>
        <w:pStyle w:val="BodyTextIndent"/>
        <w:ind w:left="630" w:right="772" w:firstLine="0"/>
        <w:rPr>
          <w:b/>
          <w:sz w:val="22"/>
          <w:szCs w:val="22"/>
        </w:rPr>
      </w:pPr>
      <w:r w:rsidRPr="006857E9">
        <w:rPr>
          <w:b/>
          <w:sz w:val="22"/>
          <w:szCs w:val="22"/>
        </w:rPr>
        <w:t xml:space="preserve">Merchandise Trade </w:t>
      </w:r>
    </w:p>
    <w:p w:rsidR="00505E89" w:rsidRPr="006857E9" w:rsidRDefault="00505E89" w:rsidP="008942DB">
      <w:pPr>
        <w:pStyle w:val="BodyTextIndent"/>
        <w:ind w:left="630" w:right="772" w:firstLine="0"/>
        <w:rPr>
          <w:b/>
          <w:sz w:val="22"/>
          <w:szCs w:val="22"/>
        </w:rPr>
      </w:pPr>
    </w:p>
    <w:p w:rsidR="008942DB" w:rsidRPr="008942DB" w:rsidRDefault="008942DB" w:rsidP="008942DB">
      <w:pPr>
        <w:pStyle w:val="BodyTextIndent"/>
        <w:ind w:left="547" w:right="317" w:firstLine="0"/>
        <w:rPr>
          <w:b/>
          <w:sz w:val="22"/>
          <w:szCs w:val="22"/>
        </w:rPr>
      </w:pPr>
      <w:r w:rsidRPr="008942DB">
        <w:rPr>
          <w:sz w:val="22"/>
          <w:szCs w:val="22"/>
        </w:rPr>
        <w:t xml:space="preserve">During 2008-09 exports and imports of goods (general merchandise, repairs of goods and goods procured in ports by carriers) were $19,121 million and $31,747 million </w:t>
      </w:r>
      <w:r w:rsidR="009C6828">
        <w:rPr>
          <w:sz w:val="22"/>
          <w:szCs w:val="22"/>
        </w:rPr>
        <w:t xml:space="preserve">respectively </w:t>
      </w:r>
      <w:r w:rsidRPr="008942DB">
        <w:rPr>
          <w:sz w:val="22"/>
          <w:szCs w:val="22"/>
        </w:rPr>
        <w:t>while the same were $20,427 million and $35,397million in 2007-08.</w:t>
      </w:r>
    </w:p>
    <w:p w:rsidR="008859B8" w:rsidRDefault="008942DB" w:rsidP="008942DB">
      <w:pPr>
        <w:ind w:left="547"/>
        <w:jc w:val="both"/>
        <w:rPr>
          <w:rFonts w:ascii="Times New Roman" w:hAnsi="Times New Roman" w:cs="Times New Roman"/>
        </w:rPr>
      </w:pPr>
      <w:r w:rsidRPr="008942DB">
        <w:rPr>
          <w:rFonts w:ascii="Times New Roman" w:hAnsi="Times New Roman" w:cs="Times New Roman"/>
        </w:rPr>
        <w:t>During current financial year, the trade deficit narrowed by $2,34</w:t>
      </w:r>
      <w:r w:rsidR="0019338E">
        <w:rPr>
          <w:rFonts w:ascii="Times New Roman" w:hAnsi="Times New Roman" w:cs="Times New Roman"/>
        </w:rPr>
        <w:t>3</w:t>
      </w:r>
      <w:r w:rsidRPr="008942DB">
        <w:rPr>
          <w:rFonts w:ascii="Times New Roman" w:hAnsi="Times New Roman" w:cs="Times New Roman"/>
        </w:rPr>
        <w:t xml:space="preserve"> million to reach $12,</w:t>
      </w:r>
      <w:r w:rsidR="0019338E">
        <w:rPr>
          <w:rFonts w:ascii="Times New Roman" w:hAnsi="Times New Roman" w:cs="Times New Roman"/>
        </w:rPr>
        <w:t>627</w:t>
      </w:r>
      <w:r w:rsidRPr="008942DB">
        <w:rPr>
          <w:rFonts w:ascii="Times New Roman" w:hAnsi="Times New Roman" w:cs="Times New Roman"/>
        </w:rPr>
        <w:t xml:space="preserve"> million as compared </w:t>
      </w:r>
      <w:r w:rsidRPr="008942DB">
        <w:rPr>
          <w:rFonts w:ascii="Times New Roman" w:hAnsi="Times New Roman" w:cs="Times New Roman"/>
        </w:rPr>
        <w:lastRenderedPageBreak/>
        <w:t>during the preceding financial</w:t>
      </w:r>
      <w:r w:rsidR="008859B8">
        <w:rPr>
          <w:rFonts w:ascii="Times New Roman" w:hAnsi="Times New Roman" w:cs="Times New Roman"/>
        </w:rPr>
        <w:t xml:space="preserve"> </w:t>
      </w:r>
    </w:p>
    <w:p w:rsidR="00C55EC5" w:rsidRDefault="008942DB" w:rsidP="008942DB">
      <w:pPr>
        <w:ind w:left="547"/>
        <w:jc w:val="both"/>
        <w:rPr>
          <w:rFonts w:ascii="Times New Roman" w:hAnsi="Times New Roman" w:cs="Times New Roman"/>
        </w:rPr>
      </w:pPr>
      <w:r w:rsidRPr="008942DB">
        <w:rPr>
          <w:rFonts w:ascii="Times New Roman" w:hAnsi="Times New Roman" w:cs="Times New Roman"/>
        </w:rPr>
        <w:t>year. A decrease of $3,650 million or 10.3 per cent in imports contributed significantly in narrowing trade gap</w:t>
      </w:r>
      <w:r>
        <w:rPr>
          <w:rFonts w:ascii="Times New Roman" w:hAnsi="Times New Roman" w:cs="Times New Roman"/>
        </w:rPr>
        <w:t>.</w:t>
      </w:r>
      <w:r w:rsidRPr="008942DB">
        <w:rPr>
          <w:rFonts w:ascii="Times New Roman" w:hAnsi="Times New Roman" w:cs="Times New Roman"/>
        </w:rPr>
        <w:t xml:space="preserve"> </w:t>
      </w:r>
    </w:p>
    <w:p w:rsidR="00803123" w:rsidRDefault="00BA280C" w:rsidP="00803123">
      <w:pPr>
        <w:pStyle w:val="BodyTextIndent"/>
        <w:ind w:left="547" w:right="-90" w:firstLine="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2238375</wp:posOffset>
            </wp:positionH>
            <wp:positionV relativeFrom="margin">
              <wp:posOffset>714375</wp:posOffset>
            </wp:positionV>
            <wp:extent cx="3752850" cy="3552825"/>
            <wp:effectExtent l="19050" t="0" r="0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7899" w:rsidRPr="006934BE">
        <w:rPr>
          <w:sz w:val="22"/>
          <w:szCs w:val="22"/>
        </w:rPr>
        <w:t xml:space="preserve">The general merchandise transactions reported through banks (export receipts) on a mixed f.o.b and c&amp;f basis amounted to $17,887 million as compared to </w:t>
      </w:r>
      <w:r w:rsidR="00803123">
        <w:rPr>
          <w:sz w:val="22"/>
          <w:szCs w:val="22"/>
        </w:rPr>
        <w:t xml:space="preserve">$18,483 million during last fiscal year. </w:t>
      </w:r>
      <w:r w:rsidR="00E17899" w:rsidRPr="006934BE">
        <w:rPr>
          <w:sz w:val="22"/>
          <w:szCs w:val="22"/>
        </w:rPr>
        <w:t>The general merchandise exports at a uniform f.o.b are arrived at by d</w:t>
      </w:r>
      <w:r w:rsidR="00277736">
        <w:rPr>
          <w:sz w:val="22"/>
          <w:szCs w:val="22"/>
        </w:rPr>
        <w:t>educting freight amounting to $</w:t>
      </w:r>
      <w:r w:rsidR="00E17899" w:rsidRPr="006934BE">
        <w:rPr>
          <w:sz w:val="22"/>
          <w:szCs w:val="22"/>
        </w:rPr>
        <w:t xml:space="preserve">486 million, </w:t>
      </w:r>
    </w:p>
    <w:p w:rsidR="00E17899" w:rsidRPr="006934BE" w:rsidRDefault="00E17899" w:rsidP="00803123">
      <w:pPr>
        <w:pStyle w:val="BodyTextIndent"/>
        <w:ind w:left="547" w:right="-90" w:firstLine="0"/>
        <w:rPr>
          <w:sz w:val="22"/>
          <w:szCs w:val="22"/>
        </w:rPr>
      </w:pPr>
      <w:r w:rsidRPr="006934BE">
        <w:rPr>
          <w:sz w:val="22"/>
          <w:szCs w:val="22"/>
        </w:rPr>
        <w:t xml:space="preserve">adding </w:t>
      </w:r>
      <w:r w:rsidR="009C6828">
        <w:rPr>
          <w:sz w:val="22"/>
          <w:szCs w:val="22"/>
        </w:rPr>
        <w:t xml:space="preserve">timing </w:t>
      </w:r>
      <w:r w:rsidRPr="006934BE">
        <w:rPr>
          <w:sz w:val="22"/>
          <w:szCs w:val="22"/>
        </w:rPr>
        <w:t xml:space="preserve">adjustments (outstanding export bills) of </w:t>
      </w:r>
      <w:r w:rsidR="00CE17A6">
        <w:rPr>
          <w:sz w:val="22"/>
          <w:szCs w:val="22"/>
        </w:rPr>
        <w:t>-</w:t>
      </w:r>
      <w:r w:rsidRPr="006934BE">
        <w:rPr>
          <w:sz w:val="22"/>
          <w:szCs w:val="22"/>
        </w:rPr>
        <w:t>$318</w:t>
      </w:r>
      <w:r w:rsidR="00CE17A6">
        <w:rPr>
          <w:sz w:val="22"/>
          <w:szCs w:val="22"/>
        </w:rPr>
        <w:t xml:space="preserve"> </w:t>
      </w:r>
      <w:r w:rsidRPr="006934BE">
        <w:rPr>
          <w:sz w:val="22"/>
          <w:szCs w:val="22"/>
        </w:rPr>
        <w:t xml:space="preserve">million and other exports of $1,836 million not covered through banking channel in 2008-09. </w:t>
      </w:r>
    </w:p>
    <w:p w:rsidR="00E17899" w:rsidRPr="006934BE" w:rsidRDefault="00E17899" w:rsidP="00E17899">
      <w:pPr>
        <w:pStyle w:val="BodyTextIndent"/>
        <w:ind w:left="547" w:right="317" w:firstLine="0"/>
        <w:rPr>
          <w:sz w:val="22"/>
          <w:szCs w:val="22"/>
        </w:rPr>
      </w:pPr>
      <w:r w:rsidRPr="006934BE">
        <w:rPr>
          <w:sz w:val="22"/>
          <w:szCs w:val="22"/>
        </w:rPr>
        <w:t xml:space="preserve">Major commodities groups constituting 88 per cent of total export receipts during FY09 in descending order except others group are shown </w:t>
      </w:r>
      <w:r w:rsidR="00282D98">
        <w:rPr>
          <w:sz w:val="22"/>
          <w:szCs w:val="22"/>
        </w:rPr>
        <w:t xml:space="preserve">in table </w:t>
      </w:r>
      <w:r w:rsidRPr="006934BE">
        <w:rPr>
          <w:sz w:val="22"/>
          <w:szCs w:val="22"/>
        </w:rPr>
        <w:t>along with export</w:t>
      </w:r>
      <w:r w:rsidR="00282D98">
        <w:rPr>
          <w:sz w:val="22"/>
          <w:szCs w:val="22"/>
        </w:rPr>
        <w:t xml:space="preserve"> receipts during FY08.</w:t>
      </w:r>
    </w:p>
    <w:p w:rsidR="00E17899" w:rsidRPr="006934BE" w:rsidRDefault="00E17899" w:rsidP="00502858">
      <w:pPr>
        <w:pStyle w:val="BodyTextIndent"/>
        <w:ind w:left="450" w:firstLine="0"/>
        <w:rPr>
          <w:noProof/>
          <w:sz w:val="22"/>
          <w:szCs w:val="22"/>
        </w:rPr>
      </w:pPr>
      <w:r w:rsidRPr="006934BE">
        <w:rPr>
          <w:sz w:val="22"/>
          <w:szCs w:val="22"/>
        </w:rPr>
        <w:t xml:space="preserve"> The commodity-wise analysis of export receipts revealed that cotton, clothing &amp; textile and the cereal group maintained</w:t>
      </w:r>
      <w:r w:rsidR="00282D98">
        <w:rPr>
          <w:sz w:val="22"/>
          <w:szCs w:val="22"/>
        </w:rPr>
        <w:t xml:space="preserve"> their status of earning higher</w:t>
      </w:r>
      <w:r w:rsidRPr="006934BE">
        <w:rPr>
          <w:sz w:val="22"/>
          <w:szCs w:val="22"/>
        </w:rPr>
        <w:t xml:space="preserve"> foreign exchange for the country in FY09 as they did in FY08.The former group fetched $8,</w:t>
      </w:r>
      <w:r w:rsidR="0019338E">
        <w:rPr>
          <w:sz w:val="22"/>
          <w:szCs w:val="22"/>
        </w:rPr>
        <w:t>876</w:t>
      </w:r>
      <w:r w:rsidRPr="006934BE">
        <w:rPr>
          <w:sz w:val="22"/>
          <w:szCs w:val="22"/>
        </w:rPr>
        <w:t xml:space="preserve"> million or 49.6 per cent of total export receipts during the current year and the later contributed an amount of $1,785 or 9.9 per cent of total export receipts to the country’s exchequer.</w:t>
      </w:r>
      <w:r w:rsidRPr="006934BE">
        <w:rPr>
          <w:noProof/>
          <w:sz w:val="22"/>
          <w:szCs w:val="22"/>
        </w:rPr>
        <w:t xml:space="preserve"> </w:t>
      </w:r>
    </w:p>
    <w:p w:rsidR="00E17899" w:rsidRPr="006934BE" w:rsidRDefault="00E17899" w:rsidP="00E17899">
      <w:pPr>
        <w:pStyle w:val="BodyTextIndent"/>
        <w:ind w:left="450" w:right="311" w:firstLine="0"/>
        <w:rPr>
          <w:noProof/>
          <w:sz w:val="22"/>
          <w:szCs w:val="22"/>
        </w:rPr>
      </w:pPr>
    </w:p>
    <w:p w:rsidR="00E17899" w:rsidRPr="006934BE" w:rsidRDefault="00E17899" w:rsidP="00E17899">
      <w:pPr>
        <w:pStyle w:val="BodyTextIndent"/>
        <w:ind w:left="450" w:right="311" w:firstLine="0"/>
        <w:rPr>
          <w:sz w:val="22"/>
          <w:szCs w:val="22"/>
        </w:rPr>
      </w:pPr>
      <w:r w:rsidRPr="006934BE">
        <w:rPr>
          <w:sz w:val="22"/>
          <w:szCs w:val="22"/>
        </w:rPr>
        <w:t>The country-wise comparison of export receipts by major countries during 2008-09 with 2007-08 is exhibited in Figure 1.</w:t>
      </w:r>
    </w:p>
    <w:p w:rsidR="00E17899" w:rsidRPr="006934BE" w:rsidRDefault="00E17899" w:rsidP="00E17899">
      <w:pPr>
        <w:pStyle w:val="BodyTextIndent"/>
        <w:ind w:left="450" w:right="311" w:firstLine="0"/>
        <w:rPr>
          <w:noProof/>
          <w:sz w:val="22"/>
          <w:szCs w:val="22"/>
        </w:rPr>
      </w:pPr>
    </w:p>
    <w:p w:rsidR="00E17899" w:rsidRPr="006934BE" w:rsidRDefault="009829B7" w:rsidP="00E17899">
      <w:pPr>
        <w:pStyle w:val="BodyTextIndent"/>
        <w:ind w:left="360" w:right="311" w:firstLine="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2409825</wp:posOffset>
            </wp:positionH>
            <wp:positionV relativeFrom="margin">
              <wp:posOffset>5495925</wp:posOffset>
            </wp:positionV>
            <wp:extent cx="3526155" cy="1809750"/>
            <wp:effectExtent l="19050" t="0" r="17145" b="0"/>
            <wp:wrapSquare wrapText="bothSides"/>
            <wp:docPr id="4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E17899" w:rsidRPr="006934BE">
        <w:rPr>
          <w:sz w:val="22"/>
          <w:szCs w:val="22"/>
        </w:rPr>
        <w:t>Country-wise pattern of export receipts showed that USA and UAE remained prominent trade partners in terms of exp</w:t>
      </w:r>
      <w:r w:rsidR="00310CC2">
        <w:rPr>
          <w:sz w:val="22"/>
          <w:szCs w:val="22"/>
        </w:rPr>
        <w:t xml:space="preserve">orts receipts contributing to </w:t>
      </w:r>
      <w:r w:rsidR="00E17899" w:rsidRPr="006934BE">
        <w:rPr>
          <w:sz w:val="22"/>
          <w:szCs w:val="22"/>
        </w:rPr>
        <w:t>amount</w:t>
      </w:r>
      <w:r w:rsidR="00310CC2">
        <w:rPr>
          <w:sz w:val="22"/>
          <w:szCs w:val="22"/>
        </w:rPr>
        <w:t>s</w:t>
      </w:r>
      <w:r w:rsidR="00E17899" w:rsidRPr="006934BE">
        <w:rPr>
          <w:sz w:val="22"/>
          <w:szCs w:val="22"/>
        </w:rPr>
        <w:t xml:space="preserve"> of $3,540 million and $1,398 million respectively during FY09. However, Afghanistan replaced UK to </w:t>
      </w:r>
      <w:r>
        <w:rPr>
          <w:sz w:val="22"/>
          <w:szCs w:val="22"/>
        </w:rPr>
        <w:t xml:space="preserve">become third important trade partner in terms of </w:t>
      </w:r>
      <w:r w:rsidR="00E17899" w:rsidRPr="006934BE">
        <w:rPr>
          <w:sz w:val="22"/>
          <w:szCs w:val="22"/>
        </w:rPr>
        <w:t xml:space="preserve">buying </w:t>
      </w:r>
      <w:r w:rsidR="00986E9E">
        <w:rPr>
          <w:sz w:val="22"/>
          <w:szCs w:val="22"/>
        </w:rPr>
        <w:t xml:space="preserve">goods </w:t>
      </w:r>
      <w:r w:rsidR="00310CC2" w:rsidRPr="006934BE">
        <w:rPr>
          <w:sz w:val="22"/>
          <w:szCs w:val="22"/>
        </w:rPr>
        <w:t xml:space="preserve">worth $976 million </w:t>
      </w:r>
      <w:r w:rsidR="00986E9E">
        <w:rPr>
          <w:sz w:val="22"/>
          <w:szCs w:val="22"/>
        </w:rPr>
        <w:t>from Pakistan as</w:t>
      </w:r>
      <w:r w:rsidR="00E17899" w:rsidRPr="006934BE">
        <w:rPr>
          <w:sz w:val="22"/>
          <w:szCs w:val="22"/>
        </w:rPr>
        <w:t xml:space="preserve"> UK ordered goods valued $964 million. </w:t>
      </w:r>
    </w:p>
    <w:p w:rsidR="00822309" w:rsidRDefault="00822309" w:rsidP="00BE77A2">
      <w:pPr>
        <w:pStyle w:val="BodyTextIndent"/>
        <w:ind w:left="360" w:right="311" w:firstLine="0"/>
        <w:rPr>
          <w:sz w:val="22"/>
          <w:szCs w:val="22"/>
        </w:rPr>
      </w:pPr>
    </w:p>
    <w:p w:rsidR="00822309" w:rsidRDefault="00822309" w:rsidP="00BE77A2">
      <w:pPr>
        <w:pStyle w:val="BodyTextIndent"/>
        <w:ind w:left="360" w:right="311" w:firstLine="0"/>
        <w:rPr>
          <w:sz w:val="22"/>
          <w:szCs w:val="22"/>
        </w:rPr>
      </w:pPr>
    </w:p>
    <w:p w:rsidR="00A45CB5" w:rsidRDefault="00A45CB5" w:rsidP="00BE77A2">
      <w:pPr>
        <w:pStyle w:val="BodyTextIndent"/>
        <w:ind w:left="360" w:right="311" w:firstLine="0"/>
        <w:rPr>
          <w:sz w:val="22"/>
          <w:szCs w:val="22"/>
        </w:rPr>
      </w:pPr>
    </w:p>
    <w:p w:rsidR="00A45CB5" w:rsidRDefault="00273E1B" w:rsidP="00BE77A2">
      <w:pPr>
        <w:pStyle w:val="BodyTextIndent"/>
        <w:ind w:left="360" w:right="311" w:firstLine="0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2124075</wp:posOffset>
            </wp:positionH>
            <wp:positionV relativeFrom="margin">
              <wp:posOffset>19050</wp:posOffset>
            </wp:positionV>
            <wp:extent cx="3867150" cy="3467100"/>
            <wp:effectExtent l="19050" t="0" r="0" b="0"/>
            <wp:wrapSquare wrapText="bothSides"/>
            <wp:docPr id="3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5CB5" w:rsidRDefault="00A45CB5" w:rsidP="00BE77A2">
      <w:pPr>
        <w:pStyle w:val="BodyTextIndent"/>
        <w:ind w:left="360" w:right="311" w:firstLine="0"/>
        <w:rPr>
          <w:sz w:val="22"/>
          <w:szCs w:val="22"/>
        </w:rPr>
      </w:pPr>
    </w:p>
    <w:p w:rsidR="006934BE" w:rsidRPr="006934BE" w:rsidRDefault="006934BE" w:rsidP="00BE77A2">
      <w:pPr>
        <w:pStyle w:val="BodyTextIndent"/>
        <w:ind w:left="360" w:right="311" w:firstLine="0"/>
        <w:rPr>
          <w:sz w:val="22"/>
          <w:szCs w:val="22"/>
        </w:rPr>
      </w:pPr>
      <w:r w:rsidRPr="006934BE">
        <w:rPr>
          <w:sz w:val="22"/>
          <w:szCs w:val="22"/>
        </w:rPr>
        <w:t>The general merchandise (imports) recorded a fall of $3,650 million or 10.3 per cent over the previous year. Of the total imports payments against general merchandise (f.o.b), $29,444 million or 93.7 per cent were reported by banks while those under foreign economic assistance, personal baggage &amp; NRI, sale of duty free shops and others taken together amounted to $1,966 million or 6.3 per cent.</w:t>
      </w:r>
      <w:r w:rsidR="002D2160" w:rsidRPr="002D2160">
        <w:t xml:space="preserve"> </w:t>
      </w:r>
    </w:p>
    <w:p w:rsidR="006934BE" w:rsidRPr="006934BE" w:rsidRDefault="006934BE" w:rsidP="006934BE">
      <w:pPr>
        <w:pStyle w:val="BodyTextIndent"/>
        <w:ind w:left="360" w:right="311" w:firstLine="0"/>
        <w:rPr>
          <w:sz w:val="22"/>
          <w:szCs w:val="22"/>
        </w:rPr>
      </w:pPr>
    </w:p>
    <w:p w:rsidR="006934BE" w:rsidRPr="006934BE" w:rsidRDefault="006934BE" w:rsidP="006934BE">
      <w:pPr>
        <w:pStyle w:val="BodyTextIndent"/>
        <w:ind w:left="360" w:right="311" w:firstLine="0"/>
        <w:rPr>
          <w:sz w:val="22"/>
          <w:szCs w:val="22"/>
        </w:rPr>
      </w:pPr>
      <w:r w:rsidRPr="006934BE">
        <w:rPr>
          <w:sz w:val="22"/>
          <w:szCs w:val="22"/>
        </w:rPr>
        <w:t xml:space="preserve">Major commodities groups constituting 89 per cent of total import payments reported by banks during 2008-09 in descending order except other groups are shown </w:t>
      </w:r>
      <w:r w:rsidR="00240B35">
        <w:rPr>
          <w:sz w:val="22"/>
          <w:szCs w:val="22"/>
        </w:rPr>
        <w:t xml:space="preserve">in table </w:t>
      </w:r>
      <w:r w:rsidR="00240B35" w:rsidRPr="006934BE">
        <w:rPr>
          <w:sz w:val="22"/>
          <w:szCs w:val="22"/>
        </w:rPr>
        <w:t>together</w:t>
      </w:r>
      <w:r w:rsidRPr="006934BE">
        <w:rPr>
          <w:sz w:val="22"/>
          <w:szCs w:val="22"/>
        </w:rPr>
        <w:t xml:space="preserve"> with i</w:t>
      </w:r>
      <w:r w:rsidR="00240B35">
        <w:rPr>
          <w:sz w:val="22"/>
          <w:szCs w:val="22"/>
        </w:rPr>
        <w:t>mport payments during 2007-08.</w:t>
      </w:r>
    </w:p>
    <w:p w:rsidR="006934BE" w:rsidRPr="006934BE" w:rsidRDefault="006934BE" w:rsidP="006934BE">
      <w:pPr>
        <w:pStyle w:val="BodyTextIndent"/>
        <w:tabs>
          <w:tab w:val="left" w:pos="7980"/>
        </w:tabs>
        <w:ind w:left="360" w:right="317" w:firstLine="0"/>
        <w:rPr>
          <w:sz w:val="22"/>
          <w:szCs w:val="22"/>
        </w:rPr>
      </w:pPr>
      <w:r w:rsidRPr="006934BE">
        <w:rPr>
          <w:sz w:val="22"/>
          <w:szCs w:val="22"/>
        </w:rPr>
        <w:tab/>
      </w:r>
    </w:p>
    <w:p w:rsidR="006934BE" w:rsidRPr="006934BE" w:rsidRDefault="00A45CB5" w:rsidP="006934BE">
      <w:pPr>
        <w:pStyle w:val="BodyText2"/>
        <w:spacing w:after="0" w:line="240" w:lineRule="auto"/>
        <w:ind w:left="360" w:right="31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2686050</wp:posOffset>
            </wp:positionH>
            <wp:positionV relativeFrom="margin">
              <wp:posOffset>3667125</wp:posOffset>
            </wp:positionV>
            <wp:extent cx="3219450" cy="1762125"/>
            <wp:effectExtent l="19050" t="0" r="19050" b="0"/>
            <wp:wrapSquare wrapText="bothSides"/>
            <wp:docPr id="8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240B35">
        <w:rPr>
          <w:rFonts w:ascii="Times New Roman" w:hAnsi="Times New Roman" w:cs="Times New Roman"/>
        </w:rPr>
        <w:t>Country-wise analysis showed that 41 per cent of total imports payments were made to a group of countries including Saudi Arabia, UAE, China and Kuwait in FY 09.</w:t>
      </w:r>
      <w:r w:rsidR="006934BE" w:rsidRPr="006934BE">
        <w:rPr>
          <w:rFonts w:ascii="Times New Roman" w:hAnsi="Times New Roman" w:cs="Times New Roman"/>
        </w:rPr>
        <w:t>The country-wise comparison of import payments of major countries including freight during 2008-09 with 2007-08 is exhibited in the Figure 2.</w:t>
      </w:r>
      <w:r w:rsidR="006934BE" w:rsidRPr="006934BE">
        <w:rPr>
          <w:rFonts w:ascii="Times New Roman" w:hAnsi="Times New Roman" w:cs="Times New Roman"/>
          <w:b/>
        </w:rPr>
        <w:t xml:space="preserve"> </w:t>
      </w:r>
    </w:p>
    <w:p w:rsidR="00A45CB5" w:rsidRDefault="00273E1B" w:rsidP="00BE77A2">
      <w:pPr>
        <w:tabs>
          <w:tab w:val="left" w:pos="9090"/>
        </w:tabs>
        <w:ind w:left="54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2409825</wp:posOffset>
            </wp:positionH>
            <wp:positionV relativeFrom="margin">
              <wp:posOffset>5495925</wp:posOffset>
            </wp:positionV>
            <wp:extent cx="3648075" cy="2828925"/>
            <wp:effectExtent l="19050" t="0" r="9525" b="0"/>
            <wp:wrapSquare wrapText="bothSides"/>
            <wp:docPr id="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77A2" w:rsidRPr="006857E9" w:rsidRDefault="00BE77A2" w:rsidP="00BE77A2">
      <w:pPr>
        <w:tabs>
          <w:tab w:val="left" w:pos="9090"/>
        </w:tabs>
        <w:ind w:left="547"/>
        <w:jc w:val="both"/>
        <w:rPr>
          <w:rFonts w:ascii="Times New Roman" w:hAnsi="Times New Roman" w:cs="Times New Roman"/>
          <w:b/>
        </w:rPr>
      </w:pPr>
      <w:r w:rsidRPr="006857E9">
        <w:rPr>
          <w:rFonts w:ascii="Times New Roman" w:hAnsi="Times New Roman" w:cs="Times New Roman"/>
          <w:b/>
        </w:rPr>
        <w:t>Services</w:t>
      </w:r>
    </w:p>
    <w:p w:rsidR="00BE77A2" w:rsidRDefault="00BE77A2" w:rsidP="008D0F5C">
      <w:pPr>
        <w:pStyle w:val="BodyTextIndent"/>
        <w:ind w:left="540" w:right="-90" w:firstLine="0"/>
        <w:rPr>
          <w:sz w:val="22"/>
          <w:szCs w:val="22"/>
        </w:rPr>
      </w:pPr>
      <w:r w:rsidRPr="00BE77A2">
        <w:rPr>
          <w:sz w:val="22"/>
          <w:szCs w:val="22"/>
        </w:rPr>
        <w:t xml:space="preserve">The deficit in services account decreased by $3,076 million from $6,457 million in 2007-08 to $ 3,381 million in 2008-09. The aggregate receipts of services transactions during 2008-09 increased by $517 million or 14.4 percent to $4,106 million from $3,589 million during 2007-08 and aggregate payments went down by $2,559 million or 25.5 per cent to $7,487 million from $10,046 million during 2007-08. </w:t>
      </w:r>
      <w:r w:rsidRPr="00BE77A2">
        <w:rPr>
          <w:sz w:val="22"/>
          <w:szCs w:val="22"/>
        </w:rPr>
        <w:lastRenderedPageBreak/>
        <w:t xml:space="preserve">The higher receipts were recorded under government services, transportation services and other business services. </w:t>
      </w:r>
      <w:r w:rsidR="00AE76BB">
        <w:rPr>
          <w:sz w:val="22"/>
          <w:szCs w:val="22"/>
        </w:rPr>
        <w:t xml:space="preserve">The higher payments were, however, made against </w:t>
      </w:r>
      <w:r w:rsidR="00AE13A5">
        <w:rPr>
          <w:sz w:val="22"/>
          <w:szCs w:val="22"/>
        </w:rPr>
        <w:t>t</w:t>
      </w:r>
      <w:r w:rsidRPr="00BE77A2">
        <w:rPr>
          <w:sz w:val="22"/>
          <w:szCs w:val="22"/>
        </w:rPr>
        <w:t>ransportation, other business and travel services</w:t>
      </w:r>
      <w:r w:rsidR="00AE76BB">
        <w:rPr>
          <w:sz w:val="22"/>
          <w:szCs w:val="22"/>
        </w:rPr>
        <w:t>.</w:t>
      </w:r>
      <w:r w:rsidRPr="00BE77A2">
        <w:rPr>
          <w:sz w:val="22"/>
          <w:szCs w:val="22"/>
        </w:rPr>
        <w:t xml:space="preserve"> </w:t>
      </w:r>
    </w:p>
    <w:p w:rsidR="008D0F5C" w:rsidRPr="00BE77A2" w:rsidRDefault="00FA44DC" w:rsidP="008D0F5C">
      <w:pPr>
        <w:pStyle w:val="BodyTextIndent"/>
        <w:ind w:left="540" w:firstLine="0"/>
        <w:rPr>
          <w:sz w:val="22"/>
          <w:szCs w:val="22"/>
        </w:rPr>
      </w:pPr>
      <w:r w:rsidRPr="00FA44DC">
        <w:rPr>
          <w:noProof/>
          <w:szCs w:val="22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2409825</wp:posOffset>
            </wp:positionH>
            <wp:positionV relativeFrom="margin">
              <wp:posOffset>428625</wp:posOffset>
            </wp:positionV>
            <wp:extent cx="3648075" cy="3409950"/>
            <wp:effectExtent l="19050" t="0" r="9525" b="0"/>
            <wp:wrapSquare wrapText="bothSides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57E9" w:rsidRPr="006857E9" w:rsidRDefault="006857E9" w:rsidP="006857E9">
      <w:pPr>
        <w:ind w:left="540"/>
        <w:jc w:val="both"/>
        <w:rPr>
          <w:rFonts w:ascii="Times New Roman" w:hAnsi="Times New Roman" w:cs="Times New Roman"/>
          <w:b/>
        </w:rPr>
      </w:pPr>
      <w:r w:rsidRPr="006857E9">
        <w:rPr>
          <w:rFonts w:ascii="Times New Roman" w:hAnsi="Times New Roman" w:cs="Times New Roman"/>
          <w:b/>
        </w:rPr>
        <w:t>Income</w:t>
      </w:r>
    </w:p>
    <w:p w:rsidR="006857E9" w:rsidRPr="006857E9" w:rsidRDefault="006857E9" w:rsidP="006857E9">
      <w:pPr>
        <w:pStyle w:val="BodyTextIndent"/>
        <w:ind w:left="540" w:right="311" w:firstLine="0"/>
        <w:rPr>
          <w:sz w:val="22"/>
          <w:szCs w:val="22"/>
        </w:rPr>
      </w:pPr>
      <w:r w:rsidRPr="006857E9">
        <w:rPr>
          <w:sz w:val="22"/>
          <w:szCs w:val="22"/>
        </w:rPr>
        <w:t>The income deficit of $4,40</w:t>
      </w:r>
      <w:r w:rsidR="006B1FBA">
        <w:rPr>
          <w:sz w:val="22"/>
          <w:szCs w:val="22"/>
        </w:rPr>
        <w:t>7</w:t>
      </w:r>
      <w:r w:rsidRPr="006857E9">
        <w:rPr>
          <w:sz w:val="22"/>
          <w:szCs w:val="22"/>
        </w:rPr>
        <w:t xml:space="preserve"> mill</w:t>
      </w:r>
      <w:r w:rsidR="006B1FBA">
        <w:rPr>
          <w:sz w:val="22"/>
          <w:szCs w:val="22"/>
        </w:rPr>
        <w:t>ion in 2008-09 increased by $484</w:t>
      </w:r>
      <w:r w:rsidRPr="006857E9">
        <w:rPr>
          <w:sz w:val="22"/>
          <w:szCs w:val="22"/>
        </w:rPr>
        <w:t xml:space="preserve"> million as compared to $ 3,923 million during 2007-08. The net outflow of direct investment income rose to $3,153 million during 2008-09 as compared with $3,065 million during 2007-08.Also net outflow of portfolio investment income and other inv</w:t>
      </w:r>
      <w:r w:rsidR="006B1FBA">
        <w:rPr>
          <w:sz w:val="22"/>
          <w:szCs w:val="22"/>
        </w:rPr>
        <w:t>estment income increased by  $77 million  &amp;  $323</w:t>
      </w:r>
      <w:r w:rsidRPr="006857E9">
        <w:rPr>
          <w:sz w:val="22"/>
          <w:szCs w:val="22"/>
        </w:rPr>
        <w:t xml:space="preserve"> million respectively during 2008-09 over 2007-08. </w:t>
      </w:r>
    </w:p>
    <w:p w:rsidR="002D2160" w:rsidRPr="006857E9" w:rsidRDefault="002D2160" w:rsidP="006934BE">
      <w:pPr>
        <w:ind w:left="547"/>
        <w:jc w:val="both"/>
        <w:rPr>
          <w:rFonts w:ascii="Times New Roman" w:hAnsi="Times New Roman" w:cs="Times New Roman"/>
        </w:rPr>
      </w:pPr>
    </w:p>
    <w:p w:rsidR="00501FB4" w:rsidRDefault="00501FB4" w:rsidP="006857E9">
      <w:pPr>
        <w:pStyle w:val="Heading4"/>
        <w:ind w:left="540"/>
        <w:rPr>
          <w:rFonts w:ascii="Times New Roman" w:hAnsi="Times New Roman" w:cs="Times New Roman"/>
          <w:i w:val="0"/>
          <w:color w:val="000000" w:themeColor="text1"/>
        </w:rPr>
      </w:pPr>
    </w:p>
    <w:p w:rsidR="006857E9" w:rsidRPr="006857E9" w:rsidRDefault="006857E9" w:rsidP="006857E9">
      <w:pPr>
        <w:pStyle w:val="Heading4"/>
        <w:ind w:left="540"/>
        <w:rPr>
          <w:rFonts w:ascii="Times New Roman" w:hAnsi="Times New Roman" w:cs="Times New Roman"/>
          <w:i w:val="0"/>
          <w:color w:val="000000" w:themeColor="text1"/>
        </w:rPr>
      </w:pPr>
      <w:r w:rsidRPr="006857E9">
        <w:rPr>
          <w:rFonts w:ascii="Times New Roman" w:hAnsi="Times New Roman" w:cs="Times New Roman"/>
          <w:i w:val="0"/>
          <w:color w:val="000000" w:themeColor="text1"/>
        </w:rPr>
        <w:t>Current Transfers</w:t>
      </w:r>
    </w:p>
    <w:p w:rsidR="006857E9" w:rsidRPr="006857E9" w:rsidRDefault="006857E9" w:rsidP="006857E9">
      <w:pPr>
        <w:pStyle w:val="BodyTextIndent"/>
        <w:ind w:left="540" w:right="311" w:firstLine="0"/>
        <w:rPr>
          <w:sz w:val="22"/>
          <w:szCs w:val="22"/>
        </w:rPr>
      </w:pPr>
    </w:p>
    <w:p w:rsidR="006857E9" w:rsidRPr="006857E9" w:rsidRDefault="003D4428" w:rsidP="002B5359">
      <w:pPr>
        <w:pStyle w:val="BodyTextIndent"/>
        <w:ind w:left="540" w:firstLine="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2371725</wp:posOffset>
            </wp:positionH>
            <wp:positionV relativeFrom="margin">
              <wp:posOffset>4029075</wp:posOffset>
            </wp:positionV>
            <wp:extent cx="3686175" cy="2171700"/>
            <wp:effectExtent l="1905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7E9" w:rsidRPr="006857E9">
        <w:rPr>
          <w:sz w:val="22"/>
          <w:szCs w:val="22"/>
        </w:rPr>
        <w:t>The net inflow of curre</w:t>
      </w:r>
      <w:r w:rsidR="00FB0FE7">
        <w:rPr>
          <w:sz w:val="22"/>
          <w:szCs w:val="22"/>
        </w:rPr>
        <w:t>nt transfers amounted to $11,154</w:t>
      </w:r>
      <w:r w:rsidR="006857E9" w:rsidRPr="006857E9">
        <w:rPr>
          <w:sz w:val="22"/>
          <w:szCs w:val="22"/>
        </w:rPr>
        <w:t xml:space="preserve"> million during 2008-09 as compared with $11,476 million in the previous</w:t>
      </w:r>
      <w:r w:rsidR="00FB0FE7">
        <w:rPr>
          <w:sz w:val="22"/>
          <w:szCs w:val="22"/>
        </w:rPr>
        <w:t xml:space="preserve"> year showing a decrease of $322</w:t>
      </w:r>
      <w:r w:rsidR="006857E9" w:rsidRPr="006857E9">
        <w:rPr>
          <w:sz w:val="22"/>
          <w:szCs w:val="22"/>
        </w:rPr>
        <w:t xml:space="preserve"> million. The net decrease in gener</w:t>
      </w:r>
      <w:r w:rsidR="00FB0FE7">
        <w:rPr>
          <w:sz w:val="22"/>
          <w:szCs w:val="22"/>
        </w:rPr>
        <w:t>al government transfers was $274</w:t>
      </w:r>
      <w:r w:rsidR="006857E9" w:rsidRPr="006857E9">
        <w:rPr>
          <w:sz w:val="22"/>
          <w:szCs w:val="22"/>
        </w:rPr>
        <w:t xml:space="preserve"> million during 2008-09 where </w:t>
      </w:r>
      <w:r w:rsidR="002B5359">
        <w:rPr>
          <w:sz w:val="22"/>
          <w:szCs w:val="22"/>
        </w:rPr>
        <w:t>the net inflows were $</w:t>
      </w:r>
      <w:r w:rsidR="00FB0FE7">
        <w:rPr>
          <w:sz w:val="22"/>
          <w:szCs w:val="22"/>
        </w:rPr>
        <w:t>210</w:t>
      </w:r>
      <w:r w:rsidR="006857E9" w:rsidRPr="006857E9">
        <w:rPr>
          <w:sz w:val="22"/>
          <w:szCs w:val="22"/>
        </w:rPr>
        <w:t xml:space="preserve"> million in current year as compared to $484 million in 2007-08. There has been a significant decrease of $267 million in cash grants in FY09. </w:t>
      </w:r>
      <w:r w:rsidR="00AE76BB">
        <w:rPr>
          <w:sz w:val="22"/>
          <w:szCs w:val="22"/>
        </w:rPr>
        <w:t>W</w:t>
      </w:r>
      <w:r w:rsidR="006857E9" w:rsidRPr="006857E9">
        <w:rPr>
          <w:sz w:val="22"/>
          <w:szCs w:val="22"/>
        </w:rPr>
        <w:t>orkers’ remittances</w:t>
      </w:r>
      <w:r w:rsidR="00AE76BB">
        <w:rPr>
          <w:sz w:val="22"/>
          <w:szCs w:val="22"/>
        </w:rPr>
        <w:t xml:space="preserve">, however, </w:t>
      </w:r>
      <w:r w:rsidR="006857E9" w:rsidRPr="006857E9">
        <w:rPr>
          <w:sz w:val="22"/>
          <w:szCs w:val="22"/>
        </w:rPr>
        <w:t xml:space="preserve"> remained flamboyant with a 21 per cent growth rate to reach $7,811 million in FY09 as compared </w:t>
      </w:r>
      <w:r w:rsidR="0019338E">
        <w:rPr>
          <w:sz w:val="22"/>
          <w:szCs w:val="22"/>
        </w:rPr>
        <w:t xml:space="preserve">with </w:t>
      </w:r>
      <w:r w:rsidR="006857E9" w:rsidRPr="006857E9">
        <w:rPr>
          <w:sz w:val="22"/>
          <w:szCs w:val="22"/>
        </w:rPr>
        <w:t xml:space="preserve">$6,451 million </w:t>
      </w:r>
      <w:r w:rsidR="00AE76BB">
        <w:rPr>
          <w:sz w:val="22"/>
          <w:szCs w:val="22"/>
        </w:rPr>
        <w:t xml:space="preserve">in </w:t>
      </w:r>
      <w:r w:rsidR="006857E9" w:rsidRPr="006857E9">
        <w:rPr>
          <w:sz w:val="22"/>
          <w:szCs w:val="22"/>
        </w:rPr>
        <w:t>last fiscal year.</w:t>
      </w:r>
      <w:r w:rsidR="003563D2" w:rsidRPr="003563D2">
        <w:t xml:space="preserve"> </w:t>
      </w:r>
    </w:p>
    <w:p w:rsidR="005600F0" w:rsidRDefault="00344DBE" w:rsidP="006857E9">
      <w:pPr>
        <w:pStyle w:val="BodyTextIndent"/>
        <w:ind w:left="540" w:firstLine="0"/>
        <w:jc w:val="lef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2219325</wp:posOffset>
            </wp:positionH>
            <wp:positionV relativeFrom="margin">
              <wp:posOffset>6743700</wp:posOffset>
            </wp:positionV>
            <wp:extent cx="3943350" cy="1476375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57E9" w:rsidRDefault="006857E9" w:rsidP="006857E9">
      <w:pPr>
        <w:pStyle w:val="BodyTextIndent"/>
        <w:ind w:left="540" w:firstLine="0"/>
        <w:jc w:val="left"/>
        <w:rPr>
          <w:b/>
          <w:sz w:val="22"/>
          <w:szCs w:val="22"/>
        </w:rPr>
      </w:pPr>
      <w:r w:rsidRPr="006857E9">
        <w:rPr>
          <w:b/>
          <w:sz w:val="22"/>
          <w:szCs w:val="22"/>
        </w:rPr>
        <w:t xml:space="preserve">Capital &amp; Financial Account </w:t>
      </w:r>
    </w:p>
    <w:p w:rsidR="005600F0" w:rsidRPr="006857E9" w:rsidRDefault="005600F0" w:rsidP="006857E9">
      <w:pPr>
        <w:pStyle w:val="BodyTextIndent"/>
        <w:ind w:left="540" w:firstLine="0"/>
        <w:jc w:val="left"/>
        <w:rPr>
          <w:sz w:val="22"/>
          <w:szCs w:val="22"/>
        </w:rPr>
      </w:pPr>
    </w:p>
    <w:p w:rsidR="006857E9" w:rsidRDefault="006857E9" w:rsidP="00DE3BCB">
      <w:pPr>
        <w:pStyle w:val="BodyText"/>
        <w:tabs>
          <w:tab w:val="left" w:pos="10098"/>
        </w:tabs>
        <w:spacing w:line="240" w:lineRule="auto"/>
        <w:ind w:left="540" w:right="311"/>
        <w:jc w:val="both"/>
        <w:rPr>
          <w:rFonts w:ascii="Times New Roman" w:hAnsi="Times New Roman" w:cs="Times New Roman"/>
        </w:rPr>
      </w:pPr>
      <w:r w:rsidRPr="006857E9">
        <w:rPr>
          <w:rFonts w:ascii="Times New Roman" w:hAnsi="Times New Roman" w:cs="Times New Roman"/>
        </w:rPr>
        <w:t>The net inflow in capital &amp; financial accoun</w:t>
      </w:r>
      <w:r w:rsidR="008A4E68">
        <w:rPr>
          <w:rFonts w:ascii="Times New Roman" w:hAnsi="Times New Roman" w:cs="Times New Roman"/>
        </w:rPr>
        <w:t>t during 2008-09 stood at $6,087</w:t>
      </w:r>
      <w:r w:rsidR="0019338E">
        <w:rPr>
          <w:rFonts w:ascii="Times New Roman" w:hAnsi="Times New Roman" w:cs="Times New Roman"/>
        </w:rPr>
        <w:t xml:space="preserve"> million as against $</w:t>
      </w:r>
      <w:r w:rsidRPr="006857E9">
        <w:rPr>
          <w:rFonts w:ascii="Times New Roman" w:hAnsi="Times New Roman" w:cs="Times New Roman"/>
        </w:rPr>
        <w:t>8,252 million during previous year. The net</w:t>
      </w:r>
      <w:r w:rsidR="008A4E68">
        <w:rPr>
          <w:rFonts w:ascii="Times New Roman" w:hAnsi="Times New Roman" w:cs="Times New Roman"/>
        </w:rPr>
        <w:t xml:space="preserve"> capital inflow amounted to $455</w:t>
      </w:r>
      <w:r w:rsidRPr="006857E9">
        <w:rPr>
          <w:rFonts w:ascii="Times New Roman" w:hAnsi="Times New Roman" w:cs="Times New Roman"/>
        </w:rPr>
        <w:t xml:space="preserve"> </w:t>
      </w:r>
      <w:r w:rsidRPr="006857E9">
        <w:rPr>
          <w:rFonts w:ascii="Times New Roman" w:hAnsi="Times New Roman" w:cs="Times New Roman"/>
        </w:rPr>
        <w:lastRenderedPageBreak/>
        <w:t>million in current period as against $121 million in 2007-08. The project grant increased by $316 million in 2008-09 as compared to previous year. The net inflow in financial accoun</w:t>
      </w:r>
      <w:r w:rsidR="008A4E68">
        <w:rPr>
          <w:rFonts w:ascii="Times New Roman" w:hAnsi="Times New Roman" w:cs="Times New Roman"/>
        </w:rPr>
        <w:t>t during 2008-09 stood at $5,632</w:t>
      </w:r>
      <w:r w:rsidRPr="006857E9">
        <w:rPr>
          <w:rFonts w:ascii="Times New Roman" w:hAnsi="Times New Roman" w:cs="Times New Roman"/>
        </w:rPr>
        <w:t xml:space="preserve"> million as against $8,131 million in the previous year. </w:t>
      </w:r>
    </w:p>
    <w:p w:rsidR="007E58C7" w:rsidRDefault="007E58C7" w:rsidP="00DE3BCB">
      <w:pPr>
        <w:pStyle w:val="BodyText"/>
        <w:tabs>
          <w:tab w:val="left" w:pos="10098"/>
        </w:tabs>
        <w:spacing w:line="240" w:lineRule="auto"/>
        <w:ind w:left="540" w:right="3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3419475</wp:posOffset>
            </wp:positionH>
            <wp:positionV relativeFrom="margin">
              <wp:posOffset>428625</wp:posOffset>
            </wp:positionV>
            <wp:extent cx="2514600" cy="2838450"/>
            <wp:effectExtent l="19050" t="0" r="0" b="0"/>
            <wp:wrapSquare wrapText="bothSides"/>
            <wp:docPr id="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57E9" w:rsidRPr="006857E9" w:rsidRDefault="006857E9" w:rsidP="008A4E68">
      <w:pPr>
        <w:tabs>
          <w:tab w:val="center" w:pos="3063"/>
        </w:tabs>
        <w:ind w:left="540"/>
        <w:jc w:val="both"/>
        <w:rPr>
          <w:rFonts w:ascii="Times New Roman" w:hAnsi="Times New Roman" w:cs="Times New Roman"/>
        </w:rPr>
      </w:pPr>
      <w:r w:rsidRPr="006857E9">
        <w:rPr>
          <w:rFonts w:ascii="Times New Roman" w:hAnsi="Times New Roman" w:cs="Times New Roman"/>
        </w:rPr>
        <w:t xml:space="preserve">The inflow of foreign loans/credits including </w:t>
      </w:r>
      <w:r w:rsidR="008A4E68">
        <w:rPr>
          <w:rFonts w:ascii="Times New Roman" w:hAnsi="Times New Roman" w:cs="Times New Roman"/>
        </w:rPr>
        <w:t>short-term loans stood at $8,656</w:t>
      </w:r>
      <w:r w:rsidRPr="006857E9">
        <w:rPr>
          <w:rFonts w:ascii="Times New Roman" w:hAnsi="Times New Roman" w:cs="Times New Roman"/>
        </w:rPr>
        <w:t xml:space="preserve"> million as compared with $4,131 million </w:t>
      </w:r>
      <w:r w:rsidR="00CE17A6">
        <w:rPr>
          <w:rFonts w:ascii="Times New Roman" w:hAnsi="Times New Roman" w:cs="Times New Roman"/>
        </w:rPr>
        <w:t>last year.</w:t>
      </w:r>
      <w:r w:rsidRPr="006857E9">
        <w:rPr>
          <w:rFonts w:ascii="Times New Roman" w:hAnsi="Times New Roman" w:cs="Times New Roman"/>
        </w:rPr>
        <w:t xml:space="preserve"> Of the total disbursement of long</w:t>
      </w:r>
      <w:r w:rsidR="008A4E68">
        <w:rPr>
          <w:rFonts w:ascii="Times New Roman" w:hAnsi="Times New Roman" w:cs="Times New Roman"/>
        </w:rPr>
        <w:t>-term loans of $7,922 million, $84</w:t>
      </w:r>
      <w:r w:rsidRPr="006857E9">
        <w:rPr>
          <w:rFonts w:ascii="Times New Roman" w:hAnsi="Times New Roman" w:cs="Times New Roman"/>
        </w:rPr>
        <w:t>1 million were for financing of various projects while $2,115 million were non-projects loans. The repayment of long-te</w:t>
      </w:r>
      <w:r w:rsidR="008A4E68">
        <w:rPr>
          <w:rFonts w:ascii="Times New Roman" w:hAnsi="Times New Roman" w:cs="Times New Roman"/>
        </w:rPr>
        <w:t>rm loans/credits stood at $2,708</w:t>
      </w:r>
      <w:r w:rsidRPr="006857E9">
        <w:rPr>
          <w:rFonts w:ascii="Times New Roman" w:hAnsi="Times New Roman" w:cs="Times New Roman"/>
        </w:rPr>
        <w:t xml:space="preserve"> million during the current year as against $1,606 million in the previous year. The repayment of short-term loans/credits stood at $857 million during current year as against $141 million during the previous year.</w:t>
      </w:r>
      <w:r w:rsidR="00230E85" w:rsidRPr="00230E85">
        <w:rPr>
          <w:rFonts w:ascii="Times New Roman" w:hAnsi="Times New Roman" w:cs="Times New Roman"/>
        </w:rPr>
        <w:t xml:space="preserve"> </w:t>
      </w:r>
    </w:p>
    <w:p w:rsidR="007E58C7" w:rsidRDefault="006857E9" w:rsidP="00D77E59">
      <w:pPr>
        <w:pStyle w:val="BodyTextIndent2"/>
        <w:ind w:left="540" w:right="311"/>
        <w:rPr>
          <w:rFonts w:ascii="Times New Roman" w:hAnsi="Times New Roman" w:cs="Times New Roman"/>
        </w:rPr>
      </w:pPr>
      <w:r w:rsidRPr="006857E9">
        <w:rPr>
          <w:rFonts w:ascii="Times New Roman" w:hAnsi="Times New Roman" w:cs="Times New Roman"/>
        </w:rPr>
        <w:t xml:space="preserve">                 </w:t>
      </w:r>
      <w:r w:rsidR="00FF254A">
        <w:rPr>
          <w:rFonts w:ascii="Times New Roman" w:hAnsi="Times New Roman" w:cs="Times New Roman"/>
        </w:rPr>
        <w:t xml:space="preserve">                </w:t>
      </w:r>
      <w:r w:rsidR="00D77E59">
        <w:rPr>
          <w:rFonts w:ascii="Times New Roman" w:hAnsi="Times New Roman" w:cs="Times New Roman"/>
        </w:rPr>
        <w:t xml:space="preserve">    </w:t>
      </w:r>
    </w:p>
    <w:p w:rsidR="007E58C7" w:rsidRPr="006857E9" w:rsidRDefault="007E58C7" w:rsidP="00D77E59">
      <w:pPr>
        <w:pStyle w:val="BodyTextIndent2"/>
        <w:ind w:left="540" w:right="3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3305175</wp:posOffset>
            </wp:positionH>
            <wp:positionV relativeFrom="margin">
              <wp:posOffset>3400425</wp:posOffset>
            </wp:positionV>
            <wp:extent cx="2571750" cy="1552575"/>
            <wp:effectExtent l="19050" t="0" r="0" b="0"/>
            <wp:wrapSquare wrapText="bothSides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7E59">
        <w:rPr>
          <w:rFonts w:ascii="Times New Roman" w:hAnsi="Times New Roman" w:cs="Times New Roman"/>
        </w:rPr>
        <w:t xml:space="preserve">    </w:t>
      </w:r>
      <w:r w:rsidR="00FF254A">
        <w:rPr>
          <w:rFonts w:ascii="Times New Roman" w:hAnsi="Times New Roman" w:cs="Times New Roman"/>
        </w:rPr>
        <w:t xml:space="preserve">                </w:t>
      </w:r>
      <w:r w:rsidR="006105F5">
        <w:rPr>
          <w:rFonts w:ascii="Times New Roman" w:hAnsi="Times New Roman" w:cs="Times New Roman"/>
        </w:rPr>
        <w:t xml:space="preserve">    </w:t>
      </w:r>
      <w:r w:rsidR="006857E9" w:rsidRPr="006857E9">
        <w:rPr>
          <w:rFonts w:ascii="Times New Roman" w:hAnsi="Times New Roman" w:cs="Times New Roman"/>
        </w:rPr>
        <w:t xml:space="preserve">   </w:t>
      </w:r>
    </w:p>
    <w:p w:rsidR="006857E9" w:rsidRDefault="006857E9" w:rsidP="006857E9">
      <w:pPr>
        <w:tabs>
          <w:tab w:val="center" w:pos="3063"/>
        </w:tabs>
        <w:ind w:left="540"/>
        <w:jc w:val="both"/>
        <w:rPr>
          <w:rFonts w:ascii="Times New Roman" w:hAnsi="Times New Roman" w:cs="Times New Roman"/>
        </w:rPr>
      </w:pPr>
      <w:r w:rsidRPr="006857E9">
        <w:rPr>
          <w:rFonts w:ascii="Times New Roman" w:hAnsi="Times New Roman" w:cs="Times New Roman"/>
        </w:rPr>
        <w:tab/>
        <w:t>The interest paid on public and publicly g</w:t>
      </w:r>
      <w:r w:rsidR="005F2EC7">
        <w:rPr>
          <w:rFonts w:ascii="Times New Roman" w:hAnsi="Times New Roman" w:cs="Times New Roman"/>
        </w:rPr>
        <w:t>uaranteed loans amounted to $711</w:t>
      </w:r>
      <w:r w:rsidRPr="006857E9">
        <w:rPr>
          <w:rFonts w:ascii="Times New Roman" w:hAnsi="Times New Roman" w:cs="Times New Roman"/>
        </w:rPr>
        <w:t xml:space="preserve"> million whereas interest on un-guaran</w:t>
      </w:r>
      <w:r w:rsidR="005F2EC7">
        <w:rPr>
          <w:rFonts w:ascii="Times New Roman" w:hAnsi="Times New Roman" w:cs="Times New Roman"/>
        </w:rPr>
        <w:t>teed private loans stood at $109</w:t>
      </w:r>
      <w:r w:rsidRPr="006857E9">
        <w:rPr>
          <w:rFonts w:ascii="Times New Roman" w:hAnsi="Times New Roman" w:cs="Times New Roman"/>
        </w:rPr>
        <w:t xml:space="preserve"> million. An amount of $52 mi</w:t>
      </w:r>
      <w:r w:rsidR="00A45CB5">
        <w:rPr>
          <w:rFonts w:ascii="Times New Roman" w:hAnsi="Times New Roman" w:cs="Times New Roman"/>
        </w:rPr>
        <w:t xml:space="preserve">llion was paid to International </w:t>
      </w:r>
      <w:r w:rsidRPr="006857E9">
        <w:rPr>
          <w:rFonts w:ascii="Times New Roman" w:hAnsi="Times New Roman" w:cs="Times New Roman"/>
        </w:rPr>
        <w:t xml:space="preserve">Monetary Fund (IMF) as charges. </w:t>
      </w:r>
    </w:p>
    <w:p w:rsidR="007E58C7" w:rsidRDefault="007E58C7" w:rsidP="006105F5">
      <w:pPr>
        <w:tabs>
          <w:tab w:val="center" w:pos="3063"/>
        </w:tabs>
        <w:ind w:left="54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7E58C7" w:rsidRDefault="007E58C7" w:rsidP="006105F5">
      <w:pPr>
        <w:tabs>
          <w:tab w:val="center" w:pos="3063"/>
        </w:tabs>
        <w:ind w:left="54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6857E9" w:rsidRPr="006105F5" w:rsidRDefault="006857E9" w:rsidP="006105F5">
      <w:pPr>
        <w:tabs>
          <w:tab w:val="center" w:pos="3063"/>
        </w:tabs>
        <w:ind w:left="540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6105F5">
        <w:rPr>
          <w:rFonts w:ascii="Times New Roman" w:hAnsi="Times New Roman" w:cs="Times New Roman"/>
          <w:b/>
          <w:color w:val="000000" w:themeColor="text1"/>
        </w:rPr>
        <w:t>Reserves and related items</w:t>
      </w:r>
    </w:p>
    <w:p w:rsidR="002D2160" w:rsidRDefault="007E58C7" w:rsidP="00D77E59">
      <w:pPr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2343150</wp:posOffset>
            </wp:positionH>
            <wp:positionV relativeFrom="margin">
              <wp:posOffset>5734050</wp:posOffset>
            </wp:positionV>
            <wp:extent cx="3667125" cy="1438275"/>
            <wp:effectExtent l="19050" t="0" r="9525" b="0"/>
            <wp:wrapSquare wrapText="bothSides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7E9" w:rsidRPr="006857E9">
        <w:rPr>
          <w:rFonts w:ascii="Times New Roman" w:hAnsi="Times New Roman" w:cs="Times New Roman"/>
        </w:rPr>
        <w:t>Foreign exchange reserves held by State Bank of Pakistan (SBP) including SDR decreased by</w:t>
      </w:r>
      <w:r w:rsidR="00CE17A6">
        <w:rPr>
          <w:rFonts w:ascii="Times New Roman" w:hAnsi="Times New Roman" w:cs="Times New Roman"/>
        </w:rPr>
        <w:t xml:space="preserve"> $</w:t>
      </w:r>
      <w:r w:rsidR="006857E9" w:rsidRPr="006857E9">
        <w:rPr>
          <w:rFonts w:ascii="Times New Roman" w:hAnsi="Times New Roman" w:cs="Times New Roman"/>
        </w:rPr>
        <w:t xml:space="preserve">2,309 million during the year. </w:t>
      </w:r>
      <w:r w:rsidR="00A41FC6">
        <w:rPr>
          <w:rFonts w:ascii="Times New Roman" w:hAnsi="Times New Roman" w:cs="Times New Roman"/>
        </w:rPr>
        <w:t>The purchase</w:t>
      </w:r>
      <w:r w:rsidR="002779C7">
        <w:rPr>
          <w:rFonts w:ascii="Times New Roman" w:hAnsi="Times New Roman" w:cs="Times New Roman"/>
        </w:rPr>
        <w:t>s</w:t>
      </w:r>
      <w:r w:rsidR="00A41FC6">
        <w:rPr>
          <w:rFonts w:ascii="Times New Roman" w:hAnsi="Times New Roman" w:cs="Times New Roman"/>
        </w:rPr>
        <w:t>/drawing</w:t>
      </w:r>
      <w:r w:rsidR="002779C7">
        <w:rPr>
          <w:rFonts w:ascii="Times New Roman" w:hAnsi="Times New Roman" w:cs="Times New Roman"/>
        </w:rPr>
        <w:t>s</w:t>
      </w:r>
      <w:r w:rsidR="00A41FC6">
        <w:rPr>
          <w:rFonts w:ascii="Times New Roman" w:hAnsi="Times New Roman" w:cs="Times New Roman"/>
        </w:rPr>
        <w:t xml:space="preserve"> of $3,050 million (SDR</w:t>
      </w:r>
      <w:r w:rsidR="002779C7">
        <w:rPr>
          <w:rFonts w:ascii="Times New Roman" w:hAnsi="Times New Roman" w:cs="Times New Roman"/>
        </w:rPr>
        <w:t xml:space="preserve"> </w:t>
      </w:r>
      <w:r w:rsidR="00A41FC6">
        <w:rPr>
          <w:rFonts w:ascii="Times New Roman" w:hAnsi="Times New Roman" w:cs="Times New Roman"/>
        </w:rPr>
        <w:t>2,068 million) and $852 million (SDR</w:t>
      </w:r>
      <w:r w:rsidR="002779C7">
        <w:rPr>
          <w:rFonts w:ascii="Times New Roman" w:hAnsi="Times New Roman" w:cs="Times New Roman"/>
        </w:rPr>
        <w:t xml:space="preserve"> </w:t>
      </w:r>
      <w:r w:rsidR="00A41FC6">
        <w:rPr>
          <w:rFonts w:ascii="Times New Roman" w:hAnsi="Times New Roman" w:cs="Times New Roman"/>
        </w:rPr>
        <w:t xml:space="preserve">264 million) </w:t>
      </w:r>
      <w:r w:rsidR="00986E9E">
        <w:rPr>
          <w:rFonts w:ascii="Times New Roman" w:hAnsi="Times New Roman" w:cs="Times New Roman"/>
        </w:rPr>
        <w:t xml:space="preserve">were taken place in </w:t>
      </w:r>
      <w:r w:rsidR="002779C7">
        <w:rPr>
          <w:rFonts w:ascii="Times New Roman" w:hAnsi="Times New Roman" w:cs="Times New Roman"/>
        </w:rPr>
        <w:t>second and fourth quarter o</w:t>
      </w:r>
      <w:r w:rsidR="00A41FC6">
        <w:rPr>
          <w:rFonts w:ascii="Times New Roman" w:hAnsi="Times New Roman" w:cs="Times New Roman"/>
        </w:rPr>
        <w:t xml:space="preserve">f fiscal year 09. </w:t>
      </w:r>
      <w:r w:rsidR="002779C7">
        <w:rPr>
          <w:rFonts w:ascii="Times New Roman" w:hAnsi="Times New Roman" w:cs="Times New Roman"/>
        </w:rPr>
        <w:t>On the other hand, t</w:t>
      </w:r>
      <w:r w:rsidR="006857E9" w:rsidRPr="006857E9">
        <w:rPr>
          <w:rFonts w:ascii="Times New Roman" w:hAnsi="Times New Roman" w:cs="Times New Roman"/>
        </w:rPr>
        <w:t>he repurchases</w:t>
      </w:r>
      <w:r w:rsidR="00CE17A6">
        <w:rPr>
          <w:rFonts w:ascii="Times New Roman" w:hAnsi="Times New Roman" w:cs="Times New Roman"/>
        </w:rPr>
        <w:t>/</w:t>
      </w:r>
      <w:r w:rsidR="006857E9" w:rsidRPr="006857E9">
        <w:rPr>
          <w:rFonts w:ascii="Times New Roman" w:hAnsi="Times New Roman" w:cs="Times New Roman"/>
        </w:rPr>
        <w:t>repayments of $211</w:t>
      </w:r>
      <w:r w:rsidR="00CE17A6">
        <w:rPr>
          <w:rFonts w:ascii="Times New Roman" w:hAnsi="Times New Roman" w:cs="Times New Roman"/>
        </w:rPr>
        <w:t xml:space="preserve"> million (SDR</w:t>
      </w:r>
      <w:r w:rsidR="00246CB5">
        <w:rPr>
          <w:rFonts w:ascii="Times New Roman" w:hAnsi="Times New Roman" w:cs="Times New Roman"/>
        </w:rPr>
        <w:t>138</w:t>
      </w:r>
      <w:r w:rsidR="006857E9" w:rsidRPr="006857E9">
        <w:rPr>
          <w:rFonts w:ascii="Times New Roman" w:hAnsi="Times New Roman" w:cs="Times New Roman"/>
        </w:rPr>
        <w:t xml:space="preserve"> million) were made to IMF during the</w:t>
      </w:r>
      <w:r w:rsidR="004F3885">
        <w:rPr>
          <w:rFonts w:ascii="Times New Roman" w:hAnsi="Times New Roman" w:cs="Times New Roman"/>
        </w:rPr>
        <w:t xml:space="preserve"> </w:t>
      </w:r>
      <w:r w:rsidR="00A41FC6">
        <w:rPr>
          <w:rFonts w:ascii="Times New Roman" w:hAnsi="Times New Roman" w:cs="Times New Roman"/>
        </w:rPr>
        <w:t>year</w:t>
      </w:r>
      <w:r w:rsidR="00A41FC6" w:rsidRPr="006857E9">
        <w:rPr>
          <w:rFonts w:ascii="Times New Roman" w:hAnsi="Times New Roman" w:cs="Times New Roman"/>
        </w:rPr>
        <w:t xml:space="preserve"> as</w:t>
      </w:r>
      <w:r w:rsidR="006857E9" w:rsidRPr="006857E9">
        <w:rPr>
          <w:rFonts w:ascii="Times New Roman" w:hAnsi="Times New Roman" w:cs="Times New Roman"/>
        </w:rPr>
        <w:t xml:space="preserve"> against $173</w:t>
      </w:r>
      <w:r w:rsidR="00CE17A6">
        <w:rPr>
          <w:rFonts w:ascii="Times New Roman" w:hAnsi="Times New Roman" w:cs="Times New Roman"/>
        </w:rPr>
        <w:t xml:space="preserve"> million (SDR</w:t>
      </w:r>
      <w:r w:rsidR="006857E9" w:rsidRPr="006857E9">
        <w:rPr>
          <w:rFonts w:ascii="Times New Roman" w:hAnsi="Times New Roman" w:cs="Times New Roman"/>
        </w:rPr>
        <w:t>109 million) in last year</w:t>
      </w:r>
      <w:r w:rsidR="00EA78F5">
        <w:rPr>
          <w:rFonts w:ascii="Times New Roman" w:hAnsi="Times New Roman" w:cs="Times New Roman"/>
        </w:rPr>
        <w:t>.</w:t>
      </w:r>
      <w:r w:rsidR="00EA78F5" w:rsidRPr="00EA78F5">
        <w:rPr>
          <w:rFonts w:ascii="Times New Roman" w:hAnsi="Times New Roman" w:cs="Times New Roman"/>
        </w:rPr>
        <w:t xml:space="preserve"> </w:t>
      </w:r>
    </w:p>
    <w:p w:rsidR="00D575A0" w:rsidRDefault="00D575A0" w:rsidP="00D77E59">
      <w:pPr>
        <w:ind w:left="540"/>
        <w:jc w:val="both"/>
        <w:rPr>
          <w:rFonts w:ascii="Times New Roman" w:hAnsi="Times New Roman" w:cs="Times New Roman"/>
        </w:rPr>
      </w:pPr>
    </w:p>
    <w:tbl>
      <w:tblPr>
        <w:tblW w:w="9027" w:type="dxa"/>
        <w:tblInd w:w="93" w:type="dxa"/>
        <w:tblLook w:val="0000"/>
      </w:tblPr>
      <w:tblGrid>
        <w:gridCol w:w="2895"/>
        <w:gridCol w:w="960"/>
        <w:gridCol w:w="1020"/>
        <w:gridCol w:w="236"/>
        <w:gridCol w:w="844"/>
        <w:gridCol w:w="888"/>
        <w:gridCol w:w="12"/>
        <w:gridCol w:w="224"/>
        <w:gridCol w:w="12"/>
        <w:gridCol w:w="856"/>
        <w:gridCol w:w="1080"/>
      </w:tblGrid>
      <w:tr w:rsidR="00D575A0" w:rsidTr="00A93F4F">
        <w:trPr>
          <w:trHeight w:hRule="exact" w:val="360"/>
        </w:trPr>
        <w:tc>
          <w:tcPr>
            <w:tcW w:w="9027" w:type="dxa"/>
            <w:gridSpan w:val="11"/>
            <w:noWrap/>
            <w:vAlign w:val="bottom"/>
          </w:tcPr>
          <w:p w:rsidR="00D575A0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lastRenderedPageBreak/>
              <w:t>Summary Balance of</w:t>
            </w:r>
          </w:p>
        </w:tc>
      </w:tr>
      <w:tr w:rsidR="00D575A0" w:rsidTr="00A93F4F">
        <w:trPr>
          <w:trHeight w:hRule="exact" w:val="360"/>
        </w:trPr>
        <w:tc>
          <w:tcPr>
            <w:tcW w:w="9027" w:type="dxa"/>
            <w:gridSpan w:val="11"/>
            <w:noWrap/>
            <w:vAlign w:val="bottom"/>
          </w:tcPr>
          <w:p w:rsidR="00D575A0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D575A0" w:rsidTr="00A93F4F">
        <w:trPr>
          <w:trHeight w:hRule="exact" w:val="230"/>
        </w:trPr>
        <w:tc>
          <w:tcPr>
            <w:tcW w:w="2895" w:type="dxa"/>
            <w:tcBorders>
              <w:bottom w:val="single" w:sz="12" w:space="0" w:color="auto"/>
            </w:tcBorders>
            <w:noWrap/>
            <w:vAlign w:val="bottom"/>
          </w:tcPr>
          <w:p w:rsidR="00D575A0" w:rsidRDefault="00D575A0" w:rsidP="00A93F4F">
            <w:pPr>
              <w:jc w:val="center"/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0" w:type="dxa"/>
            <w:gridSpan w:val="4"/>
            <w:tcBorders>
              <w:bottom w:val="single" w:sz="12" w:space="0" w:color="auto"/>
            </w:tcBorders>
            <w:noWrap/>
            <w:vAlign w:val="bottom"/>
          </w:tcPr>
          <w:p w:rsidR="00D575A0" w:rsidRDefault="00D575A0" w:rsidP="00A93F4F">
            <w:pPr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</w:p>
        </w:tc>
        <w:tc>
          <w:tcPr>
            <w:tcW w:w="3072" w:type="dxa"/>
            <w:gridSpan w:val="6"/>
            <w:tcBorders>
              <w:bottom w:val="single" w:sz="12" w:space="0" w:color="auto"/>
            </w:tcBorders>
            <w:noWrap/>
            <w:vAlign w:val="bottom"/>
          </w:tcPr>
          <w:p w:rsidR="00D575A0" w:rsidRDefault="00D575A0" w:rsidP="00A93F4F">
            <w:pPr>
              <w:jc w:val="right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</w:p>
        </w:tc>
      </w:tr>
      <w:tr w:rsidR="00D575A0" w:rsidTr="00A93F4F">
        <w:trPr>
          <w:cantSplit/>
          <w:trHeight w:hRule="exact" w:val="230"/>
        </w:trPr>
        <w:tc>
          <w:tcPr>
            <w:tcW w:w="2895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D575A0" w:rsidRDefault="00D575A0" w:rsidP="00A93F4F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4" w:space="0" w:color="auto"/>
            </w:tcBorders>
            <w:noWrap/>
            <w:vAlign w:val="bottom"/>
          </w:tcPr>
          <w:p w:rsidR="00D575A0" w:rsidRDefault="00D575A0" w:rsidP="00A93F4F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236" w:type="dxa"/>
            <w:vAlign w:val="bottom"/>
          </w:tcPr>
          <w:p w:rsidR="00D575A0" w:rsidRDefault="00D575A0" w:rsidP="00A93F4F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3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D575A0" w:rsidRDefault="00D575A0" w:rsidP="00A93F4F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2009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D575A0" w:rsidRDefault="00D575A0" w:rsidP="00A93F4F">
            <w:pPr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8" w:type="dxa"/>
            <w:gridSpan w:val="3"/>
            <w:tcBorders>
              <w:bottom w:val="single" w:sz="4" w:space="0" w:color="auto"/>
            </w:tcBorders>
            <w:vAlign w:val="bottom"/>
          </w:tcPr>
          <w:p w:rsidR="00D575A0" w:rsidRDefault="00D575A0" w:rsidP="00A93F4F">
            <w:pPr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Jul - Jun</w:t>
            </w:r>
          </w:p>
        </w:tc>
      </w:tr>
      <w:tr w:rsidR="00D575A0" w:rsidTr="00A93F4F">
        <w:trPr>
          <w:cantSplit/>
          <w:trHeight w:hRule="exact" w:val="230"/>
        </w:trPr>
        <w:tc>
          <w:tcPr>
            <w:tcW w:w="2895" w:type="dxa"/>
            <w:vMerge/>
            <w:tcBorders>
              <w:bottom w:val="single" w:sz="12" w:space="0" w:color="auto"/>
            </w:tcBorders>
            <w:vAlign w:val="bottom"/>
          </w:tcPr>
          <w:p w:rsidR="00D575A0" w:rsidRDefault="00D575A0" w:rsidP="00A93F4F">
            <w:pPr>
              <w:jc w:val="right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D575A0" w:rsidRDefault="00D575A0" w:rsidP="00A93F4F">
            <w:pPr>
              <w:jc w:val="right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Cs/>
                <w:sz w:val="16"/>
                <w:szCs w:val="16"/>
              </w:rPr>
              <w:t>Jul – Sep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D575A0" w:rsidRDefault="00D575A0" w:rsidP="00A93F4F">
            <w:pPr>
              <w:jc w:val="right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Cs/>
                <w:sz w:val="16"/>
                <w:szCs w:val="16"/>
              </w:rPr>
              <w:t>Oct -  Dec</w:t>
            </w:r>
          </w:p>
        </w:tc>
        <w:tc>
          <w:tcPr>
            <w:tcW w:w="236" w:type="dxa"/>
            <w:noWrap/>
            <w:vAlign w:val="center"/>
          </w:tcPr>
          <w:p w:rsidR="00D575A0" w:rsidRDefault="00D575A0" w:rsidP="00A93F4F">
            <w:pPr>
              <w:jc w:val="right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575A0" w:rsidRDefault="00D575A0" w:rsidP="00A93F4F">
            <w:pPr>
              <w:jc w:val="right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Cs/>
                <w:sz w:val="16"/>
                <w:szCs w:val="16"/>
              </w:rPr>
              <w:t>Jan - Mar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D575A0" w:rsidRDefault="00D575A0" w:rsidP="00A93F4F">
            <w:pPr>
              <w:jc w:val="right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Cs/>
                <w:sz w:val="16"/>
                <w:szCs w:val="16"/>
              </w:rPr>
              <w:t>Apr – Jun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noWrap/>
            <w:vAlign w:val="center"/>
          </w:tcPr>
          <w:p w:rsidR="00D575A0" w:rsidRDefault="00D575A0" w:rsidP="00A93F4F">
            <w:pPr>
              <w:jc w:val="right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  <w:vAlign w:val="center"/>
          </w:tcPr>
          <w:p w:rsidR="00D575A0" w:rsidRDefault="00D575A0" w:rsidP="00A93F4F">
            <w:pPr>
              <w:jc w:val="right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Cs/>
                <w:sz w:val="16"/>
                <w:szCs w:val="16"/>
              </w:rPr>
              <w:t>2008-09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noWrap/>
            <w:vAlign w:val="center"/>
          </w:tcPr>
          <w:p w:rsidR="00D575A0" w:rsidRDefault="00D575A0" w:rsidP="00A93F4F">
            <w:pPr>
              <w:jc w:val="right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Cs/>
                <w:sz w:val="16"/>
                <w:szCs w:val="16"/>
              </w:rPr>
              <w:t>2007-08</w:t>
            </w:r>
          </w:p>
        </w:tc>
      </w:tr>
      <w:tr w:rsidR="00D575A0" w:rsidTr="00A93F4F">
        <w:trPr>
          <w:trHeight w:hRule="exact" w:val="288"/>
        </w:trPr>
        <w:tc>
          <w:tcPr>
            <w:tcW w:w="2895" w:type="dxa"/>
            <w:tcBorders>
              <w:top w:val="single" w:sz="12" w:space="0" w:color="auto"/>
            </w:tcBorders>
            <w:vAlign w:val="bottom"/>
          </w:tcPr>
          <w:p w:rsidR="00D575A0" w:rsidRDefault="00D575A0" w:rsidP="00A93F4F">
            <w:pPr>
              <w:rPr>
                <w:rFonts w:ascii="Calibri" w:eastAsia="Calibri" w:hAnsi="Calibri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  <w:noWrap/>
            <w:vAlign w:val="bottom"/>
          </w:tcPr>
          <w:p w:rsidR="00D575A0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12" w:space="0" w:color="auto"/>
            </w:tcBorders>
            <w:noWrap/>
            <w:vAlign w:val="bottom"/>
          </w:tcPr>
          <w:p w:rsidR="00D575A0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noWrap/>
            <w:vAlign w:val="bottom"/>
          </w:tcPr>
          <w:p w:rsidR="00D575A0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  <w:noWrap/>
            <w:vAlign w:val="bottom"/>
          </w:tcPr>
          <w:p w:rsidR="00D575A0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92" w:type="dxa"/>
            <w:gridSpan w:val="3"/>
            <w:tcBorders>
              <w:top w:val="single" w:sz="12" w:space="0" w:color="auto"/>
            </w:tcBorders>
            <w:noWrap/>
            <w:vAlign w:val="bottom"/>
          </w:tcPr>
          <w:p w:rsidR="00D575A0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noWrap/>
            <w:vAlign w:val="bottom"/>
          </w:tcPr>
          <w:p w:rsidR="00D575A0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</w:pPr>
          </w:p>
        </w:tc>
      </w:tr>
      <w:tr w:rsidR="00D575A0" w:rsidRPr="008E50D9" w:rsidTr="00A93F4F">
        <w:trPr>
          <w:trHeight w:hRule="exact" w:val="288"/>
        </w:trPr>
        <w:tc>
          <w:tcPr>
            <w:tcW w:w="2895" w:type="dxa"/>
            <w:vAlign w:val="bottom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Current Account Balance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-4,213</w:t>
            </w:r>
          </w:p>
        </w:tc>
        <w:tc>
          <w:tcPr>
            <w:tcW w:w="102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-3,625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-545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-878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-9,261</w:t>
            </w:r>
          </w:p>
        </w:tc>
        <w:tc>
          <w:tcPr>
            <w:tcW w:w="108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-13,874</w:t>
            </w:r>
          </w:p>
        </w:tc>
      </w:tr>
      <w:tr w:rsidR="00D575A0" w:rsidRPr="008E50D9" w:rsidTr="00A93F4F">
        <w:trPr>
          <w:trHeight w:hRule="exact" w:val="540"/>
        </w:trPr>
        <w:tc>
          <w:tcPr>
            <w:tcW w:w="2895" w:type="dxa"/>
            <w:shd w:val="clear" w:color="auto" w:fill="FFFFFF"/>
            <w:vAlign w:val="bottom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Current Account Balance without off. transfers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-4,287</w:t>
            </w:r>
          </w:p>
        </w:tc>
        <w:tc>
          <w:tcPr>
            <w:tcW w:w="102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-3,637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-593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-907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-9,424</w:t>
            </w:r>
          </w:p>
        </w:tc>
        <w:tc>
          <w:tcPr>
            <w:tcW w:w="108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-14,302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2895" w:type="dxa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Goods:  Exports f.o.b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5,711</w:t>
            </w:r>
          </w:p>
        </w:tc>
        <w:tc>
          <w:tcPr>
            <w:tcW w:w="102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4,379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4,231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4,800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19,121</w:t>
            </w:r>
          </w:p>
        </w:tc>
        <w:tc>
          <w:tcPr>
            <w:tcW w:w="108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20,427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2895" w:type="dxa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Goods:  Imports f.o.b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10,229</w:t>
            </w:r>
          </w:p>
        </w:tc>
        <w:tc>
          <w:tcPr>
            <w:tcW w:w="102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8,077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6,276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7,165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31,747</w:t>
            </w:r>
          </w:p>
        </w:tc>
        <w:tc>
          <w:tcPr>
            <w:tcW w:w="108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35,397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2895" w:type="dxa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  Trade Balance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-4,519</w:t>
            </w:r>
          </w:p>
        </w:tc>
        <w:tc>
          <w:tcPr>
            <w:tcW w:w="102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-3,698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-2,045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-2,365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-12,627</w:t>
            </w:r>
          </w:p>
        </w:tc>
        <w:tc>
          <w:tcPr>
            <w:tcW w:w="108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-14,970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2895" w:type="dxa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Services:  Credit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1,133</w:t>
            </w:r>
          </w:p>
        </w:tc>
        <w:tc>
          <w:tcPr>
            <w:tcW w:w="102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941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777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1,255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4,106</w:t>
            </w:r>
          </w:p>
        </w:tc>
        <w:tc>
          <w:tcPr>
            <w:tcW w:w="108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3,589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2895" w:type="dxa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Services:  Debit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2,392</w:t>
            </w:r>
          </w:p>
        </w:tc>
        <w:tc>
          <w:tcPr>
            <w:tcW w:w="102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2,021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1,389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1,685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7,487</w:t>
            </w:r>
          </w:p>
        </w:tc>
        <w:tc>
          <w:tcPr>
            <w:tcW w:w="108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10,046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  Balance on Goods &amp; Services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-5,778</w:t>
            </w:r>
          </w:p>
        </w:tc>
        <w:tc>
          <w:tcPr>
            <w:tcW w:w="102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-4,778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-2,657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-2,795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-16,008</w:t>
            </w:r>
          </w:p>
        </w:tc>
        <w:tc>
          <w:tcPr>
            <w:tcW w:w="108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-21,427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Income:  Credit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210</w:t>
            </w:r>
          </w:p>
        </w:tc>
        <w:tc>
          <w:tcPr>
            <w:tcW w:w="102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298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185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181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874</w:t>
            </w:r>
          </w:p>
        </w:tc>
        <w:tc>
          <w:tcPr>
            <w:tcW w:w="108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1,613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2895" w:type="dxa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Income:  Debit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1,335</w:t>
            </w:r>
          </w:p>
        </w:tc>
        <w:tc>
          <w:tcPr>
            <w:tcW w:w="102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1,558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1,152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1,236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5,281</w:t>
            </w:r>
          </w:p>
        </w:tc>
        <w:tc>
          <w:tcPr>
            <w:tcW w:w="108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5,536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2895" w:type="dxa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     Of which : Interest payments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440</w:t>
            </w:r>
          </w:p>
        </w:tc>
        <w:tc>
          <w:tcPr>
            <w:tcW w:w="102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656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384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435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1,915</w:t>
            </w:r>
          </w:p>
        </w:tc>
        <w:tc>
          <w:tcPr>
            <w:tcW w:w="108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2,175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2895" w:type="dxa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                        Profit &amp; Dividend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221</w:t>
            </w:r>
          </w:p>
        </w:tc>
        <w:tc>
          <w:tcPr>
            <w:tcW w:w="102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221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121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194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757</w:t>
            </w:r>
          </w:p>
        </w:tc>
        <w:tc>
          <w:tcPr>
            <w:tcW w:w="108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921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  Balance on Gds &amp; Serv. &amp; Inc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-6,903</w:t>
            </w:r>
          </w:p>
        </w:tc>
        <w:tc>
          <w:tcPr>
            <w:tcW w:w="102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-6,038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-3,624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-3,850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-20,415</w:t>
            </w:r>
          </w:p>
        </w:tc>
        <w:tc>
          <w:tcPr>
            <w:tcW w:w="108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-25,350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2895" w:type="dxa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 xml:space="preserve">   Current Transfers.: Credit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2,708</w:t>
            </w:r>
          </w:p>
        </w:tc>
        <w:tc>
          <w:tcPr>
            <w:tcW w:w="102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2,457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3,110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2,981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11,256</w:t>
            </w:r>
          </w:p>
        </w:tc>
        <w:tc>
          <w:tcPr>
            <w:tcW w:w="108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11,618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2895" w:type="dxa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Of which: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D575A0" w:rsidRPr="008E50D9" w:rsidTr="00A93F4F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                Workers' Remittances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1,879</w:t>
            </w:r>
          </w:p>
        </w:tc>
        <w:tc>
          <w:tcPr>
            <w:tcW w:w="102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1,761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2,018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2,153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7,811</w:t>
            </w:r>
          </w:p>
        </w:tc>
        <w:tc>
          <w:tcPr>
            <w:tcW w:w="108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6,451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                 FCAs Residents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-27</w:t>
            </w:r>
          </w:p>
        </w:tc>
        <w:tc>
          <w:tcPr>
            <w:tcW w:w="102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-185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-7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-52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-271</w:t>
            </w:r>
          </w:p>
        </w:tc>
        <w:tc>
          <w:tcPr>
            <w:tcW w:w="108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444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                 Saudi Oil Facility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102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0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Current Transfers :Debit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18</w:t>
            </w:r>
          </w:p>
        </w:tc>
        <w:tc>
          <w:tcPr>
            <w:tcW w:w="102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44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31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9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102</w:t>
            </w:r>
          </w:p>
        </w:tc>
        <w:tc>
          <w:tcPr>
            <w:tcW w:w="108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142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 xml:space="preserve">Capital Account, 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28</w:t>
            </w:r>
          </w:p>
        </w:tc>
        <w:tc>
          <w:tcPr>
            <w:tcW w:w="102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44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66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317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455</w:t>
            </w:r>
          </w:p>
        </w:tc>
        <w:tc>
          <w:tcPr>
            <w:tcW w:w="108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121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Capital Account, : Credit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28</w:t>
            </w:r>
          </w:p>
        </w:tc>
        <w:tc>
          <w:tcPr>
            <w:tcW w:w="102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48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66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318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460</w:t>
            </w:r>
          </w:p>
        </w:tc>
        <w:tc>
          <w:tcPr>
            <w:tcW w:w="108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128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                Project Grants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24</w:t>
            </w:r>
          </w:p>
        </w:tc>
        <w:tc>
          <w:tcPr>
            <w:tcW w:w="102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23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64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316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427</w:t>
            </w:r>
          </w:p>
        </w:tc>
        <w:tc>
          <w:tcPr>
            <w:tcW w:w="108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111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                Debt Forgiveness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0</w:t>
            </w:r>
          </w:p>
        </w:tc>
        <w:tc>
          <w:tcPr>
            <w:tcW w:w="102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0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0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0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                Others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4</w:t>
            </w:r>
          </w:p>
        </w:tc>
        <w:tc>
          <w:tcPr>
            <w:tcW w:w="102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25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2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2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33</w:t>
            </w:r>
          </w:p>
        </w:tc>
        <w:tc>
          <w:tcPr>
            <w:tcW w:w="108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17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Capital Account... Debit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0</w:t>
            </w:r>
          </w:p>
        </w:tc>
        <w:tc>
          <w:tcPr>
            <w:tcW w:w="102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4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0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5</w:t>
            </w:r>
          </w:p>
        </w:tc>
        <w:tc>
          <w:tcPr>
            <w:tcW w:w="108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7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Financial Account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1,331</w:t>
            </w:r>
          </w:p>
        </w:tc>
        <w:tc>
          <w:tcPr>
            <w:tcW w:w="102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1,692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1,260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1,349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5,632</w:t>
            </w:r>
          </w:p>
        </w:tc>
        <w:tc>
          <w:tcPr>
            <w:tcW w:w="108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8,131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Direct Investment Abroad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-6</w:t>
            </w:r>
          </w:p>
        </w:tc>
        <w:tc>
          <w:tcPr>
            <w:tcW w:w="102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-2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-3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-14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-25</w:t>
            </w:r>
          </w:p>
        </w:tc>
        <w:tc>
          <w:tcPr>
            <w:tcW w:w="108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-75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2895" w:type="dxa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Dir. Invest. In Rep. Econ.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1,117</w:t>
            </w:r>
          </w:p>
        </w:tc>
        <w:tc>
          <w:tcPr>
            <w:tcW w:w="102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1,234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691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678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3,720</w:t>
            </w:r>
          </w:p>
        </w:tc>
        <w:tc>
          <w:tcPr>
            <w:tcW w:w="108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5,410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2895" w:type="dxa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Portfolio Investment Assets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-10</w:t>
            </w:r>
          </w:p>
        </w:tc>
        <w:tc>
          <w:tcPr>
            <w:tcW w:w="102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-15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8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-24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-41</w:t>
            </w:r>
          </w:p>
        </w:tc>
        <w:tc>
          <w:tcPr>
            <w:tcW w:w="108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-5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2895" w:type="dxa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 Equity Securities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-10</w:t>
            </w:r>
          </w:p>
        </w:tc>
        <w:tc>
          <w:tcPr>
            <w:tcW w:w="102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-15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8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-24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-41</w:t>
            </w:r>
          </w:p>
        </w:tc>
        <w:tc>
          <w:tcPr>
            <w:tcW w:w="108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-5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2895" w:type="dxa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 Debt Securities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0</w:t>
            </w:r>
          </w:p>
        </w:tc>
        <w:tc>
          <w:tcPr>
            <w:tcW w:w="102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0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0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0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2895" w:type="dxa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Portfolio Investment Liab.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-174</w:t>
            </w:r>
          </w:p>
        </w:tc>
        <w:tc>
          <w:tcPr>
            <w:tcW w:w="102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-4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-758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-96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-1,032</w:t>
            </w:r>
          </w:p>
        </w:tc>
        <w:tc>
          <w:tcPr>
            <w:tcW w:w="108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37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2895" w:type="dxa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 Equity Securities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-171</w:t>
            </w:r>
          </w:p>
        </w:tc>
        <w:tc>
          <w:tcPr>
            <w:tcW w:w="102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7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-254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-93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-511</w:t>
            </w:r>
          </w:p>
        </w:tc>
        <w:tc>
          <w:tcPr>
            <w:tcW w:w="108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20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2895" w:type="dxa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 Debt Securities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-3</w:t>
            </w:r>
          </w:p>
        </w:tc>
        <w:tc>
          <w:tcPr>
            <w:tcW w:w="102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-11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-504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-3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-521</w:t>
            </w:r>
          </w:p>
        </w:tc>
        <w:tc>
          <w:tcPr>
            <w:tcW w:w="108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17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2895" w:type="dxa"/>
            <w:shd w:val="clear" w:color="auto" w:fill="FFFFFF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Financial Derivatives Assets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0</w:t>
            </w:r>
          </w:p>
        </w:tc>
        <w:tc>
          <w:tcPr>
            <w:tcW w:w="102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0</w:t>
            </w:r>
          </w:p>
        </w:tc>
        <w:tc>
          <w:tcPr>
            <w:tcW w:w="90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0</w:t>
            </w:r>
          </w:p>
        </w:tc>
        <w:tc>
          <w:tcPr>
            <w:tcW w:w="1092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0</w:t>
            </w:r>
          </w:p>
        </w:tc>
        <w:tc>
          <w:tcPr>
            <w:tcW w:w="108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0</w:t>
            </w:r>
          </w:p>
        </w:tc>
      </w:tr>
      <w:tr w:rsidR="00D575A0" w:rsidRPr="008E50D9" w:rsidTr="00A93F4F">
        <w:trPr>
          <w:trHeight w:val="135"/>
        </w:trPr>
        <w:tc>
          <w:tcPr>
            <w:tcW w:w="289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D575A0" w:rsidRPr="008E50D9" w:rsidRDefault="00D575A0" w:rsidP="00A93F4F">
            <w:pPr>
              <w:ind w:left="747" w:hanging="840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  <w:noWrap/>
            <w:vAlign w:val="center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020" w:type="dxa"/>
            <w:tcBorders>
              <w:bottom w:val="single" w:sz="12" w:space="0" w:color="auto"/>
            </w:tcBorders>
            <w:noWrap/>
            <w:vAlign w:val="center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  <w:noWrap/>
            <w:vAlign w:val="center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gridSpan w:val="2"/>
            <w:tcBorders>
              <w:bottom w:val="single" w:sz="12" w:space="0" w:color="auto"/>
            </w:tcBorders>
            <w:noWrap/>
            <w:vAlign w:val="center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092" w:type="dxa"/>
            <w:gridSpan w:val="3"/>
            <w:tcBorders>
              <w:bottom w:val="single" w:sz="12" w:space="0" w:color="auto"/>
            </w:tcBorders>
            <w:noWrap/>
            <w:vAlign w:val="center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noWrap/>
            <w:vAlign w:val="center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color w:val="000000"/>
                <w:sz w:val="15"/>
                <w:szCs w:val="15"/>
              </w:rPr>
            </w:pPr>
          </w:p>
        </w:tc>
      </w:tr>
    </w:tbl>
    <w:p w:rsidR="00D575A0" w:rsidRDefault="00D575A0" w:rsidP="00D77E59">
      <w:pPr>
        <w:ind w:left="540"/>
        <w:jc w:val="both"/>
        <w:rPr>
          <w:rFonts w:ascii="Times New Roman" w:hAnsi="Times New Roman" w:cs="Times New Roman"/>
        </w:rPr>
      </w:pPr>
    </w:p>
    <w:tbl>
      <w:tblPr>
        <w:tblW w:w="8809" w:type="dxa"/>
        <w:tblInd w:w="93" w:type="dxa"/>
        <w:tblLook w:val="0000"/>
      </w:tblPr>
      <w:tblGrid>
        <w:gridCol w:w="3075"/>
        <w:gridCol w:w="960"/>
        <w:gridCol w:w="536"/>
        <w:gridCol w:w="304"/>
        <w:gridCol w:w="236"/>
        <w:gridCol w:w="844"/>
        <w:gridCol w:w="900"/>
        <w:gridCol w:w="239"/>
        <w:gridCol w:w="109"/>
        <w:gridCol w:w="732"/>
        <w:gridCol w:w="874"/>
      </w:tblGrid>
      <w:tr w:rsidR="00D575A0" w:rsidRPr="008E50D9" w:rsidTr="00A93F4F">
        <w:trPr>
          <w:trHeight w:hRule="exact" w:val="360"/>
        </w:trPr>
        <w:tc>
          <w:tcPr>
            <w:tcW w:w="8809" w:type="dxa"/>
            <w:gridSpan w:val="11"/>
            <w:noWrap/>
            <w:vAlign w:val="bottom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E50D9">
              <w:rPr>
                <w:rFonts w:ascii="Calibri" w:eastAsia="Calibri" w:hAnsi="Calibri" w:cs="Times New Roman"/>
                <w:color w:val="000000"/>
              </w:rPr>
              <w:lastRenderedPageBreak/>
              <w:br w:type="page"/>
            </w: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t>Payments –Overall</w:t>
            </w:r>
          </w:p>
        </w:tc>
      </w:tr>
      <w:tr w:rsidR="00D575A0" w:rsidRPr="008E50D9" w:rsidTr="00A93F4F">
        <w:trPr>
          <w:trHeight w:hRule="exact" w:val="360"/>
        </w:trPr>
        <w:tc>
          <w:tcPr>
            <w:tcW w:w="8809" w:type="dxa"/>
            <w:gridSpan w:val="11"/>
            <w:noWrap/>
            <w:vAlign w:val="bottom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D575A0" w:rsidRPr="008E50D9" w:rsidTr="00A93F4F">
        <w:trPr>
          <w:trHeight w:hRule="exact" w:val="230"/>
        </w:trPr>
        <w:tc>
          <w:tcPr>
            <w:tcW w:w="4571" w:type="dxa"/>
            <w:gridSpan w:val="3"/>
            <w:tcBorders>
              <w:bottom w:val="single" w:sz="12" w:space="0" w:color="auto"/>
            </w:tcBorders>
            <w:noWrap/>
            <w:vAlign w:val="bottom"/>
          </w:tcPr>
          <w:p w:rsidR="00D575A0" w:rsidRPr="008E50D9" w:rsidRDefault="00D575A0" w:rsidP="00A93F4F">
            <w:pPr>
              <w:jc w:val="center"/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2" w:type="dxa"/>
            <w:gridSpan w:val="6"/>
            <w:tcBorders>
              <w:bottom w:val="single" w:sz="12" w:space="0" w:color="auto"/>
            </w:tcBorders>
            <w:noWrap/>
            <w:vAlign w:val="bottom"/>
          </w:tcPr>
          <w:p w:rsidR="00D575A0" w:rsidRPr="008E50D9" w:rsidRDefault="00D575A0" w:rsidP="00A93F4F">
            <w:pPr>
              <w:jc w:val="center"/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gridSpan w:val="2"/>
            <w:tcBorders>
              <w:bottom w:val="single" w:sz="12" w:space="0" w:color="auto"/>
            </w:tcBorders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  <w:t>(Million US Dollars)</w:t>
            </w:r>
          </w:p>
        </w:tc>
      </w:tr>
      <w:tr w:rsidR="00D575A0" w:rsidRPr="008E50D9" w:rsidTr="00A93F4F">
        <w:trPr>
          <w:cantSplit/>
          <w:trHeight w:hRule="exact" w:val="230"/>
        </w:trPr>
        <w:tc>
          <w:tcPr>
            <w:tcW w:w="3075" w:type="dxa"/>
            <w:vMerge w:val="restart"/>
            <w:tcBorders>
              <w:bottom w:val="single" w:sz="12" w:space="0" w:color="auto"/>
            </w:tcBorders>
            <w:noWrap/>
            <w:vAlign w:val="center"/>
          </w:tcPr>
          <w:p w:rsidR="00D575A0" w:rsidRPr="008E50D9" w:rsidRDefault="00D575A0" w:rsidP="00A93F4F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bottom w:val="single" w:sz="4" w:space="0" w:color="auto"/>
            </w:tcBorders>
            <w:noWrap/>
            <w:vAlign w:val="bottom"/>
          </w:tcPr>
          <w:p w:rsidR="00D575A0" w:rsidRPr="008E50D9" w:rsidRDefault="00D575A0" w:rsidP="00A93F4F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236" w:type="dxa"/>
            <w:noWrap/>
            <w:vAlign w:val="bottom"/>
          </w:tcPr>
          <w:p w:rsidR="00D575A0" w:rsidRPr="008E50D9" w:rsidRDefault="00D575A0" w:rsidP="00A93F4F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D575A0" w:rsidRPr="008E50D9" w:rsidRDefault="00D575A0" w:rsidP="00A93F4F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239" w:type="dxa"/>
            <w:tcBorders>
              <w:top w:val="single" w:sz="12" w:space="0" w:color="auto"/>
            </w:tcBorders>
            <w:vAlign w:val="bottom"/>
          </w:tcPr>
          <w:p w:rsidR="00D575A0" w:rsidRPr="008E50D9" w:rsidRDefault="00D575A0" w:rsidP="00A93F4F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D575A0" w:rsidRPr="008E50D9" w:rsidRDefault="00D575A0" w:rsidP="00A93F4F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Jul – Jun</w:t>
            </w:r>
          </w:p>
        </w:tc>
      </w:tr>
      <w:tr w:rsidR="00D575A0" w:rsidRPr="008E50D9" w:rsidTr="00A93F4F">
        <w:trPr>
          <w:cantSplit/>
          <w:trHeight w:hRule="exact" w:val="230"/>
        </w:trPr>
        <w:tc>
          <w:tcPr>
            <w:tcW w:w="3075" w:type="dxa"/>
            <w:vMerge/>
            <w:tcBorders>
              <w:bottom w:val="single" w:sz="12" w:space="0" w:color="auto"/>
            </w:tcBorders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  <w:t>Jul – Sep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  <w:t>Oct - Dec  Dec</w:t>
            </w:r>
          </w:p>
        </w:tc>
        <w:tc>
          <w:tcPr>
            <w:tcW w:w="236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  <w:t>Jan-Mar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  <w:t>Apr – Jun</w:t>
            </w:r>
          </w:p>
        </w:tc>
        <w:tc>
          <w:tcPr>
            <w:tcW w:w="239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  <w:t>2008-09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</w:rPr>
              <w:t>2007-08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3075" w:type="dxa"/>
            <w:tcBorders>
              <w:top w:val="single" w:sz="12" w:space="0" w:color="auto"/>
            </w:tcBorders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single" w:sz="12" w:space="0" w:color="auto"/>
            </w:tcBorders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</w:tcBorders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tcBorders>
              <w:top w:val="single" w:sz="12" w:space="0" w:color="auto"/>
            </w:tcBorders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single" w:sz="12" w:space="0" w:color="auto"/>
            </w:tcBorders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575A0" w:rsidRPr="008E50D9" w:rsidTr="00A93F4F">
        <w:trPr>
          <w:trHeight w:hRule="exact" w:val="288"/>
        </w:trPr>
        <w:tc>
          <w:tcPr>
            <w:tcW w:w="3075" w:type="dxa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Financial Derivatives Liabilities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0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0</w:t>
            </w:r>
          </w:p>
        </w:tc>
        <w:tc>
          <w:tcPr>
            <w:tcW w:w="90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0</w:t>
            </w:r>
          </w:p>
        </w:tc>
        <w:tc>
          <w:tcPr>
            <w:tcW w:w="874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0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3075" w:type="dxa"/>
            <w:shd w:val="clear" w:color="auto" w:fill="FFFFFF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Other Investment Assets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448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-30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174</w:t>
            </w:r>
          </w:p>
        </w:tc>
        <w:tc>
          <w:tcPr>
            <w:tcW w:w="90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-32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560</w:t>
            </w:r>
          </w:p>
        </w:tc>
        <w:tc>
          <w:tcPr>
            <w:tcW w:w="874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32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3075" w:type="dxa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Monetary Authorities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0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0</w:t>
            </w:r>
          </w:p>
        </w:tc>
        <w:tc>
          <w:tcPr>
            <w:tcW w:w="90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0</w:t>
            </w:r>
          </w:p>
        </w:tc>
        <w:tc>
          <w:tcPr>
            <w:tcW w:w="874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0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3075" w:type="dxa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General Government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-1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3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3</w:t>
            </w:r>
          </w:p>
        </w:tc>
        <w:tc>
          <w:tcPr>
            <w:tcW w:w="90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3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8</w:t>
            </w:r>
          </w:p>
        </w:tc>
        <w:tc>
          <w:tcPr>
            <w:tcW w:w="874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5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3075" w:type="dxa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Banks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457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-224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93</w:t>
            </w:r>
          </w:p>
        </w:tc>
        <w:tc>
          <w:tcPr>
            <w:tcW w:w="90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20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346</w:t>
            </w:r>
          </w:p>
        </w:tc>
        <w:tc>
          <w:tcPr>
            <w:tcW w:w="874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525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3075" w:type="dxa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Other Sector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-8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191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78</w:t>
            </w:r>
          </w:p>
        </w:tc>
        <w:tc>
          <w:tcPr>
            <w:tcW w:w="90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-55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206</w:t>
            </w:r>
          </w:p>
        </w:tc>
        <w:tc>
          <w:tcPr>
            <w:tcW w:w="874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-498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3075" w:type="dxa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Other Investment Liab.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-44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509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1,148</w:t>
            </w:r>
          </w:p>
        </w:tc>
        <w:tc>
          <w:tcPr>
            <w:tcW w:w="90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837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2,450</w:t>
            </w:r>
          </w:p>
        </w:tc>
        <w:tc>
          <w:tcPr>
            <w:tcW w:w="874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2,732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3075" w:type="dxa"/>
            <w:shd w:val="clear" w:color="auto" w:fill="FFFFFF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Monetary Authorities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0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-1</w:t>
            </w:r>
          </w:p>
        </w:tc>
        <w:tc>
          <w:tcPr>
            <w:tcW w:w="90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-1</w:t>
            </w:r>
          </w:p>
        </w:tc>
        <w:tc>
          <w:tcPr>
            <w:tcW w:w="874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490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3075" w:type="dxa"/>
            <w:shd w:val="clear" w:color="auto" w:fill="FFFFFF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General Government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5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196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1,087</w:t>
            </w:r>
          </w:p>
        </w:tc>
        <w:tc>
          <w:tcPr>
            <w:tcW w:w="90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660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1,948</w:t>
            </w:r>
          </w:p>
        </w:tc>
        <w:tc>
          <w:tcPr>
            <w:tcW w:w="874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1,761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3075" w:type="dxa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Disbursements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715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1,011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883</w:t>
            </w:r>
          </w:p>
        </w:tc>
        <w:tc>
          <w:tcPr>
            <w:tcW w:w="90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1,081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3,690</w:t>
            </w:r>
          </w:p>
        </w:tc>
        <w:tc>
          <w:tcPr>
            <w:tcW w:w="874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3,054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3075" w:type="dxa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Long-term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715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410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795</w:t>
            </w:r>
          </w:p>
        </w:tc>
        <w:tc>
          <w:tcPr>
            <w:tcW w:w="90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1,036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2,956</w:t>
            </w:r>
          </w:p>
        </w:tc>
        <w:tc>
          <w:tcPr>
            <w:tcW w:w="874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2,354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3075" w:type="dxa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   Project loans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222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187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162</w:t>
            </w:r>
          </w:p>
        </w:tc>
        <w:tc>
          <w:tcPr>
            <w:tcW w:w="90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270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841</w:t>
            </w:r>
          </w:p>
        </w:tc>
        <w:tc>
          <w:tcPr>
            <w:tcW w:w="874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1,250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3075" w:type="dxa"/>
            <w:shd w:val="clear" w:color="auto" w:fill="FFFFFF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   Food loans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90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74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0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3075" w:type="dxa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   Program loans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493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223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633</w:t>
            </w:r>
          </w:p>
        </w:tc>
        <w:tc>
          <w:tcPr>
            <w:tcW w:w="90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766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2,115</w:t>
            </w:r>
          </w:p>
        </w:tc>
        <w:tc>
          <w:tcPr>
            <w:tcW w:w="874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1,104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3075" w:type="dxa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Short-term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0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601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88</w:t>
            </w:r>
          </w:p>
        </w:tc>
        <w:tc>
          <w:tcPr>
            <w:tcW w:w="90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45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734</w:t>
            </w:r>
          </w:p>
        </w:tc>
        <w:tc>
          <w:tcPr>
            <w:tcW w:w="874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700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3075" w:type="dxa"/>
            <w:shd w:val="clear" w:color="auto" w:fill="FFFFFF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   Commercial loans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0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50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0</w:t>
            </w:r>
          </w:p>
        </w:tc>
        <w:tc>
          <w:tcPr>
            <w:tcW w:w="90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50</w:t>
            </w:r>
          </w:p>
        </w:tc>
        <w:tc>
          <w:tcPr>
            <w:tcW w:w="874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0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3075" w:type="dxa"/>
            <w:shd w:val="clear" w:color="auto" w:fill="FFFFFF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   IDB loans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0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551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88</w:t>
            </w:r>
          </w:p>
        </w:tc>
        <w:tc>
          <w:tcPr>
            <w:tcW w:w="90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45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684</w:t>
            </w:r>
          </w:p>
        </w:tc>
        <w:tc>
          <w:tcPr>
            <w:tcW w:w="874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700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3075" w:type="dxa"/>
            <w:shd w:val="clear" w:color="auto" w:fill="FFFFFF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Amortization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687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815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322</w:t>
            </w:r>
          </w:p>
        </w:tc>
        <w:tc>
          <w:tcPr>
            <w:tcW w:w="90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422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2,246</w:t>
            </w:r>
          </w:p>
        </w:tc>
        <w:tc>
          <w:tcPr>
            <w:tcW w:w="874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1,272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3075" w:type="dxa"/>
            <w:shd w:val="clear" w:color="auto" w:fill="FFFFFF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Long-term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525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273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269</w:t>
            </w:r>
          </w:p>
        </w:tc>
        <w:tc>
          <w:tcPr>
            <w:tcW w:w="90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322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1,389</w:t>
            </w:r>
          </w:p>
        </w:tc>
        <w:tc>
          <w:tcPr>
            <w:tcW w:w="874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1,131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3075" w:type="dxa"/>
            <w:shd w:val="clear" w:color="auto" w:fill="FFFFFF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Short-term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162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542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53</w:t>
            </w:r>
          </w:p>
        </w:tc>
        <w:tc>
          <w:tcPr>
            <w:tcW w:w="90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100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857</w:t>
            </w:r>
          </w:p>
        </w:tc>
        <w:tc>
          <w:tcPr>
            <w:tcW w:w="874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141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3075" w:type="dxa"/>
            <w:shd w:val="clear" w:color="auto" w:fill="FFFFFF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Other Liabilities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-23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526</w:t>
            </w:r>
          </w:p>
        </w:tc>
        <w:tc>
          <w:tcPr>
            <w:tcW w:w="90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504</w:t>
            </w:r>
          </w:p>
        </w:tc>
        <w:tc>
          <w:tcPr>
            <w:tcW w:w="874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-21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3075" w:type="dxa"/>
            <w:shd w:val="clear" w:color="auto" w:fill="FFFFFF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Banks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244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63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-110</w:t>
            </w:r>
          </w:p>
        </w:tc>
        <w:tc>
          <w:tcPr>
            <w:tcW w:w="90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94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291</w:t>
            </w:r>
          </w:p>
        </w:tc>
        <w:tc>
          <w:tcPr>
            <w:tcW w:w="874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66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3075" w:type="dxa"/>
            <w:shd w:val="clear" w:color="auto" w:fill="FFFFFF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  Other Sector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-293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250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172</w:t>
            </w:r>
          </w:p>
        </w:tc>
        <w:tc>
          <w:tcPr>
            <w:tcW w:w="90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83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212</w:t>
            </w:r>
          </w:p>
        </w:tc>
        <w:tc>
          <w:tcPr>
            <w:tcW w:w="874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415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3075" w:type="dxa"/>
            <w:shd w:val="clear" w:color="auto" w:fill="FFFFFF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Disbursements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145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409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313</w:t>
            </w:r>
          </w:p>
        </w:tc>
        <w:tc>
          <w:tcPr>
            <w:tcW w:w="90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197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1,064</w:t>
            </w:r>
          </w:p>
        </w:tc>
        <w:tc>
          <w:tcPr>
            <w:tcW w:w="874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1,027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3075" w:type="dxa"/>
            <w:shd w:val="clear" w:color="auto" w:fill="FFFFFF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Amortization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112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103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131</w:t>
            </w:r>
          </w:p>
        </w:tc>
        <w:tc>
          <w:tcPr>
            <w:tcW w:w="90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116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462</w:t>
            </w:r>
          </w:p>
        </w:tc>
        <w:tc>
          <w:tcPr>
            <w:tcW w:w="874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334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3075" w:type="dxa"/>
            <w:shd w:val="clear" w:color="auto" w:fill="FFFFFF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Other Liabilities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-326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-56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-10</w:t>
            </w:r>
          </w:p>
        </w:tc>
        <w:tc>
          <w:tcPr>
            <w:tcW w:w="90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2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-390</w:t>
            </w:r>
          </w:p>
        </w:tc>
        <w:tc>
          <w:tcPr>
            <w:tcW w:w="874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-278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3075" w:type="dxa"/>
            <w:shd w:val="clear" w:color="auto" w:fill="FFFFFF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Net Errors and Omissions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-238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226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-17</w:t>
            </w:r>
          </w:p>
        </w:tc>
        <w:tc>
          <w:tcPr>
            <w:tcW w:w="90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146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118</w:t>
            </w:r>
          </w:p>
        </w:tc>
        <w:tc>
          <w:tcPr>
            <w:tcW w:w="874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257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3075" w:type="dxa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 xml:space="preserve">       Overall Balance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-3,091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-1,663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764</w:t>
            </w:r>
          </w:p>
        </w:tc>
        <w:tc>
          <w:tcPr>
            <w:tcW w:w="90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934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-3,056</w:t>
            </w:r>
          </w:p>
        </w:tc>
        <w:tc>
          <w:tcPr>
            <w:tcW w:w="874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-5,365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3075" w:type="dxa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Reserves and Related Items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3,091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1,663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-764</w:t>
            </w:r>
          </w:p>
        </w:tc>
        <w:tc>
          <w:tcPr>
            <w:tcW w:w="90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-934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3,056</w:t>
            </w:r>
          </w:p>
        </w:tc>
        <w:tc>
          <w:tcPr>
            <w:tcW w:w="874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5,365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3075" w:type="dxa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Reserve Assets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3,227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-1,429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-730</w:t>
            </w:r>
          </w:p>
        </w:tc>
        <w:tc>
          <w:tcPr>
            <w:tcW w:w="90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-1,703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-635</w:t>
            </w:r>
          </w:p>
        </w:tc>
        <w:tc>
          <w:tcPr>
            <w:tcW w:w="874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5,538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3075" w:type="dxa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 Use of Fund Credit and Loans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-36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2,992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-34</w:t>
            </w:r>
          </w:p>
        </w:tc>
        <w:tc>
          <w:tcPr>
            <w:tcW w:w="90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769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3,691</w:t>
            </w:r>
          </w:p>
        </w:tc>
        <w:tc>
          <w:tcPr>
            <w:tcW w:w="874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-173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3075" w:type="dxa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Purchases / 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0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3,050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0</w:t>
            </w:r>
          </w:p>
        </w:tc>
        <w:tc>
          <w:tcPr>
            <w:tcW w:w="90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852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3,902</w:t>
            </w:r>
          </w:p>
        </w:tc>
        <w:tc>
          <w:tcPr>
            <w:tcW w:w="874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0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3075" w:type="dxa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Repurchases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36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58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34</w:t>
            </w:r>
          </w:p>
        </w:tc>
        <w:tc>
          <w:tcPr>
            <w:tcW w:w="90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83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211</w:t>
            </w:r>
          </w:p>
        </w:tc>
        <w:tc>
          <w:tcPr>
            <w:tcW w:w="874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173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3075" w:type="dxa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Exceptional Financing</w:t>
            </w: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-100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100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0</w:t>
            </w:r>
          </w:p>
        </w:tc>
        <w:tc>
          <w:tcPr>
            <w:tcW w:w="90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0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0</w:t>
            </w:r>
          </w:p>
        </w:tc>
        <w:tc>
          <w:tcPr>
            <w:tcW w:w="874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0</w:t>
            </w:r>
          </w:p>
        </w:tc>
      </w:tr>
      <w:tr w:rsidR="00D575A0" w:rsidRPr="008E50D9" w:rsidTr="00A93F4F">
        <w:trPr>
          <w:trHeight w:hRule="exact" w:val="288"/>
        </w:trPr>
        <w:tc>
          <w:tcPr>
            <w:tcW w:w="3075" w:type="dxa"/>
            <w:shd w:val="clear" w:color="auto" w:fill="FFFFFF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84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874" w:type="dxa"/>
            <w:noWrap/>
            <w:vAlign w:val="bottom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D575A0" w:rsidRPr="008E50D9" w:rsidTr="00A93F4F">
        <w:trPr>
          <w:trHeight w:hRule="exact" w:val="288"/>
        </w:trPr>
        <w:tc>
          <w:tcPr>
            <w:tcW w:w="3075" w:type="dxa"/>
            <w:vAlign w:val="center"/>
          </w:tcPr>
          <w:p w:rsidR="00D575A0" w:rsidRPr="008E50D9" w:rsidRDefault="00D575A0" w:rsidP="00A93F4F">
            <w:pPr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E50D9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SBP Reserves</w:t>
            </w:r>
          </w:p>
          <w:p w:rsidR="00D575A0" w:rsidRPr="008E50D9" w:rsidRDefault="00D575A0" w:rsidP="00A93F4F">
            <w:pPr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6,286</w:t>
            </w:r>
          </w:p>
        </w:tc>
        <w:tc>
          <w:tcPr>
            <w:tcW w:w="84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7,833</w:t>
            </w:r>
          </w:p>
        </w:tc>
        <w:tc>
          <w:tcPr>
            <w:tcW w:w="1080" w:type="dxa"/>
            <w:gridSpan w:val="2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8,453</w:t>
            </w:r>
          </w:p>
        </w:tc>
        <w:tc>
          <w:tcPr>
            <w:tcW w:w="900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10,257</w:t>
            </w:r>
          </w:p>
        </w:tc>
        <w:tc>
          <w:tcPr>
            <w:tcW w:w="1080" w:type="dxa"/>
            <w:gridSpan w:val="3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15"/>
                <w:szCs w:val="15"/>
              </w:rPr>
              <w:t>10,257</w:t>
            </w:r>
          </w:p>
        </w:tc>
        <w:tc>
          <w:tcPr>
            <w:tcW w:w="874" w:type="dxa"/>
            <w:noWrap/>
            <w:vAlign w:val="bottom"/>
          </w:tcPr>
          <w:p w:rsidR="00D575A0" w:rsidRPr="008E50D9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15"/>
                <w:szCs w:val="15"/>
              </w:rPr>
              <w:t>9,539</w:t>
            </w:r>
          </w:p>
        </w:tc>
      </w:tr>
      <w:tr w:rsidR="00D575A0" w:rsidTr="00A93F4F">
        <w:trPr>
          <w:trHeight w:hRule="exact" w:val="288"/>
        </w:trPr>
        <w:tc>
          <w:tcPr>
            <w:tcW w:w="3075" w:type="dxa"/>
            <w:tcBorders>
              <w:bottom w:val="single" w:sz="12" w:space="0" w:color="auto"/>
            </w:tcBorders>
            <w:shd w:val="clear" w:color="auto" w:fill="FFFFFF"/>
            <w:vAlign w:val="bottom"/>
          </w:tcPr>
          <w:p w:rsidR="00D575A0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  <w:noWrap/>
            <w:vAlign w:val="bottom"/>
          </w:tcPr>
          <w:p w:rsidR="00D575A0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  <w:noWrap/>
            <w:vAlign w:val="bottom"/>
          </w:tcPr>
          <w:p w:rsidR="00D575A0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  <w:noWrap/>
            <w:vAlign w:val="bottom"/>
          </w:tcPr>
          <w:p w:rsidR="00D575A0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noWrap/>
            <w:vAlign w:val="bottom"/>
          </w:tcPr>
          <w:p w:rsidR="00D575A0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bottom w:val="single" w:sz="12" w:space="0" w:color="auto"/>
            </w:tcBorders>
            <w:noWrap/>
            <w:vAlign w:val="bottom"/>
          </w:tcPr>
          <w:p w:rsidR="00D575A0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4" w:type="dxa"/>
            <w:tcBorders>
              <w:bottom w:val="single" w:sz="12" w:space="0" w:color="auto"/>
            </w:tcBorders>
            <w:noWrap/>
            <w:vAlign w:val="bottom"/>
          </w:tcPr>
          <w:p w:rsidR="00D575A0" w:rsidRDefault="00D575A0" w:rsidP="00A93F4F">
            <w:pPr>
              <w:jc w:val="right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</w:p>
        </w:tc>
      </w:tr>
    </w:tbl>
    <w:p w:rsidR="003563D2" w:rsidRPr="006857E9" w:rsidRDefault="003563D2" w:rsidP="00D77E59">
      <w:pPr>
        <w:ind w:left="540"/>
        <w:jc w:val="both"/>
        <w:rPr>
          <w:rFonts w:ascii="Times New Roman" w:hAnsi="Times New Roman" w:cs="Times New Roman"/>
        </w:rPr>
      </w:pPr>
    </w:p>
    <w:sectPr w:rsidR="003563D2" w:rsidRPr="006857E9" w:rsidSect="00C954CE">
      <w:footerReference w:type="default" r:id="rId20"/>
      <w:pgSz w:w="12240" w:h="15840"/>
      <w:pgMar w:top="1440" w:right="1440" w:bottom="1440" w:left="1440" w:header="720" w:footer="720" w:gutter="0"/>
      <w:pgNumType w:fmt="lowerRoman" w:start="1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A07" w:rsidRDefault="00CE7A07" w:rsidP="00273E1B">
      <w:pPr>
        <w:spacing w:after="0" w:line="240" w:lineRule="auto"/>
      </w:pPr>
      <w:r>
        <w:separator/>
      </w:r>
    </w:p>
  </w:endnote>
  <w:endnote w:type="continuationSeparator" w:id="0">
    <w:p w:rsidR="00CE7A07" w:rsidRDefault="00CE7A07" w:rsidP="00273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32013"/>
      <w:docPartObj>
        <w:docPartGallery w:val="Page Numbers (Bottom of Page)"/>
        <w:docPartUnique/>
      </w:docPartObj>
    </w:sdtPr>
    <w:sdtContent>
      <w:p w:rsidR="00273E1B" w:rsidRDefault="00D20D90">
        <w:pPr>
          <w:pStyle w:val="Footer"/>
          <w:jc w:val="center"/>
        </w:pPr>
        <w:fldSimple w:instr=" PAGE  \* roman  \* MERGEFORMAT ">
          <w:r w:rsidR="00C954CE">
            <w:rPr>
              <w:noProof/>
            </w:rPr>
            <w:t>xv</w:t>
          </w:r>
        </w:fldSimple>
      </w:p>
    </w:sdtContent>
  </w:sdt>
  <w:p w:rsidR="00273E1B" w:rsidRDefault="00273E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A07" w:rsidRDefault="00CE7A07" w:rsidP="00273E1B">
      <w:pPr>
        <w:spacing w:after="0" w:line="240" w:lineRule="auto"/>
      </w:pPr>
      <w:r>
        <w:separator/>
      </w:r>
    </w:p>
  </w:footnote>
  <w:footnote w:type="continuationSeparator" w:id="0">
    <w:p w:rsidR="00CE7A07" w:rsidRDefault="00CE7A07" w:rsidP="00273E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AD3"/>
    <w:rsid w:val="0000029A"/>
    <w:rsid w:val="00054FA8"/>
    <w:rsid w:val="000555E2"/>
    <w:rsid w:val="0008086A"/>
    <w:rsid w:val="0008336A"/>
    <w:rsid w:val="000A19AB"/>
    <w:rsid w:val="000E38F6"/>
    <w:rsid w:val="000E6B4F"/>
    <w:rsid w:val="0019338E"/>
    <w:rsid w:val="00201968"/>
    <w:rsid w:val="00230E41"/>
    <w:rsid w:val="00230E85"/>
    <w:rsid w:val="00231777"/>
    <w:rsid w:val="00240B35"/>
    <w:rsid w:val="00246CB5"/>
    <w:rsid w:val="00252D42"/>
    <w:rsid w:val="00273E1B"/>
    <w:rsid w:val="00276530"/>
    <w:rsid w:val="00277736"/>
    <w:rsid w:val="002779C7"/>
    <w:rsid w:val="00282D98"/>
    <w:rsid w:val="00294923"/>
    <w:rsid w:val="002B2AFC"/>
    <w:rsid w:val="002B483C"/>
    <w:rsid w:val="002B5359"/>
    <w:rsid w:val="002C522C"/>
    <w:rsid w:val="002D2160"/>
    <w:rsid w:val="002E26D1"/>
    <w:rsid w:val="00310CC2"/>
    <w:rsid w:val="00344DBE"/>
    <w:rsid w:val="0035018A"/>
    <w:rsid w:val="003563D2"/>
    <w:rsid w:val="00365E79"/>
    <w:rsid w:val="0038518C"/>
    <w:rsid w:val="003B30AE"/>
    <w:rsid w:val="003D4428"/>
    <w:rsid w:val="00404338"/>
    <w:rsid w:val="0047750D"/>
    <w:rsid w:val="004F3885"/>
    <w:rsid w:val="00501FB4"/>
    <w:rsid w:val="00502858"/>
    <w:rsid w:val="00505E89"/>
    <w:rsid w:val="005600F0"/>
    <w:rsid w:val="005768BA"/>
    <w:rsid w:val="005B4458"/>
    <w:rsid w:val="005F2EC7"/>
    <w:rsid w:val="006105F5"/>
    <w:rsid w:val="00656840"/>
    <w:rsid w:val="006857E9"/>
    <w:rsid w:val="006934BE"/>
    <w:rsid w:val="006B1FBA"/>
    <w:rsid w:val="006D66B6"/>
    <w:rsid w:val="006F0BD6"/>
    <w:rsid w:val="007102E3"/>
    <w:rsid w:val="00732CE2"/>
    <w:rsid w:val="0077717D"/>
    <w:rsid w:val="007C2AD3"/>
    <w:rsid w:val="007D4A69"/>
    <w:rsid w:val="007E58C7"/>
    <w:rsid w:val="007F2974"/>
    <w:rsid w:val="00803123"/>
    <w:rsid w:val="00822309"/>
    <w:rsid w:val="0088217D"/>
    <w:rsid w:val="008859B8"/>
    <w:rsid w:val="008942DB"/>
    <w:rsid w:val="008A4E68"/>
    <w:rsid w:val="008C67CD"/>
    <w:rsid w:val="008D0F5C"/>
    <w:rsid w:val="00956C6C"/>
    <w:rsid w:val="00961203"/>
    <w:rsid w:val="009829B7"/>
    <w:rsid w:val="00986E9E"/>
    <w:rsid w:val="009C0218"/>
    <w:rsid w:val="009C6828"/>
    <w:rsid w:val="009D4BD8"/>
    <w:rsid w:val="00A03847"/>
    <w:rsid w:val="00A346AB"/>
    <w:rsid w:val="00A41FC6"/>
    <w:rsid w:val="00A45CB5"/>
    <w:rsid w:val="00AE13A5"/>
    <w:rsid w:val="00AE76BB"/>
    <w:rsid w:val="00B00D77"/>
    <w:rsid w:val="00B20B79"/>
    <w:rsid w:val="00B320D0"/>
    <w:rsid w:val="00B417CF"/>
    <w:rsid w:val="00B41895"/>
    <w:rsid w:val="00B544D4"/>
    <w:rsid w:val="00B55BC2"/>
    <w:rsid w:val="00B95A59"/>
    <w:rsid w:val="00BA280C"/>
    <w:rsid w:val="00BB34B0"/>
    <w:rsid w:val="00BE77A2"/>
    <w:rsid w:val="00BF3290"/>
    <w:rsid w:val="00BF6EC5"/>
    <w:rsid w:val="00C27EA9"/>
    <w:rsid w:val="00C5015D"/>
    <w:rsid w:val="00C55EC5"/>
    <w:rsid w:val="00C954CE"/>
    <w:rsid w:val="00CC0197"/>
    <w:rsid w:val="00CE17A6"/>
    <w:rsid w:val="00CE7A07"/>
    <w:rsid w:val="00D20D90"/>
    <w:rsid w:val="00D575A0"/>
    <w:rsid w:val="00D77E59"/>
    <w:rsid w:val="00DE3BCB"/>
    <w:rsid w:val="00E13EB0"/>
    <w:rsid w:val="00E17899"/>
    <w:rsid w:val="00E67666"/>
    <w:rsid w:val="00EA78F5"/>
    <w:rsid w:val="00EC50F9"/>
    <w:rsid w:val="00EC6124"/>
    <w:rsid w:val="00F01593"/>
    <w:rsid w:val="00F54063"/>
    <w:rsid w:val="00F54D37"/>
    <w:rsid w:val="00F9749C"/>
    <w:rsid w:val="00FA44DC"/>
    <w:rsid w:val="00FA5361"/>
    <w:rsid w:val="00FB0FE7"/>
    <w:rsid w:val="00FF254A"/>
    <w:rsid w:val="00FF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840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57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7C2AD3"/>
    <w:pPr>
      <w:keepNext/>
      <w:spacing w:after="0" w:line="240" w:lineRule="auto"/>
      <w:outlineLvl w:val="5"/>
    </w:pPr>
    <w:rPr>
      <w:rFonts w:ascii="Garamond" w:eastAsia="Times New Roman" w:hAnsi="Garamond" w:cs="Times New Roman"/>
      <w:b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C2AD3"/>
    <w:rPr>
      <w:rFonts w:ascii="Garamond" w:eastAsia="Times New Roman" w:hAnsi="Garamond" w:cs="Times New Roman"/>
      <w:b/>
      <w:sz w:val="28"/>
      <w:szCs w:val="24"/>
      <w:u w:val="single"/>
    </w:rPr>
  </w:style>
  <w:style w:type="paragraph" w:styleId="BodyTextIndent">
    <w:name w:val="Body Text Indent"/>
    <w:basedOn w:val="Normal"/>
    <w:link w:val="BodyTextIndentChar"/>
    <w:rsid w:val="007C2AD3"/>
    <w:pPr>
      <w:overflowPunct w:val="0"/>
      <w:autoSpaceDE w:val="0"/>
      <w:autoSpaceDN w:val="0"/>
      <w:adjustRightInd w:val="0"/>
      <w:spacing w:after="0" w:line="240" w:lineRule="auto"/>
      <w:ind w:firstLine="1440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C2A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84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934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934BE"/>
  </w:style>
  <w:style w:type="character" w:customStyle="1" w:styleId="Heading4Char">
    <w:name w:val="Heading 4 Char"/>
    <w:basedOn w:val="DefaultParagraphFont"/>
    <w:link w:val="Heading4"/>
    <w:uiPriority w:val="9"/>
    <w:rsid w:val="006857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857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57E9"/>
  </w:style>
  <w:style w:type="paragraph" w:styleId="BodyTextIndent2">
    <w:name w:val="Body Text Indent 2"/>
    <w:basedOn w:val="Normal"/>
    <w:link w:val="BodyTextIndent2Char"/>
    <w:uiPriority w:val="99"/>
    <w:unhideWhenUsed/>
    <w:rsid w:val="006857E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857E9"/>
  </w:style>
  <w:style w:type="paragraph" w:styleId="Header">
    <w:name w:val="header"/>
    <w:basedOn w:val="Normal"/>
    <w:link w:val="HeaderChar"/>
    <w:uiPriority w:val="99"/>
    <w:semiHidden/>
    <w:unhideWhenUsed/>
    <w:rsid w:val="00273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3E1B"/>
  </w:style>
  <w:style w:type="paragraph" w:styleId="Footer">
    <w:name w:val="footer"/>
    <w:basedOn w:val="Normal"/>
    <w:link w:val="FooterChar"/>
    <w:uiPriority w:val="99"/>
    <w:unhideWhenUsed/>
    <w:rsid w:val="00273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9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chart" Target="charts/chart2.xml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chart" Target="charts/chart1.xml"/><Relationship Id="rId19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zma8889\Desktop\tables%202009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zma8889\Desktop\tables%202009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en-US" sz="800" b="0"/>
              <a:t>Figure 1. Export Receipts by Major Countries</a:t>
            </a:r>
          </a:p>
        </c:rich>
      </c:tx>
      <c:layout>
        <c:manualLayout>
          <c:xMode val="edge"/>
          <c:yMode val="edge"/>
          <c:x val="3.6417698646776089E-2"/>
          <c:y val="4.5076944329327434E-2"/>
        </c:manualLayout>
      </c:layout>
    </c:title>
    <c:plotArea>
      <c:layout>
        <c:manualLayout>
          <c:layoutTarget val="inner"/>
          <c:xMode val="edge"/>
          <c:yMode val="edge"/>
          <c:x val="0.1740229636243924"/>
          <c:y val="0.14456140350877322"/>
          <c:w val="0.74579376031604294"/>
          <c:h val="0.46284459179445292"/>
        </c:manualLayout>
      </c:layout>
      <c:barChart>
        <c:barDir val="col"/>
        <c:grouping val="clustered"/>
        <c:ser>
          <c:idx val="0"/>
          <c:order val="0"/>
          <c:tx>
            <c:strRef>
              <c:f>'Sheet2 (2)'!$D$4</c:f>
              <c:strCache>
                <c:ptCount val="1"/>
                <c:pt idx="0">
                  <c:v>FY09</c:v>
                </c:pt>
              </c:strCache>
            </c:strRef>
          </c:tx>
          <c:cat>
            <c:strRef>
              <c:f>'Sheet2 (2)'!$C$5:$C$18</c:f>
              <c:strCache>
                <c:ptCount val="14"/>
                <c:pt idx="0">
                  <c:v>U. S. A.</c:v>
                </c:pt>
                <c:pt idx="1">
                  <c:v>U. A. E</c:v>
                </c:pt>
                <c:pt idx="2">
                  <c:v>Afghanistan</c:v>
                </c:pt>
                <c:pt idx="3">
                  <c:v>U. K.</c:v>
                </c:pt>
                <c:pt idx="4">
                  <c:v>Germany</c:v>
                </c:pt>
                <c:pt idx="5">
                  <c:v>China</c:v>
                </c:pt>
                <c:pt idx="6">
                  <c:v>Italy</c:v>
                </c:pt>
                <c:pt idx="7">
                  <c:v>Hong Kong</c:v>
                </c:pt>
                <c:pt idx="8">
                  <c:v>Spain</c:v>
                </c:pt>
                <c:pt idx="9">
                  <c:v>Turkey</c:v>
                </c:pt>
                <c:pt idx="10">
                  <c:v>Netherland</c:v>
                </c:pt>
                <c:pt idx="11">
                  <c:v>Saudi Arabia</c:v>
                </c:pt>
                <c:pt idx="12">
                  <c:v>Bangladesh</c:v>
                </c:pt>
                <c:pt idx="13">
                  <c:v>France</c:v>
                </c:pt>
              </c:strCache>
            </c:strRef>
          </c:cat>
          <c:val>
            <c:numRef>
              <c:f>'Sheet2 (2)'!$D$5:$D$18</c:f>
              <c:numCache>
                <c:formatCode>#,##0</c:formatCode>
                <c:ptCount val="14"/>
                <c:pt idx="0">
                  <c:v>3540.0089568999992</c:v>
                </c:pt>
                <c:pt idx="1">
                  <c:v>1398.1455870000011</c:v>
                </c:pt>
                <c:pt idx="2">
                  <c:v>975.59859700000004</c:v>
                </c:pt>
                <c:pt idx="3">
                  <c:v>963.89360499999998</c:v>
                </c:pt>
                <c:pt idx="4">
                  <c:v>802.69617299999982</c:v>
                </c:pt>
                <c:pt idx="5">
                  <c:v>660.80802500000016</c:v>
                </c:pt>
                <c:pt idx="6">
                  <c:v>624.73192599999948</c:v>
                </c:pt>
                <c:pt idx="7">
                  <c:v>508.42599899999863</c:v>
                </c:pt>
                <c:pt idx="8">
                  <c:v>438.76425099999994</c:v>
                </c:pt>
                <c:pt idx="9">
                  <c:v>434.3562409999999</c:v>
                </c:pt>
                <c:pt idx="10">
                  <c:v>415.32201499999923</c:v>
                </c:pt>
                <c:pt idx="11">
                  <c:v>414.53997499999969</c:v>
                </c:pt>
                <c:pt idx="12">
                  <c:v>404.82908900000001</c:v>
                </c:pt>
                <c:pt idx="13">
                  <c:v>401.60704900000002</c:v>
                </c:pt>
              </c:numCache>
            </c:numRef>
          </c:val>
        </c:ser>
        <c:ser>
          <c:idx val="1"/>
          <c:order val="1"/>
          <c:tx>
            <c:strRef>
              <c:f>'Sheet2 (2)'!$E$4</c:f>
              <c:strCache>
                <c:ptCount val="1"/>
                <c:pt idx="0">
                  <c:v>FY08</c:v>
                </c:pt>
              </c:strCache>
            </c:strRef>
          </c:tx>
          <c:cat>
            <c:strRef>
              <c:f>'Sheet2 (2)'!$C$5:$C$18</c:f>
              <c:strCache>
                <c:ptCount val="14"/>
                <c:pt idx="0">
                  <c:v>U. S. A.</c:v>
                </c:pt>
                <c:pt idx="1">
                  <c:v>U. A. E</c:v>
                </c:pt>
                <c:pt idx="2">
                  <c:v>Afghanistan</c:v>
                </c:pt>
                <c:pt idx="3">
                  <c:v>U. K.</c:v>
                </c:pt>
                <c:pt idx="4">
                  <c:v>Germany</c:v>
                </c:pt>
                <c:pt idx="5">
                  <c:v>China</c:v>
                </c:pt>
                <c:pt idx="6">
                  <c:v>Italy</c:v>
                </c:pt>
                <c:pt idx="7">
                  <c:v>Hong Kong</c:v>
                </c:pt>
                <c:pt idx="8">
                  <c:v>Spain</c:v>
                </c:pt>
                <c:pt idx="9">
                  <c:v>Turkey</c:v>
                </c:pt>
                <c:pt idx="10">
                  <c:v>Netherland</c:v>
                </c:pt>
                <c:pt idx="11">
                  <c:v>Saudi Arabia</c:v>
                </c:pt>
                <c:pt idx="12">
                  <c:v>Bangladesh</c:v>
                </c:pt>
                <c:pt idx="13">
                  <c:v>France</c:v>
                </c:pt>
              </c:strCache>
            </c:strRef>
          </c:cat>
          <c:val>
            <c:numRef>
              <c:f>'Sheet2 (2)'!$E$5:$E$18</c:f>
              <c:numCache>
                <c:formatCode>#,##0</c:formatCode>
                <c:ptCount val="14"/>
                <c:pt idx="0">
                  <c:v>3740.1439247000003</c:v>
                </c:pt>
                <c:pt idx="1">
                  <c:v>1722.3170260000002</c:v>
                </c:pt>
                <c:pt idx="2">
                  <c:v>1031.6796569999999</c:v>
                </c:pt>
                <c:pt idx="3">
                  <c:v>1071.3967660000001</c:v>
                </c:pt>
                <c:pt idx="4">
                  <c:v>826.27488500000652</c:v>
                </c:pt>
                <c:pt idx="5">
                  <c:v>674.12742599999797</c:v>
                </c:pt>
                <c:pt idx="6">
                  <c:v>679.38961699999948</c:v>
                </c:pt>
                <c:pt idx="7">
                  <c:v>697.21340800000053</c:v>
                </c:pt>
                <c:pt idx="8">
                  <c:v>518.69947400000353</c:v>
                </c:pt>
                <c:pt idx="9">
                  <c:v>455.31495500000005</c:v>
                </c:pt>
                <c:pt idx="10">
                  <c:v>434.27688799999999</c:v>
                </c:pt>
                <c:pt idx="11">
                  <c:v>338.01373399999869</c:v>
                </c:pt>
                <c:pt idx="12">
                  <c:v>318.36161799999923</c:v>
                </c:pt>
                <c:pt idx="13">
                  <c:v>424.0781359999965</c:v>
                </c:pt>
              </c:numCache>
            </c:numRef>
          </c:val>
        </c:ser>
        <c:axId val="58429440"/>
        <c:axId val="58441728"/>
      </c:barChart>
      <c:catAx>
        <c:axId val="5842944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58441728"/>
        <c:crosses val="autoZero"/>
        <c:auto val="1"/>
        <c:lblAlgn val="ctr"/>
        <c:lblOffset val="100"/>
      </c:catAx>
      <c:valAx>
        <c:axId val="5844172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 sz="800" b="0"/>
                  <a:t>Million US$</a:t>
                </a:r>
              </a:p>
            </c:rich>
          </c:tx>
        </c:title>
        <c:numFmt formatCode="#,##0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584294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2.3068727520171212E-2"/>
          <c:y val="0.91182422556461884"/>
          <c:w val="0.21559074560124444"/>
          <c:h val="6.4223678626997974E-2"/>
        </c:manualLayout>
      </c:layout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en-US" sz="800" b="0"/>
              <a:t>Figure 2.Import Payments by Major  Countries</a:t>
            </a:r>
          </a:p>
        </c:rich>
      </c:tx>
      <c:layout>
        <c:manualLayout>
          <c:xMode val="edge"/>
          <c:yMode val="edge"/>
          <c:x val="1.0184501845018682E-2"/>
          <c:y val="3.7037037037037056E-2"/>
        </c:manualLayout>
      </c:layout>
    </c:title>
    <c:plotArea>
      <c:layout>
        <c:manualLayout>
          <c:layoutTarget val="inner"/>
          <c:xMode val="edge"/>
          <c:yMode val="edge"/>
          <c:x val="0.19370047678951369"/>
          <c:y val="0.14793218415265852"/>
          <c:w val="0.75939567834004751"/>
          <c:h val="0.48642861502777807"/>
        </c:manualLayout>
      </c:layout>
      <c:barChart>
        <c:barDir val="col"/>
        <c:grouping val="clustered"/>
        <c:ser>
          <c:idx val="0"/>
          <c:order val="0"/>
          <c:tx>
            <c:strRef>
              <c:f>'Sheet2 (2)'!$E$26</c:f>
              <c:strCache>
                <c:ptCount val="1"/>
                <c:pt idx="0">
                  <c:v>FY09</c:v>
                </c:pt>
              </c:strCache>
            </c:strRef>
          </c:tx>
          <c:cat>
            <c:strRef>
              <c:f>'Sheet2 (2)'!$D$27:$D$40</c:f>
              <c:strCache>
                <c:ptCount val="14"/>
                <c:pt idx="0">
                  <c:v>Saudi Arabia</c:v>
                </c:pt>
                <c:pt idx="1">
                  <c:v>U.A.E</c:v>
                </c:pt>
                <c:pt idx="2">
                  <c:v>China</c:v>
                </c:pt>
                <c:pt idx="3">
                  <c:v>Kuwait</c:v>
                </c:pt>
                <c:pt idx="4">
                  <c:v>Japan</c:v>
                </c:pt>
                <c:pt idx="5">
                  <c:v>Singapore</c:v>
                </c:pt>
                <c:pt idx="6">
                  <c:v>Germany</c:v>
                </c:pt>
                <c:pt idx="7">
                  <c:v>India</c:v>
                </c:pt>
                <c:pt idx="8">
                  <c:v>U.S.A</c:v>
                </c:pt>
                <c:pt idx="9">
                  <c:v>U.K</c:v>
                </c:pt>
                <c:pt idx="10">
                  <c:v>Malaysia</c:v>
                </c:pt>
                <c:pt idx="11">
                  <c:v>Switzerland</c:v>
                </c:pt>
                <c:pt idx="12">
                  <c:v>South Korea </c:v>
                </c:pt>
                <c:pt idx="13">
                  <c:v>Italy</c:v>
                </c:pt>
              </c:strCache>
            </c:strRef>
          </c:cat>
          <c:val>
            <c:numRef>
              <c:f>'Sheet2 (2)'!$E$27:$E$40</c:f>
              <c:numCache>
                <c:formatCode>#,##0</c:formatCode>
                <c:ptCount val="14"/>
                <c:pt idx="0">
                  <c:v>4399.6235360000401</c:v>
                </c:pt>
                <c:pt idx="1">
                  <c:v>3544.5476609999987</c:v>
                </c:pt>
                <c:pt idx="2">
                  <c:v>2708.344282</c:v>
                </c:pt>
                <c:pt idx="3">
                  <c:v>2244.1932459999998</c:v>
                </c:pt>
                <c:pt idx="4">
                  <c:v>1570.9753040000001</c:v>
                </c:pt>
                <c:pt idx="5">
                  <c:v>1294.5471669999999</c:v>
                </c:pt>
                <c:pt idx="6">
                  <c:v>1160.1533149999821</c:v>
                </c:pt>
                <c:pt idx="7">
                  <c:v>1072.3674469999846</c:v>
                </c:pt>
                <c:pt idx="8">
                  <c:v>1068.6970059999999</c:v>
                </c:pt>
                <c:pt idx="9">
                  <c:v>1032.9244219999998</c:v>
                </c:pt>
                <c:pt idx="10">
                  <c:v>1004.9123139999994</c:v>
                </c:pt>
                <c:pt idx="11">
                  <c:v>908.73165100000006</c:v>
                </c:pt>
                <c:pt idx="12">
                  <c:v>801.25728999999797</c:v>
                </c:pt>
                <c:pt idx="13">
                  <c:v>633.96002499999747</c:v>
                </c:pt>
              </c:numCache>
            </c:numRef>
          </c:val>
        </c:ser>
        <c:ser>
          <c:idx val="1"/>
          <c:order val="1"/>
          <c:tx>
            <c:strRef>
              <c:f>'Sheet2 (2)'!$F$26</c:f>
              <c:strCache>
                <c:ptCount val="1"/>
                <c:pt idx="0">
                  <c:v>FY08</c:v>
                </c:pt>
              </c:strCache>
            </c:strRef>
          </c:tx>
          <c:cat>
            <c:strRef>
              <c:f>'Sheet2 (2)'!$D$27:$D$40</c:f>
              <c:strCache>
                <c:ptCount val="14"/>
                <c:pt idx="0">
                  <c:v>Saudi Arabia</c:v>
                </c:pt>
                <c:pt idx="1">
                  <c:v>U.A.E</c:v>
                </c:pt>
                <c:pt idx="2">
                  <c:v>China</c:v>
                </c:pt>
                <c:pt idx="3">
                  <c:v>Kuwait</c:v>
                </c:pt>
                <c:pt idx="4">
                  <c:v>Japan</c:v>
                </c:pt>
                <c:pt idx="5">
                  <c:v>Singapore</c:v>
                </c:pt>
                <c:pt idx="6">
                  <c:v>Germany</c:v>
                </c:pt>
                <c:pt idx="7">
                  <c:v>India</c:v>
                </c:pt>
                <c:pt idx="8">
                  <c:v>U.S.A</c:v>
                </c:pt>
                <c:pt idx="9">
                  <c:v>U.K</c:v>
                </c:pt>
                <c:pt idx="10">
                  <c:v>Malaysia</c:v>
                </c:pt>
                <c:pt idx="11">
                  <c:v>Switzerland</c:v>
                </c:pt>
                <c:pt idx="12">
                  <c:v>South Korea </c:v>
                </c:pt>
                <c:pt idx="13">
                  <c:v>Italy</c:v>
                </c:pt>
              </c:strCache>
            </c:strRef>
          </c:cat>
          <c:val>
            <c:numRef>
              <c:f>'Sheet2 (2)'!$F$27:$F$40</c:f>
              <c:numCache>
                <c:formatCode>#,##0</c:formatCode>
                <c:ptCount val="14"/>
                <c:pt idx="0">
                  <c:v>5129.2105040000024</c:v>
                </c:pt>
                <c:pt idx="1">
                  <c:v>3609.6770240000001</c:v>
                </c:pt>
                <c:pt idx="2">
                  <c:v>3029.5217849999999</c:v>
                </c:pt>
                <c:pt idx="3">
                  <c:v>2439.253745</c:v>
                </c:pt>
                <c:pt idx="4">
                  <c:v>1694.8603999999998</c:v>
                </c:pt>
                <c:pt idx="5">
                  <c:v>1269.488736</c:v>
                </c:pt>
                <c:pt idx="6">
                  <c:v>1503.043165</c:v>
                </c:pt>
                <c:pt idx="7">
                  <c:v>1322.4565560000135</c:v>
                </c:pt>
                <c:pt idx="8">
                  <c:v>1473.4785330000011</c:v>
                </c:pt>
                <c:pt idx="9">
                  <c:v>1442.8039159999998</c:v>
                </c:pt>
                <c:pt idx="10">
                  <c:v>1040.3067570000114</c:v>
                </c:pt>
                <c:pt idx="11">
                  <c:v>542.72901899999999</c:v>
                </c:pt>
                <c:pt idx="12">
                  <c:v>923.85466899999312</c:v>
                </c:pt>
                <c:pt idx="13">
                  <c:v>640.33762799999045</c:v>
                </c:pt>
              </c:numCache>
            </c:numRef>
          </c:val>
        </c:ser>
        <c:axId val="67053440"/>
        <c:axId val="67054976"/>
      </c:barChart>
      <c:catAx>
        <c:axId val="6705344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67054976"/>
        <c:crosses val="autoZero"/>
        <c:auto val="1"/>
        <c:lblAlgn val="ctr"/>
        <c:lblOffset val="100"/>
      </c:catAx>
      <c:valAx>
        <c:axId val="6705497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 sz="800" b="0"/>
                  <a:t>Million US$</a:t>
                </a:r>
              </a:p>
            </c:rich>
          </c:tx>
        </c:title>
        <c:numFmt formatCode="#,##0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670534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2.236872757769184E-2"/>
          <c:y val="0.91936213378732212"/>
          <c:w val="0.21725523239484543"/>
          <c:h val="7.4481627296588707E-2"/>
        </c:manualLayout>
      </c:layout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F4522-285E-471B-BE7C-0833DD20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7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uzma8889</dc:creator>
  <cp:keywords/>
  <dc:description/>
  <cp:lastModifiedBy>faisal8884</cp:lastModifiedBy>
  <cp:revision>100</cp:revision>
  <cp:lastPrinted>2010-05-05T11:24:00Z</cp:lastPrinted>
  <dcterms:created xsi:type="dcterms:W3CDTF">2010-01-29T04:16:00Z</dcterms:created>
  <dcterms:modified xsi:type="dcterms:W3CDTF">2010-05-26T05:42:00Z</dcterms:modified>
</cp:coreProperties>
</file>