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20" w:rsidRPr="001467C3" w:rsidRDefault="00933220" w:rsidP="00E45CBF">
      <w:pPr>
        <w:pStyle w:val="Heading6"/>
        <w:ind w:left="90" w:right="-1260"/>
        <w:rPr>
          <w:rFonts w:ascii="Times New Roman" w:hAnsi="Times New Roman"/>
          <w:sz w:val="24"/>
          <w:u w:val="none"/>
        </w:rPr>
      </w:pPr>
      <w:r w:rsidRPr="001467C3">
        <w:rPr>
          <w:rFonts w:ascii="Times New Roman" w:hAnsi="Times New Roman"/>
          <w:sz w:val="24"/>
          <w:u w:val="none"/>
        </w:rPr>
        <w:t>Review on Balance of Payments FY1</w:t>
      </w:r>
      <w:r w:rsidR="002F7CFA">
        <w:rPr>
          <w:rFonts w:ascii="Times New Roman" w:hAnsi="Times New Roman"/>
          <w:sz w:val="24"/>
          <w:u w:val="none"/>
        </w:rPr>
        <w:t>3</w:t>
      </w:r>
    </w:p>
    <w:p w:rsidR="00933220" w:rsidRDefault="00933220" w:rsidP="00E45CBF">
      <w:pPr>
        <w:pStyle w:val="Heading6"/>
        <w:spacing w:line="276" w:lineRule="auto"/>
        <w:rPr>
          <w:rFonts w:ascii="Times New Roman" w:hAnsi="Times New Roman"/>
          <w:b w:val="0"/>
          <w:sz w:val="22"/>
          <w:szCs w:val="22"/>
          <w:u w:val="none"/>
        </w:rPr>
      </w:pPr>
    </w:p>
    <w:p w:rsidR="00AD58E5" w:rsidRPr="002F7CFA" w:rsidRDefault="00475E39" w:rsidP="00E45CBF">
      <w:pPr>
        <w:pStyle w:val="BodyTextIndent"/>
        <w:tabs>
          <w:tab w:val="left" w:pos="9810"/>
        </w:tabs>
        <w:ind w:right="322" w:firstLine="0"/>
        <w:jc w:val="left"/>
      </w:pPr>
      <w:r w:rsidRPr="00475E39">
        <w:rPr>
          <w:noProof/>
          <w:szCs w:val="22"/>
        </w:rPr>
        <w:drawing>
          <wp:anchor distT="0" distB="0" distL="114300" distR="114300" simplePos="0" relativeHeight="251909120" behindDoc="1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349885</wp:posOffset>
            </wp:positionV>
            <wp:extent cx="4202430" cy="2586990"/>
            <wp:effectExtent l="19050" t="0" r="7620" b="0"/>
            <wp:wrapTight wrapText="bothSides">
              <wp:wrapPolygon edited="0">
                <wp:start x="-98" y="0"/>
                <wp:lineTo x="-98" y="21314"/>
                <wp:lineTo x="21639" y="21314"/>
                <wp:lineTo x="21639" y="0"/>
                <wp:lineTo x="-98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C99" w:rsidRPr="001F0C99">
        <w:rPr>
          <w:szCs w:val="22"/>
        </w:rPr>
        <w:t xml:space="preserve"> </w:t>
      </w:r>
      <w:r w:rsidR="00AD58E5" w:rsidRPr="00341E12">
        <w:rPr>
          <w:sz w:val="22"/>
          <w:szCs w:val="22"/>
        </w:rPr>
        <w:t>Pakistan’s balance of pay</w:t>
      </w:r>
      <w:r w:rsidR="00AD58E5">
        <w:rPr>
          <w:sz w:val="22"/>
          <w:szCs w:val="22"/>
        </w:rPr>
        <w:t>ments showed a deficit of $2,4</w:t>
      </w:r>
      <w:r>
        <w:rPr>
          <w:sz w:val="22"/>
          <w:szCs w:val="22"/>
        </w:rPr>
        <w:t>9</w:t>
      </w:r>
      <w:r w:rsidR="00AD58E5">
        <w:rPr>
          <w:sz w:val="22"/>
          <w:szCs w:val="22"/>
        </w:rPr>
        <w:t>6</w:t>
      </w:r>
      <w:r w:rsidR="00AD58E5" w:rsidRPr="00341E12">
        <w:rPr>
          <w:sz w:val="22"/>
          <w:szCs w:val="22"/>
        </w:rPr>
        <w:t xml:space="preserve"> million in its current account balance during </w:t>
      </w:r>
      <w:r w:rsidR="00AD58E5">
        <w:rPr>
          <w:sz w:val="22"/>
          <w:szCs w:val="22"/>
        </w:rPr>
        <w:t>FY13</w:t>
      </w:r>
      <w:r w:rsidR="00AD58E5" w:rsidRPr="00341E12">
        <w:rPr>
          <w:sz w:val="22"/>
          <w:szCs w:val="22"/>
        </w:rPr>
        <w:t xml:space="preserve"> as against a deficit of $</w:t>
      </w:r>
      <w:r w:rsidR="00AD58E5">
        <w:rPr>
          <w:sz w:val="22"/>
          <w:szCs w:val="22"/>
        </w:rPr>
        <w:t>4</w:t>
      </w:r>
      <w:r w:rsidR="00AD58E5" w:rsidRPr="00341E12">
        <w:rPr>
          <w:sz w:val="22"/>
          <w:szCs w:val="22"/>
        </w:rPr>
        <w:t>,</w:t>
      </w:r>
      <w:r w:rsidR="00AD58E5">
        <w:rPr>
          <w:sz w:val="22"/>
          <w:szCs w:val="22"/>
        </w:rPr>
        <w:t>658</w:t>
      </w:r>
      <w:r w:rsidR="00AD58E5" w:rsidRPr="00341E12">
        <w:rPr>
          <w:sz w:val="22"/>
          <w:szCs w:val="22"/>
        </w:rPr>
        <w:t xml:space="preserve"> million during </w:t>
      </w:r>
      <w:r w:rsidR="00AD58E5">
        <w:rPr>
          <w:sz w:val="22"/>
          <w:szCs w:val="22"/>
        </w:rPr>
        <w:t>FY12</w:t>
      </w:r>
      <w:r w:rsidR="00AD58E5" w:rsidRPr="00341E12">
        <w:rPr>
          <w:sz w:val="22"/>
          <w:szCs w:val="22"/>
        </w:rPr>
        <w:t>. There has been a significant decline of $</w:t>
      </w:r>
      <w:r w:rsidR="002F7CFA">
        <w:rPr>
          <w:sz w:val="22"/>
          <w:szCs w:val="22"/>
        </w:rPr>
        <w:t>2</w:t>
      </w:r>
      <w:r w:rsidR="00AD58E5" w:rsidRPr="00341E12">
        <w:rPr>
          <w:sz w:val="22"/>
          <w:szCs w:val="22"/>
        </w:rPr>
        <w:t>,</w:t>
      </w:r>
      <w:r w:rsidR="002F7CF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2F7CFA">
        <w:rPr>
          <w:sz w:val="22"/>
          <w:szCs w:val="22"/>
        </w:rPr>
        <w:t>2</w:t>
      </w:r>
      <w:r w:rsidR="00AD58E5" w:rsidRPr="00341E12">
        <w:rPr>
          <w:sz w:val="22"/>
          <w:szCs w:val="22"/>
        </w:rPr>
        <w:t xml:space="preserve"> million in current account deficit contributed by a decrease of $</w:t>
      </w:r>
      <w:r w:rsidR="002F7CFA">
        <w:rPr>
          <w:sz w:val="22"/>
          <w:szCs w:val="22"/>
        </w:rPr>
        <w:t>1</w:t>
      </w:r>
      <w:r w:rsidR="00AD58E5" w:rsidRPr="00341E12">
        <w:rPr>
          <w:sz w:val="22"/>
          <w:szCs w:val="22"/>
        </w:rPr>
        <w:t>,</w:t>
      </w:r>
      <w:r w:rsidR="002F7CFA">
        <w:rPr>
          <w:sz w:val="22"/>
          <w:szCs w:val="22"/>
        </w:rPr>
        <w:t>72</w:t>
      </w:r>
      <w:r>
        <w:rPr>
          <w:sz w:val="22"/>
          <w:szCs w:val="22"/>
        </w:rPr>
        <w:t>0</w:t>
      </w:r>
      <w:r w:rsidR="00AD58E5" w:rsidRPr="00341E12">
        <w:rPr>
          <w:sz w:val="22"/>
          <w:szCs w:val="22"/>
        </w:rPr>
        <w:t xml:space="preserve"> million in trade </w:t>
      </w:r>
      <w:r w:rsidR="002F7CFA">
        <w:rPr>
          <w:sz w:val="22"/>
          <w:szCs w:val="22"/>
        </w:rPr>
        <w:t xml:space="preserve">in services </w:t>
      </w:r>
      <w:r w:rsidR="00AD58E5" w:rsidRPr="00341E12">
        <w:rPr>
          <w:sz w:val="22"/>
          <w:szCs w:val="22"/>
        </w:rPr>
        <w:t xml:space="preserve">deficit, mainly due to </w:t>
      </w:r>
      <w:r w:rsidR="002F7CFA">
        <w:rPr>
          <w:sz w:val="22"/>
          <w:szCs w:val="22"/>
        </w:rPr>
        <w:t xml:space="preserve">the receipt of $1,806 million </w:t>
      </w:r>
      <w:r w:rsidR="007C264F">
        <w:rPr>
          <w:sz w:val="22"/>
          <w:szCs w:val="22"/>
        </w:rPr>
        <w:t>as</w:t>
      </w:r>
      <w:r w:rsidR="002F7CFA">
        <w:rPr>
          <w:sz w:val="22"/>
          <w:szCs w:val="22"/>
        </w:rPr>
        <w:t xml:space="preserve"> </w:t>
      </w:r>
      <w:r w:rsidR="00602D0D">
        <w:rPr>
          <w:sz w:val="22"/>
          <w:szCs w:val="22"/>
        </w:rPr>
        <w:t>co</w:t>
      </w:r>
      <w:r w:rsidR="00DE2300">
        <w:rPr>
          <w:sz w:val="22"/>
          <w:szCs w:val="22"/>
        </w:rPr>
        <w:t>a</w:t>
      </w:r>
      <w:r w:rsidR="00602D0D">
        <w:rPr>
          <w:sz w:val="22"/>
          <w:szCs w:val="22"/>
        </w:rPr>
        <w:t>l</w:t>
      </w:r>
      <w:r w:rsidR="00DE2300">
        <w:rPr>
          <w:sz w:val="22"/>
          <w:szCs w:val="22"/>
        </w:rPr>
        <w:t>i</w:t>
      </w:r>
      <w:r w:rsidR="00602D0D">
        <w:rPr>
          <w:sz w:val="22"/>
          <w:szCs w:val="22"/>
        </w:rPr>
        <w:t>tion</w:t>
      </w:r>
      <w:r w:rsidR="002F7CFA">
        <w:rPr>
          <w:sz w:val="22"/>
          <w:szCs w:val="22"/>
        </w:rPr>
        <w:t xml:space="preserve"> support fund (CSF) under government services</w:t>
      </w:r>
      <w:r w:rsidR="00F46E13">
        <w:rPr>
          <w:sz w:val="22"/>
          <w:szCs w:val="22"/>
        </w:rPr>
        <w:t>.</w:t>
      </w:r>
      <w:r w:rsidR="002F7CFA">
        <w:rPr>
          <w:sz w:val="22"/>
          <w:szCs w:val="22"/>
        </w:rPr>
        <w:t xml:space="preserve"> </w:t>
      </w:r>
      <w:r w:rsidR="00AD58E5" w:rsidRPr="00341E12">
        <w:rPr>
          <w:sz w:val="22"/>
          <w:szCs w:val="22"/>
        </w:rPr>
        <w:t>A decline of $</w:t>
      </w:r>
      <w:r w:rsidR="000A6484">
        <w:rPr>
          <w:sz w:val="22"/>
          <w:szCs w:val="22"/>
        </w:rPr>
        <w:t>3</w:t>
      </w:r>
      <w:r>
        <w:rPr>
          <w:sz w:val="22"/>
          <w:szCs w:val="22"/>
        </w:rPr>
        <w:t>34</w:t>
      </w:r>
      <w:r w:rsidR="00AD58E5" w:rsidRPr="00341E12">
        <w:rPr>
          <w:sz w:val="22"/>
          <w:szCs w:val="22"/>
        </w:rPr>
        <w:t xml:space="preserve"> million is also observed in </w:t>
      </w:r>
      <w:r w:rsidR="002F7CFA">
        <w:rPr>
          <w:sz w:val="22"/>
          <w:szCs w:val="22"/>
        </w:rPr>
        <w:t>trade in goods</w:t>
      </w:r>
      <w:r w:rsidR="00AD58E5">
        <w:rPr>
          <w:sz w:val="22"/>
          <w:szCs w:val="22"/>
        </w:rPr>
        <w:t xml:space="preserve"> deficit, however,</w:t>
      </w:r>
      <w:r w:rsidR="002F7CFA" w:rsidRPr="00933220">
        <w:rPr>
          <w:b/>
          <w:sz w:val="22"/>
          <w:szCs w:val="22"/>
        </w:rPr>
        <w:t xml:space="preserve"> </w:t>
      </w:r>
      <w:r w:rsidR="002F7CFA">
        <w:rPr>
          <w:b/>
          <w:sz w:val="22"/>
          <w:szCs w:val="22"/>
        </w:rPr>
        <w:t>i</w:t>
      </w:r>
      <w:r w:rsidR="002F7CFA" w:rsidRPr="002F7CFA">
        <w:rPr>
          <w:sz w:val="22"/>
          <w:szCs w:val="22"/>
        </w:rPr>
        <w:t>ncome account deficit widened to $3,</w:t>
      </w:r>
      <w:r w:rsidR="002F7CFA">
        <w:rPr>
          <w:sz w:val="22"/>
          <w:szCs w:val="22"/>
        </w:rPr>
        <w:t>685</w:t>
      </w:r>
      <w:r w:rsidR="002F7CFA" w:rsidRPr="002F7CFA">
        <w:rPr>
          <w:sz w:val="22"/>
          <w:szCs w:val="22"/>
        </w:rPr>
        <w:t xml:space="preserve"> million from $3,</w:t>
      </w:r>
      <w:r w:rsidR="002F7CFA">
        <w:rPr>
          <w:sz w:val="22"/>
          <w:szCs w:val="22"/>
        </w:rPr>
        <w:t>245</w:t>
      </w:r>
      <w:r w:rsidR="002F7CFA" w:rsidRPr="002F7CFA">
        <w:rPr>
          <w:sz w:val="22"/>
          <w:szCs w:val="22"/>
        </w:rPr>
        <w:t xml:space="preserve"> million in the previous year reflecting an increase of </w:t>
      </w:r>
      <w:r w:rsidR="000A6484">
        <w:rPr>
          <w:sz w:val="22"/>
          <w:szCs w:val="22"/>
        </w:rPr>
        <w:t>14</w:t>
      </w:r>
      <w:r w:rsidR="002F7CFA">
        <w:rPr>
          <w:sz w:val="22"/>
          <w:szCs w:val="22"/>
        </w:rPr>
        <w:t xml:space="preserve"> </w:t>
      </w:r>
      <w:r w:rsidR="002F7CFA" w:rsidRPr="002F7CFA">
        <w:rPr>
          <w:sz w:val="22"/>
          <w:szCs w:val="22"/>
        </w:rPr>
        <w:t>percent</w:t>
      </w:r>
      <w:r w:rsidR="002F7CFA">
        <w:rPr>
          <w:sz w:val="22"/>
          <w:szCs w:val="22"/>
        </w:rPr>
        <w:t>.</w:t>
      </w:r>
      <w:r w:rsidR="002F7CFA" w:rsidRPr="002F7CFA">
        <w:t xml:space="preserve"> </w:t>
      </w:r>
      <w:r w:rsidR="00AD58E5" w:rsidRPr="00341E12">
        <w:rPr>
          <w:sz w:val="22"/>
          <w:szCs w:val="22"/>
        </w:rPr>
        <w:t>The capital and financial account</w:t>
      </w:r>
      <w:r w:rsidR="00AD58E5">
        <w:rPr>
          <w:sz w:val="22"/>
          <w:szCs w:val="22"/>
        </w:rPr>
        <w:t>s</w:t>
      </w:r>
      <w:r w:rsidR="00AD58E5" w:rsidRPr="00341E12">
        <w:rPr>
          <w:sz w:val="22"/>
          <w:szCs w:val="22"/>
        </w:rPr>
        <w:t xml:space="preserve"> showed a net </w:t>
      </w:r>
      <w:r w:rsidR="00AD58E5">
        <w:rPr>
          <w:sz w:val="22"/>
          <w:szCs w:val="22"/>
        </w:rPr>
        <w:t>inflow of $</w:t>
      </w:r>
      <w:r w:rsidR="000A6484">
        <w:rPr>
          <w:sz w:val="22"/>
          <w:szCs w:val="22"/>
        </w:rPr>
        <w:t>264</w:t>
      </w:r>
      <w:r w:rsidR="00AD58E5" w:rsidRPr="00341E12">
        <w:rPr>
          <w:sz w:val="22"/>
          <w:szCs w:val="22"/>
        </w:rPr>
        <w:t xml:space="preserve"> million</w:t>
      </w:r>
      <w:r w:rsidR="00AD58E5">
        <w:rPr>
          <w:sz w:val="22"/>
          <w:szCs w:val="22"/>
        </w:rPr>
        <w:t xml:space="preserve"> </w:t>
      </w:r>
      <w:r w:rsidR="000A6484">
        <w:rPr>
          <w:sz w:val="22"/>
          <w:szCs w:val="22"/>
        </w:rPr>
        <w:t xml:space="preserve">and $ </w:t>
      </w:r>
      <w:r>
        <w:rPr>
          <w:sz w:val="22"/>
          <w:szCs w:val="22"/>
        </w:rPr>
        <w:t>549</w:t>
      </w:r>
      <w:r w:rsidR="000A6484">
        <w:rPr>
          <w:sz w:val="22"/>
          <w:szCs w:val="22"/>
        </w:rPr>
        <w:t xml:space="preserve"> million respectively</w:t>
      </w:r>
      <w:r w:rsidR="00846561">
        <w:rPr>
          <w:sz w:val="22"/>
          <w:szCs w:val="22"/>
        </w:rPr>
        <w:t xml:space="preserve"> during FY13</w:t>
      </w:r>
      <w:r w:rsidR="000A6484">
        <w:rPr>
          <w:sz w:val="22"/>
          <w:szCs w:val="22"/>
        </w:rPr>
        <w:t xml:space="preserve">. Financial account </w:t>
      </w:r>
      <w:r w:rsidR="00AD58E5">
        <w:rPr>
          <w:sz w:val="22"/>
          <w:szCs w:val="22"/>
        </w:rPr>
        <w:t>reflect</w:t>
      </w:r>
      <w:r w:rsidR="00F46E13">
        <w:rPr>
          <w:sz w:val="22"/>
          <w:szCs w:val="22"/>
        </w:rPr>
        <w:t>ed</w:t>
      </w:r>
      <w:r w:rsidR="00AD58E5">
        <w:rPr>
          <w:sz w:val="22"/>
          <w:szCs w:val="22"/>
        </w:rPr>
        <w:t xml:space="preserve"> a decrease of $</w:t>
      </w:r>
      <w:r>
        <w:rPr>
          <w:sz w:val="22"/>
          <w:szCs w:val="22"/>
        </w:rPr>
        <w:t>731</w:t>
      </w:r>
      <w:r w:rsidR="00AD58E5" w:rsidRPr="00341E12">
        <w:rPr>
          <w:sz w:val="22"/>
          <w:szCs w:val="22"/>
        </w:rPr>
        <w:t xml:space="preserve"> million</w:t>
      </w:r>
      <w:r w:rsidR="00ED77DC">
        <w:rPr>
          <w:sz w:val="22"/>
          <w:szCs w:val="22"/>
        </w:rPr>
        <w:t xml:space="preserve"> inflow</w:t>
      </w:r>
      <w:r w:rsidR="00AD58E5" w:rsidRPr="00341E12">
        <w:rPr>
          <w:sz w:val="22"/>
          <w:szCs w:val="22"/>
        </w:rPr>
        <w:t xml:space="preserve"> over the previous year. There </w:t>
      </w:r>
      <w:r w:rsidR="003A7BB6" w:rsidRPr="00341E12">
        <w:rPr>
          <w:sz w:val="22"/>
          <w:szCs w:val="22"/>
        </w:rPr>
        <w:t>have been lower payments</w:t>
      </w:r>
      <w:r w:rsidR="00F46E13">
        <w:rPr>
          <w:sz w:val="22"/>
          <w:szCs w:val="22"/>
        </w:rPr>
        <w:t xml:space="preserve"> </w:t>
      </w:r>
      <w:r w:rsidR="00F46E13" w:rsidRPr="00341E12">
        <w:rPr>
          <w:sz w:val="22"/>
          <w:szCs w:val="22"/>
        </w:rPr>
        <w:t>of</w:t>
      </w:r>
      <w:r w:rsidR="00AD58E5" w:rsidRPr="00341E12">
        <w:rPr>
          <w:sz w:val="22"/>
          <w:szCs w:val="22"/>
        </w:rPr>
        <w:t xml:space="preserve"> $</w:t>
      </w:r>
      <w:r w:rsidR="002F7CFA">
        <w:rPr>
          <w:sz w:val="22"/>
          <w:szCs w:val="22"/>
        </w:rPr>
        <w:t>1,283</w:t>
      </w:r>
      <w:r w:rsidR="00AD58E5">
        <w:rPr>
          <w:sz w:val="22"/>
          <w:szCs w:val="22"/>
        </w:rPr>
        <w:t xml:space="preserve"> million in overall </w:t>
      </w:r>
      <w:r w:rsidR="00AD58E5" w:rsidRPr="00341E12">
        <w:rPr>
          <w:sz w:val="22"/>
          <w:szCs w:val="22"/>
        </w:rPr>
        <w:t xml:space="preserve">as compared with previous year.   </w:t>
      </w:r>
    </w:p>
    <w:p w:rsidR="00AD58E5" w:rsidRDefault="006A19FB" w:rsidP="00E45CBF">
      <w:pPr>
        <w:pStyle w:val="Heading6"/>
        <w:tabs>
          <w:tab w:val="left" w:pos="9450"/>
        </w:tabs>
        <w:spacing w:line="276" w:lineRule="auto"/>
        <w:rPr>
          <w:rFonts w:ascii="Times New Roman" w:hAnsi="Times New Roman"/>
          <w:b w:val="0"/>
          <w:sz w:val="22"/>
          <w:szCs w:val="22"/>
          <w:u w:val="none"/>
        </w:rPr>
      </w:pPr>
      <w:r>
        <w:rPr>
          <w:rFonts w:ascii="Times New Roman" w:hAnsi="Times New Roman"/>
          <w:b w:val="0"/>
          <w:noProof/>
          <w:sz w:val="22"/>
          <w:szCs w:val="22"/>
          <w:u w:val="none"/>
        </w:rPr>
        <w:drawing>
          <wp:anchor distT="0" distB="0" distL="114300" distR="114300" simplePos="0" relativeHeight="251924480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69850</wp:posOffset>
            </wp:positionV>
            <wp:extent cx="4202430" cy="3505200"/>
            <wp:effectExtent l="19050" t="0" r="7620" b="0"/>
            <wp:wrapTight wrapText="bothSides">
              <wp:wrapPolygon edited="0">
                <wp:start x="-98" y="0"/>
                <wp:lineTo x="-98" y="21365"/>
                <wp:lineTo x="21639" y="21365"/>
                <wp:lineTo x="21639" y="0"/>
                <wp:lineTo x="-98" y="0"/>
              </wp:wrapPolygon>
            </wp:wrapTight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3B3" w:rsidRDefault="008E63B3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</w:p>
    <w:p w:rsidR="00066F5B" w:rsidRDefault="00066F5B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Merchandise </w:t>
      </w:r>
      <w:r w:rsidR="008942DB" w:rsidRPr="006857E9">
        <w:rPr>
          <w:b/>
          <w:sz w:val="22"/>
          <w:szCs w:val="22"/>
        </w:rPr>
        <w:t xml:space="preserve">Trade </w:t>
      </w:r>
    </w:p>
    <w:p w:rsidR="008E63B3" w:rsidRDefault="008E63B3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</w:p>
    <w:p w:rsidR="00633358" w:rsidRDefault="00B93679" w:rsidP="00E45CBF">
      <w:pPr>
        <w:pStyle w:val="BodyTextIndent"/>
        <w:ind w:firstLine="0"/>
        <w:jc w:val="left"/>
        <w:rPr>
          <w:sz w:val="22"/>
          <w:szCs w:val="22"/>
        </w:rPr>
      </w:pPr>
      <w:r w:rsidRPr="00B93679">
        <w:rPr>
          <w:szCs w:val="22"/>
        </w:rPr>
        <w:t xml:space="preserve"> </w:t>
      </w:r>
      <w:r w:rsidR="00B56750">
        <w:rPr>
          <w:sz w:val="22"/>
          <w:szCs w:val="22"/>
        </w:rPr>
        <w:t xml:space="preserve">Exports </w:t>
      </w:r>
      <w:r w:rsidR="001F0C99">
        <w:rPr>
          <w:sz w:val="22"/>
          <w:szCs w:val="22"/>
        </w:rPr>
        <w:t>fetched</w:t>
      </w:r>
      <w:r w:rsidR="00B56750">
        <w:rPr>
          <w:sz w:val="22"/>
          <w:szCs w:val="22"/>
        </w:rPr>
        <w:t xml:space="preserve"> $24,</w:t>
      </w:r>
      <w:r w:rsidR="001F0C99">
        <w:rPr>
          <w:sz w:val="22"/>
          <w:szCs w:val="22"/>
        </w:rPr>
        <w:t>795</w:t>
      </w:r>
      <w:r w:rsidR="00B56750">
        <w:rPr>
          <w:sz w:val="22"/>
          <w:szCs w:val="22"/>
        </w:rPr>
        <w:t xml:space="preserve"> million during FY1</w:t>
      </w:r>
      <w:r w:rsidR="001F0C99">
        <w:rPr>
          <w:sz w:val="22"/>
          <w:szCs w:val="22"/>
        </w:rPr>
        <w:t>3</w:t>
      </w:r>
      <w:r w:rsidR="00B56750">
        <w:rPr>
          <w:sz w:val="22"/>
          <w:szCs w:val="22"/>
        </w:rPr>
        <w:t xml:space="preserve">, </w:t>
      </w:r>
      <w:r w:rsidR="001F0C99">
        <w:rPr>
          <w:sz w:val="22"/>
          <w:szCs w:val="22"/>
        </w:rPr>
        <w:t>increased</w:t>
      </w:r>
      <w:r w:rsidR="00B56750">
        <w:rPr>
          <w:sz w:val="22"/>
          <w:szCs w:val="22"/>
        </w:rPr>
        <w:t xml:space="preserve"> by $</w:t>
      </w:r>
      <w:r w:rsidR="001F0C99">
        <w:rPr>
          <w:sz w:val="22"/>
          <w:szCs w:val="22"/>
        </w:rPr>
        <w:t>99</w:t>
      </w:r>
      <w:r w:rsidR="00B56750">
        <w:rPr>
          <w:sz w:val="22"/>
          <w:szCs w:val="22"/>
        </w:rPr>
        <w:t xml:space="preserve"> million (</w:t>
      </w:r>
      <w:r w:rsidR="001F0C99">
        <w:rPr>
          <w:sz w:val="22"/>
          <w:szCs w:val="22"/>
        </w:rPr>
        <w:t>0.4</w:t>
      </w:r>
      <w:r w:rsidR="00B56750">
        <w:rPr>
          <w:sz w:val="22"/>
          <w:szCs w:val="22"/>
        </w:rPr>
        <w:t>%) from $2</w:t>
      </w:r>
      <w:r w:rsidR="001F0C99">
        <w:rPr>
          <w:sz w:val="22"/>
          <w:szCs w:val="22"/>
        </w:rPr>
        <w:t>4</w:t>
      </w:r>
      <w:r w:rsidR="00B56750">
        <w:rPr>
          <w:sz w:val="22"/>
          <w:szCs w:val="22"/>
        </w:rPr>
        <w:t>,</w:t>
      </w:r>
      <w:r w:rsidR="001F0C99">
        <w:rPr>
          <w:sz w:val="22"/>
          <w:szCs w:val="22"/>
        </w:rPr>
        <w:t>696</w:t>
      </w:r>
      <w:r w:rsidR="00B56750">
        <w:rPr>
          <w:sz w:val="22"/>
          <w:szCs w:val="22"/>
        </w:rPr>
        <w:t xml:space="preserve"> million</w:t>
      </w:r>
      <w:r w:rsidR="00650BBC">
        <w:rPr>
          <w:sz w:val="22"/>
          <w:szCs w:val="22"/>
        </w:rPr>
        <w:t xml:space="preserve"> during the previous year</w:t>
      </w:r>
      <w:r w:rsidR="00B56750">
        <w:rPr>
          <w:sz w:val="22"/>
          <w:szCs w:val="22"/>
        </w:rPr>
        <w:t xml:space="preserve">. Imports </w:t>
      </w:r>
      <w:r w:rsidR="001F0C99">
        <w:rPr>
          <w:sz w:val="22"/>
          <w:szCs w:val="22"/>
        </w:rPr>
        <w:t>dec</w:t>
      </w:r>
      <w:r w:rsidR="001F0C99" w:rsidRPr="00476C54">
        <w:rPr>
          <w:sz w:val="22"/>
          <w:szCs w:val="22"/>
        </w:rPr>
        <w:t>reased</w:t>
      </w:r>
      <w:r w:rsidR="00B56750" w:rsidRPr="00476C54">
        <w:rPr>
          <w:sz w:val="22"/>
          <w:szCs w:val="22"/>
        </w:rPr>
        <w:t xml:space="preserve"> by $</w:t>
      </w:r>
      <w:r w:rsidR="001F0C99">
        <w:rPr>
          <w:sz w:val="22"/>
          <w:szCs w:val="22"/>
        </w:rPr>
        <w:t>2</w:t>
      </w:r>
      <w:r w:rsidR="00CA4ECB">
        <w:rPr>
          <w:sz w:val="22"/>
          <w:szCs w:val="22"/>
        </w:rPr>
        <w:t>35</w:t>
      </w:r>
      <w:r w:rsidR="00B56750" w:rsidRPr="00476C54">
        <w:rPr>
          <w:sz w:val="22"/>
          <w:szCs w:val="22"/>
        </w:rPr>
        <w:t xml:space="preserve"> million (</w:t>
      </w:r>
      <w:r w:rsidR="001F0C99">
        <w:rPr>
          <w:sz w:val="22"/>
          <w:szCs w:val="22"/>
        </w:rPr>
        <w:t>0.</w:t>
      </w:r>
      <w:r w:rsidR="00B8709F">
        <w:rPr>
          <w:sz w:val="22"/>
          <w:szCs w:val="22"/>
        </w:rPr>
        <w:t>6</w:t>
      </w:r>
      <w:r w:rsidR="00B56750" w:rsidRPr="00476C54">
        <w:rPr>
          <w:sz w:val="22"/>
          <w:szCs w:val="22"/>
        </w:rPr>
        <w:t xml:space="preserve">%) </w:t>
      </w:r>
      <w:r w:rsidR="001B42E5">
        <w:rPr>
          <w:sz w:val="22"/>
          <w:szCs w:val="22"/>
        </w:rPr>
        <w:t>from $</w:t>
      </w:r>
      <w:r w:rsidR="001F0C99">
        <w:rPr>
          <w:sz w:val="22"/>
          <w:szCs w:val="22"/>
        </w:rPr>
        <w:t>40,461 million</w:t>
      </w:r>
      <w:r w:rsidR="00650BBC">
        <w:rPr>
          <w:sz w:val="22"/>
          <w:szCs w:val="22"/>
        </w:rPr>
        <w:t xml:space="preserve"> </w:t>
      </w:r>
      <w:r w:rsidR="001F0C99">
        <w:rPr>
          <w:sz w:val="22"/>
          <w:szCs w:val="22"/>
        </w:rPr>
        <w:t>to $40,</w:t>
      </w:r>
      <w:r w:rsidR="00CA4ECB">
        <w:rPr>
          <w:sz w:val="22"/>
          <w:szCs w:val="22"/>
        </w:rPr>
        <w:t>226</w:t>
      </w:r>
      <w:r w:rsidR="001F0C99">
        <w:rPr>
          <w:sz w:val="22"/>
          <w:szCs w:val="22"/>
        </w:rPr>
        <w:t xml:space="preserve"> million in FY13</w:t>
      </w:r>
      <w:r w:rsidR="001B42E5" w:rsidRPr="003818DD">
        <w:rPr>
          <w:sz w:val="22"/>
          <w:szCs w:val="22"/>
        </w:rPr>
        <w:t>. The general merchandise transactions reported through banks (export receipts) on a mixed f.o.b and c&amp;</w:t>
      </w:r>
      <w:r w:rsidR="00FB4BD1">
        <w:rPr>
          <w:sz w:val="22"/>
          <w:szCs w:val="22"/>
        </w:rPr>
        <w:t>f basis amounted to $2</w:t>
      </w:r>
      <w:r w:rsidR="00B8709F">
        <w:rPr>
          <w:sz w:val="22"/>
          <w:szCs w:val="22"/>
        </w:rPr>
        <w:t>3</w:t>
      </w:r>
      <w:r w:rsidR="001B42E5">
        <w:rPr>
          <w:sz w:val="22"/>
          <w:szCs w:val="22"/>
        </w:rPr>
        <w:t>,</w:t>
      </w:r>
      <w:r w:rsidR="00B8709F">
        <w:rPr>
          <w:sz w:val="22"/>
          <w:szCs w:val="22"/>
        </w:rPr>
        <w:t>693</w:t>
      </w:r>
      <w:r w:rsidR="001B42E5">
        <w:rPr>
          <w:sz w:val="22"/>
          <w:szCs w:val="22"/>
        </w:rPr>
        <w:t xml:space="preserve"> million as compared to $2</w:t>
      </w:r>
      <w:r w:rsidR="00B8709F">
        <w:rPr>
          <w:sz w:val="22"/>
          <w:szCs w:val="22"/>
        </w:rPr>
        <w:t>3</w:t>
      </w:r>
      <w:r w:rsidR="001B42E5">
        <w:rPr>
          <w:sz w:val="22"/>
          <w:szCs w:val="22"/>
        </w:rPr>
        <w:t>,</w:t>
      </w:r>
      <w:r w:rsidR="00FB4BD1">
        <w:rPr>
          <w:sz w:val="22"/>
          <w:szCs w:val="22"/>
        </w:rPr>
        <w:t>4</w:t>
      </w:r>
      <w:r w:rsidR="00B8709F">
        <w:rPr>
          <w:sz w:val="22"/>
          <w:szCs w:val="22"/>
        </w:rPr>
        <w:t>93</w:t>
      </w:r>
      <w:r w:rsidR="001B42E5" w:rsidRPr="003818DD">
        <w:rPr>
          <w:sz w:val="22"/>
          <w:szCs w:val="22"/>
        </w:rPr>
        <w:t xml:space="preserve"> million during </w:t>
      </w:r>
      <w:r w:rsidR="001B42E5">
        <w:rPr>
          <w:sz w:val="22"/>
          <w:szCs w:val="22"/>
        </w:rPr>
        <w:t>previous</w:t>
      </w:r>
      <w:r w:rsidR="001B42E5" w:rsidRPr="003818DD">
        <w:rPr>
          <w:sz w:val="22"/>
          <w:szCs w:val="22"/>
        </w:rPr>
        <w:t xml:space="preserve"> fiscal year. The general merchandise exports at f.o.b are arrived at by deducting freight, adding </w:t>
      </w:r>
      <w:r w:rsidR="001B42E5">
        <w:rPr>
          <w:sz w:val="22"/>
          <w:szCs w:val="22"/>
        </w:rPr>
        <w:t>outstanding export bills of $</w:t>
      </w:r>
      <w:r w:rsidR="00FB4BD1">
        <w:rPr>
          <w:sz w:val="22"/>
          <w:szCs w:val="22"/>
        </w:rPr>
        <w:t>401</w:t>
      </w:r>
      <w:r w:rsidR="001B42E5" w:rsidRPr="003818DD">
        <w:rPr>
          <w:sz w:val="22"/>
          <w:szCs w:val="22"/>
        </w:rPr>
        <w:t xml:space="preserve"> million </w:t>
      </w:r>
      <w:r w:rsidR="001B42E5">
        <w:rPr>
          <w:sz w:val="22"/>
          <w:szCs w:val="22"/>
        </w:rPr>
        <w:t>(</w:t>
      </w:r>
      <w:r w:rsidR="001B42E5" w:rsidRPr="003818DD">
        <w:rPr>
          <w:sz w:val="22"/>
          <w:szCs w:val="22"/>
        </w:rPr>
        <w:t>timing adjustments</w:t>
      </w:r>
      <w:r w:rsidR="001B42E5">
        <w:rPr>
          <w:sz w:val="22"/>
          <w:szCs w:val="22"/>
        </w:rPr>
        <w:t>) and other exports of $</w:t>
      </w:r>
      <w:r w:rsidR="00FB4BD1">
        <w:rPr>
          <w:sz w:val="22"/>
          <w:szCs w:val="22"/>
        </w:rPr>
        <w:t>488</w:t>
      </w:r>
      <w:r w:rsidR="001B42E5" w:rsidRPr="003818DD">
        <w:rPr>
          <w:sz w:val="22"/>
          <w:szCs w:val="22"/>
        </w:rPr>
        <w:t xml:space="preserve"> million not covered through banking channel.</w:t>
      </w:r>
    </w:p>
    <w:p w:rsidR="00633358" w:rsidRPr="00633358" w:rsidRDefault="006A19FB" w:rsidP="00E45CBF">
      <w:pPr>
        <w:pStyle w:val="BodyTextIndent"/>
        <w:ind w:firstLine="0"/>
        <w:jc w:val="left"/>
        <w:rPr>
          <w:sz w:val="22"/>
          <w:szCs w:val="22"/>
        </w:rPr>
      </w:pPr>
      <w:r w:rsidRPr="006A19FB">
        <w:rPr>
          <w:noProof/>
          <w:szCs w:val="22"/>
        </w:rPr>
        <w:lastRenderedPageBreak/>
        <w:drawing>
          <wp:anchor distT="0" distB="0" distL="114300" distR="114300" simplePos="0" relativeHeight="251921408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0</wp:posOffset>
            </wp:positionV>
            <wp:extent cx="4219575" cy="4686300"/>
            <wp:effectExtent l="19050" t="0" r="9525" b="0"/>
            <wp:wrapTight wrapText="bothSides">
              <wp:wrapPolygon edited="0">
                <wp:start x="-98" y="0"/>
                <wp:lineTo x="-98" y="21424"/>
                <wp:lineTo x="21649" y="21424"/>
                <wp:lineTo x="21649" y="0"/>
                <wp:lineTo x="-98" y="0"/>
              </wp:wrapPolygon>
            </wp:wrapTight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358" w:rsidRPr="00633358">
        <w:rPr>
          <w:sz w:val="22"/>
          <w:szCs w:val="22"/>
        </w:rPr>
        <w:t xml:space="preserve">The general merchandise (imports) showed </w:t>
      </w:r>
      <w:r w:rsidR="00F46E13">
        <w:rPr>
          <w:sz w:val="22"/>
          <w:szCs w:val="22"/>
        </w:rPr>
        <w:t>a decline by $</w:t>
      </w:r>
      <w:r w:rsidR="003C65B7">
        <w:rPr>
          <w:sz w:val="22"/>
          <w:szCs w:val="22"/>
        </w:rPr>
        <w:t>140</w:t>
      </w:r>
      <w:r w:rsidR="00F46E13">
        <w:rPr>
          <w:sz w:val="22"/>
          <w:szCs w:val="22"/>
        </w:rPr>
        <w:t xml:space="preserve"> </w:t>
      </w:r>
      <w:r w:rsidR="00633358" w:rsidRPr="00633358">
        <w:rPr>
          <w:sz w:val="22"/>
          <w:szCs w:val="22"/>
        </w:rPr>
        <w:t xml:space="preserve">million over </w:t>
      </w:r>
      <w:r w:rsidR="0042368E">
        <w:rPr>
          <w:sz w:val="22"/>
          <w:szCs w:val="22"/>
        </w:rPr>
        <w:t>of the</w:t>
      </w:r>
      <w:r w:rsidR="00633358" w:rsidRPr="00633358">
        <w:rPr>
          <w:sz w:val="22"/>
          <w:szCs w:val="22"/>
        </w:rPr>
        <w:t xml:space="preserve"> previous year. Of the total imports payments against general merchandise (f.o.b), $ 39,321 million were reported by banks while those under foreign economic assistance, personal baggage &amp; NRI, sale of duty free shops and others taken together amounted to $ </w:t>
      </w:r>
      <w:r w:rsidR="003C65B7">
        <w:rPr>
          <w:sz w:val="22"/>
          <w:szCs w:val="22"/>
        </w:rPr>
        <w:t>2,9</w:t>
      </w:r>
      <w:r w:rsidR="00DE2300">
        <w:rPr>
          <w:sz w:val="22"/>
          <w:szCs w:val="22"/>
        </w:rPr>
        <w:t>0</w:t>
      </w:r>
      <w:r w:rsidR="003C65B7">
        <w:rPr>
          <w:sz w:val="22"/>
          <w:szCs w:val="22"/>
        </w:rPr>
        <w:t>7</w:t>
      </w:r>
      <w:r w:rsidR="00633358" w:rsidRPr="00633358">
        <w:rPr>
          <w:sz w:val="22"/>
          <w:szCs w:val="22"/>
        </w:rPr>
        <w:t xml:space="preserve"> million.</w:t>
      </w:r>
      <w:r w:rsidR="0042368E">
        <w:rPr>
          <w:sz w:val="22"/>
          <w:szCs w:val="22"/>
        </w:rPr>
        <w:t xml:space="preserve">                             </w:t>
      </w:r>
    </w:p>
    <w:p w:rsidR="003761F5" w:rsidRDefault="003761F5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58626B" w:rsidRDefault="0028305E" w:rsidP="00E45CBF">
      <w:pPr>
        <w:pStyle w:val="BodyTextIndent"/>
        <w:ind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2205355</wp:posOffset>
            </wp:positionV>
            <wp:extent cx="4222115" cy="2245995"/>
            <wp:effectExtent l="19050" t="0" r="6985" b="0"/>
            <wp:wrapTight wrapText="bothSides">
              <wp:wrapPolygon edited="0">
                <wp:start x="-97" y="0"/>
                <wp:lineTo x="-97" y="21435"/>
                <wp:lineTo x="21636" y="21435"/>
                <wp:lineTo x="21636" y="0"/>
                <wp:lineTo x="-97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358" w:rsidRPr="0058626B">
        <w:rPr>
          <w:sz w:val="22"/>
          <w:szCs w:val="22"/>
        </w:rPr>
        <w:t xml:space="preserve">Export receipts during FY13 by </w:t>
      </w:r>
      <w:r w:rsidR="001B42E5" w:rsidRPr="0058626B">
        <w:rPr>
          <w:sz w:val="22"/>
          <w:szCs w:val="22"/>
        </w:rPr>
        <w:t xml:space="preserve">commodity groups are shown </w:t>
      </w:r>
      <w:r w:rsidR="00650BBC" w:rsidRPr="0058626B">
        <w:rPr>
          <w:sz w:val="22"/>
          <w:szCs w:val="22"/>
        </w:rPr>
        <w:t xml:space="preserve">in descending order </w:t>
      </w:r>
      <w:r w:rsidR="001B42E5" w:rsidRPr="0058626B">
        <w:rPr>
          <w:sz w:val="22"/>
          <w:szCs w:val="22"/>
        </w:rPr>
        <w:t xml:space="preserve">in </w:t>
      </w:r>
      <w:r w:rsidR="00E85EBD">
        <w:rPr>
          <w:sz w:val="22"/>
          <w:szCs w:val="22"/>
        </w:rPr>
        <w:t>Table</w:t>
      </w:r>
      <w:r w:rsidR="00633358" w:rsidRPr="0058626B">
        <w:rPr>
          <w:sz w:val="22"/>
          <w:szCs w:val="22"/>
        </w:rPr>
        <w:t xml:space="preserve"> 3</w:t>
      </w:r>
      <w:r w:rsidR="001B42E5" w:rsidRPr="0058626B">
        <w:rPr>
          <w:sz w:val="22"/>
          <w:szCs w:val="22"/>
        </w:rPr>
        <w:t xml:space="preserve"> </w:t>
      </w:r>
      <w:r w:rsidR="00633358" w:rsidRPr="0058626B">
        <w:rPr>
          <w:sz w:val="22"/>
          <w:szCs w:val="22"/>
        </w:rPr>
        <w:t xml:space="preserve">along with the corresponding period. </w:t>
      </w:r>
      <w:r w:rsidR="00B928C6" w:rsidRPr="0058626B">
        <w:rPr>
          <w:sz w:val="22"/>
          <w:szCs w:val="22"/>
        </w:rPr>
        <w:t xml:space="preserve">The </w:t>
      </w:r>
      <w:r w:rsidR="001B42E5" w:rsidRPr="0058626B">
        <w:rPr>
          <w:sz w:val="22"/>
          <w:szCs w:val="22"/>
        </w:rPr>
        <w:t xml:space="preserve">commodity-wise analysis of export receipts revealed that exports remained concentrated in </w:t>
      </w:r>
      <w:r w:rsidR="00633358" w:rsidRPr="0058626B">
        <w:rPr>
          <w:sz w:val="22"/>
          <w:szCs w:val="22"/>
        </w:rPr>
        <w:t xml:space="preserve">textiles and textile articles </w:t>
      </w:r>
      <w:r w:rsidR="001B42E5" w:rsidRPr="0058626B">
        <w:rPr>
          <w:sz w:val="22"/>
          <w:szCs w:val="22"/>
        </w:rPr>
        <w:t>as they</w:t>
      </w:r>
      <w:r w:rsidR="001B42E5">
        <w:rPr>
          <w:sz w:val="22"/>
          <w:szCs w:val="22"/>
        </w:rPr>
        <w:t xml:space="preserve"> earned $</w:t>
      </w:r>
      <w:r w:rsidR="00633358">
        <w:rPr>
          <w:sz w:val="22"/>
          <w:szCs w:val="22"/>
        </w:rPr>
        <w:t>12,963</w:t>
      </w:r>
      <w:r w:rsidR="001B42E5">
        <w:rPr>
          <w:sz w:val="22"/>
          <w:szCs w:val="22"/>
        </w:rPr>
        <w:t xml:space="preserve"> million i.e. </w:t>
      </w:r>
      <w:r w:rsidR="00633358">
        <w:rPr>
          <w:sz w:val="22"/>
          <w:szCs w:val="22"/>
        </w:rPr>
        <w:t>55</w:t>
      </w:r>
      <w:r w:rsidR="001B42E5">
        <w:rPr>
          <w:sz w:val="22"/>
          <w:szCs w:val="22"/>
        </w:rPr>
        <w:t xml:space="preserve"> percent of total exports</w:t>
      </w:r>
      <w:r w:rsidR="00ED77DC">
        <w:rPr>
          <w:sz w:val="22"/>
          <w:szCs w:val="22"/>
        </w:rPr>
        <w:t xml:space="preserve"> receipts</w:t>
      </w:r>
      <w:r w:rsidR="001B42E5">
        <w:rPr>
          <w:sz w:val="22"/>
          <w:szCs w:val="22"/>
        </w:rPr>
        <w:t xml:space="preserve"> in the current year</w:t>
      </w:r>
      <w:r w:rsidR="00F46E13">
        <w:rPr>
          <w:sz w:val="22"/>
          <w:szCs w:val="22"/>
        </w:rPr>
        <w:t>.</w:t>
      </w:r>
      <w:r w:rsidR="00493E26">
        <w:rPr>
          <w:sz w:val="22"/>
          <w:szCs w:val="22"/>
        </w:rPr>
        <w:t xml:space="preserve"> </w:t>
      </w:r>
      <w:r w:rsidR="00F46E13">
        <w:rPr>
          <w:sz w:val="22"/>
          <w:szCs w:val="22"/>
        </w:rPr>
        <w:t xml:space="preserve">Food and food products shared </w:t>
      </w:r>
      <w:r w:rsidR="00493E26">
        <w:rPr>
          <w:sz w:val="22"/>
          <w:szCs w:val="22"/>
        </w:rPr>
        <w:t>1</w:t>
      </w:r>
      <w:r w:rsidR="00F46E13">
        <w:rPr>
          <w:sz w:val="22"/>
          <w:szCs w:val="22"/>
        </w:rPr>
        <w:t>7</w:t>
      </w:r>
      <w:r w:rsidR="00493E26">
        <w:rPr>
          <w:sz w:val="22"/>
          <w:szCs w:val="22"/>
        </w:rPr>
        <w:t xml:space="preserve"> percent of the total export</w:t>
      </w:r>
      <w:r w:rsidR="00830F21">
        <w:rPr>
          <w:sz w:val="22"/>
          <w:szCs w:val="22"/>
        </w:rPr>
        <w:t xml:space="preserve"> receipts</w:t>
      </w:r>
      <w:r w:rsidR="00493E26">
        <w:rPr>
          <w:sz w:val="22"/>
          <w:szCs w:val="22"/>
        </w:rPr>
        <w:t xml:space="preserve">. </w:t>
      </w:r>
      <w:r w:rsidR="001B42E5">
        <w:rPr>
          <w:sz w:val="22"/>
          <w:szCs w:val="22"/>
        </w:rPr>
        <w:t>Same groups earned $</w:t>
      </w:r>
      <w:r w:rsidR="00493E26">
        <w:rPr>
          <w:sz w:val="22"/>
          <w:szCs w:val="22"/>
        </w:rPr>
        <w:t>13, 221</w:t>
      </w:r>
      <w:r w:rsidR="001B42E5">
        <w:rPr>
          <w:sz w:val="22"/>
          <w:szCs w:val="22"/>
        </w:rPr>
        <w:t xml:space="preserve"> million </w:t>
      </w:r>
      <w:r w:rsidR="00493E26">
        <w:rPr>
          <w:sz w:val="22"/>
          <w:szCs w:val="22"/>
        </w:rPr>
        <w:t xml:space="preserve">and </w:t>
      </w:r>
      <w:r w:rsidR="00B8709F">
        <w:rPr>
          <w:sz w:val="22"/>
          <w:szCs w:val="22"/>
        </w:rPr>
        <w:t>$3,683 million</w:t>
      </w:r>
      <w:r w:rsidR="00493E26">
        <w:rPr>
          <w:sz w:val="22"/>
          <w:szCs w:val="22"/>
        </w:rPr>
        <w:t xml:space="preserve"> respectively of</w:t>
      </w:r>
      <w:r w:rsidR="001B42E5">
        <w:rPr>
          <w:sz w:val="22"/>
          <w:szCs w:val="22"/>
        </w:rPr>
        <w:t xml:space="preserve"> over-all exports in the </w:t>
      </w:r>
      <w:r w:rsidR="00650BBC">
        <w:rPr>
          <w:sz w:val="22"/>
          <w:szCs w:val="22"/>
        </w:rPr>
        <w:t xml:space="preserve">previous </w:t>
      </w:r>
      <w:r w:rsidR="00B37CFA">
        <w:rPr>
          <w:sz w:val="22"/>
          <w:szCs w:val="22"/>
        </w:rPr>
        <w:t>year</w:t>
      </w:r>
      <w:r w:rsidR="001B42E5">
        <w:rPr>
          <w:sz w:val="22"/>
          <w:szCs w:val="22"/>
        </w:rPr>
        <w:t xml:space="preserve">. </w:t>
      </w:r>
    </w:p>
    <w:p w:rsidR="0058626B" w:rsidRDefault="0058626B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42368E" w:rsidRDefault="0058626B" w:rsidP="00E45CBF">
      <w:pPr>
        <w:pStyle w:val="BodyTextIndent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 w:rsidR="001B42E5" w:rsidRPr="006934BE">
        <w:rPr>
          <w:sz w:val="22"/>
          <w:szCs w:val="22"/>
        </w:rPr>
        <w:t>ountry-wise comparison of export receip</w:t>
      </w:r>
      <w:r w:rsidR="001B42E5">
        <w:rPr>
          <w:sz w:val="22"/>
          <w:szCs w:val="22"/>
        </w:rPr>
        <w:t xml:space="preserve">ts by major countries during </w:t>
      </w:r>
      <w:r w:rsidR="001B42E5" w:rsidRPr="00A80969">
        <w:rPr>
          <w:sz w:val="22"/>
          <w:szCs w:val="22"/>
        </w:rPr>
        <w:t>FY1</w:t>
      </w:r>
      <w:r w:rsidR="00493E26">
        <w:rPr>
          <w:sz w:val="22"/>
          <w:szCs w:val="22"/>
        </w:rPr>
        <w:t>3</w:t>
      </w:r>
      <w:r w:rsidR="001B42E5" w:rsidRPr="006934BE">
        <w:rPr>
          <w:sz w:val="22"/>
          <w:szCs w:val="22"/>
        </w:rPr>
        <w:t xml:space="preserve"> </w:t>
      </w:r>
      <w:r w:rsidR="00B56750">
        <w:rPr>
          <w:sz w:val="22"/>
          <w:szCs w:val="22"/>
        </w:rPr>
        <w:t xml:space="preserve">along </w:t>
      </w:r>
      <w:r w:rsidR="001B42E5" w:rsidRPr="006934BE">
        <w:rPr>
          <w:sz w:val="22"/>
          <w:szCs w:val="22"/>
        </w:rPr>
        <w:t xml:space="preserve">with </w:t>
      </w:r>
      <w:r w:rsidR="001B42E5">
        <w:rPr>
          <w:sz w:val="22"/>
          <w:szCs w:val="22"/>
        </w:rPr>
        <w:t>FY1</w:t>
      </w:r>
      <w:r w:rsidR="00493E26">
        <w:rPr>
          <w:sz w:val="22"/>
          <w:szCs w:val="22"/>
        </w:rPr>
        <w:t>2</w:t>
      </w:r>
      <w:r w:rsidR="00B07D0F">
        <w:rPr>
          <w:sz w:val="22"/>
          <w:szCs w:val="22"/>
        </w:rPr>
        <w:t xml:space="preserve"> </w:t>
      </w:r>
      <w:r w:rsidR="001B42E5" w:rsidRPr="006934BE">
        <w:rPr>
          <w:sz w:val="22"/>
          <w:szCs w:val="22"/>
        </w:rPr>
        <w:t xml:space="preserve">is </w:t>
      </w:r>
      <w:r w:rsidR="001B42E5">
        <w:rPr>
          <w:sz w:val="22"/>
          <w:szCs w:val="22"/>
        </w:rPr>
        <w:t>shown</w:t>
      </w:r>
      <w:r w:rsidR="001B42E5" w:rsidRPr="006934BE">
        <w:rPr>
          <w:sz w:val="22"/>
          <w:szCs w:val="22"/>
        </w:rPr>
        <w:t xml:space="preserve"> in </w:t>
      </w:r>
      <w:r w:rsidR="00E85EBD">
        <w:rPr>
          <w:sz w:val="22"/>
          <w:szCs w:val="22"/>
        </w:rPr>
        <w:t>Figure</w:t>
      </w:r>
      <w:r w:rsidR="001B42E5" w:rsidRPr="006934BE">
        <w:rPr>
          <w:sz w:val="22"/>
          <w:szCs w:val="22"/>
        </w:rPr>
        <w:t xml:space="preserve"> 1.</w:t>
      </w:r>
      <w:r w:rsidR="001B42E5" w:rsidRPr="001467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B42E5">
        <w:rPr>
          <w:sz w:val="22"/>
          <w:szCs w:val="22"/>
        </w:rPr>
        <w:t>USA, China</w:t>
      </w:r>
      <w:r w:rsidR="00476C54">
        <w:rPr>
          <w:sz w:val="22"/>
          <w:szCs w:val="22"/>
        </w:rPr>
        <w:t>,</w:t>
      </w:r>
      <w:r w:rsidR="001B42E5">
        <w:rPr>
          <w:sz w:val="22"/>
          <w:szCs w:val="22"/>
        </w:rPr>
        <w:t xml:space="preserve"> UAE</w:t>
      </w:r>
      <w:r w:rsidR="00476C54">
        <w:rPr>
          <w:sz w:val="22"/>
          <w:szCs w:val="22"/>
        </w:rPr>
        <w:t>,</w:t>
      </w:r>
      <w:r w:rsidR="001B42E5">
        <w:rPr>
          <w:sz w:val="22"/>
          <w:szCs w:val="22"/>
        </w:rPr>
        <w:t xml:space="preserve"> Afghanistan, UK, and Germany remained major destinations of country’s exports. It has been observed </w:t>
      </w:r>
      <w:r w:rsidR="00B436F4">
        <w:rPr>
          <w:sz w:val="22"/>
          <w:szCs w:val="22"/>
        </w:rPr>
        <w:t xml:space="preserve">that </w:t>
      </w:r>
      <w:r>
        <w:rPr>
          <w:sz w:val="22"/>
          <w:szCs w:val="22"/>
        </w:rPr>
        <w:t>68</w:t>
      </w:r>
      <w:r w:rsidR="001B42E5">
        <w:rPr>
          <w:sz w:val="22"/>
          <w:szCs w:val="22"/>
        </w:rPr>
        <w:t xml:space="preserve"> percent of total exports were destined for these countries</w:t>
      </w:r>
      <w:r w:rsidR="004E6822">
        <w:rPr>
          <w:sz w:val="22"/>
          <w:szCs w:val="22"/>
        </w:rPr>
        <w:t>.</w:t>
      </w:r>
    </w:p>
    <w:p w:rsidR="004E6822" w:rsidRPr="0042368E" w:rsidRDefault="0042368E" w:rsidP="00E45CBF">
      <w:pPr>
        <w:rPr>
          <w:rFonts w:ascii="Times New Roman" w:eastAsia="Times New Roman" w:hAnsi="Times New Roman" w:cs="Times New Roman"/>
        </w:rPr>
      </w:pPr>
      <w:r>
        <w:br w:type="page"/>
      </w:r>
    </w:p>
    <w:p w:rsidR="004E6822" w:rsidRDefault="006A19FB" w:rsidP="00E45CBF">
      <w:pPr>
        <w:pStyle w:val="BodyTextIndent"/>
        <w:ind w:firstLine="0"/>
        <w:jc w:val="left"/>
        <w:rPr>
          <w:sz w:val="22"/>
          <w:szCs w:val="22"/>
        </w:rPr>
      </w:pPr>
      <w:r w:rsidRPr="006A19FB">
        <w:rPr>
          <w:noProof/>
          <w:szCs w:val="22"/>
        </w:rPr>
        <w:lastRenderedPageBreak/>
        <w:drawing>
          <wp:anchor distT="0" distB="0" distL="114300" distR="114300" simplePos="0" relativeHeight="251922432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0</wp:posOffset>
            </wp:positionV>
            <wp:extent cx="3943350" cy="4524375"/>
            <wp:effectExtent l="19050" t="0" r="0" b="0"/>
            <wp:wrapTight wrapText="bothSides">
              <wp:wrapPolygon edited="0">
                <wp:start x="-104" y="0"/>
                <wp:lineTo x="-104" y="21464"/>
                <wp:lineTo x="21600" y="21464"/>
                <wp:lineTo x="21600" y="0"/>
                <wp:lineTo x="-104" y="0"/>
              </wp:wrapPolygon>
            </wp:wrapTight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6AF" w:rsidRDefault="009F425D" w:rsidP="00E45CBF">
      <w:pPr>
        <w:pStyle w:val="BodyTextIndent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Import payments</w:t>
      </w:r>
      <w:r w:rsidRPr="0058626B">
        <w:rPr>
          <w:sz w:val="22"/>
          <w:szCs w:val="22"/>
        </w:rPr>
        <w:t xml:space="preserve"> during FY13 by commodity groups are shown in descending order in </w:t>
      </w:r>
      <w:r w:rsidR="00E85EBD">
        <w:rPr>
          <w:sz w:val="22"/>
          <w:szCs w:val="22"/>
        </w:rPr>
        <w:t>Table</w:t>
      </w:r>
      <w:r w:rsidRPr="0058626B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58626B">
        <w:rPr>
          <w:sz w:val="22"/>
          <w:szCs w:val="22"/>
        </w:rPr>
        <w:t xml:space="preserve"> along with the corresponding period. </w:t>
      </w:r>
    </w:p>
    <w:p w:rsidR="00B8709F" w:rsidRPr="006934BE" w:rsidRDefault="00B8709F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1B42E5" w:rsidRPr="006934BE" w:rsidRDefault="009F621A" w:rsidP="00E45CBF">
      <w:pPr>
        <w:pStyle w:val="BodyTextIndent"/>
        <w:ind w:firstLine="0"/>
        <w:jc w:val="left"/>
        <w:rPr>
          <w:sz w:val="22"/>
          <w:szCs w:val="22"/>
        </w:rPr>
      </w:pPr>
      <w:r w:rsidRPr="001467C3">
        <w:rPr>
          <w:sz w:val="22"/>
          <w:szCs w:val="22"/>
        </w:rPr>
        <w:t xml:space="preserve"> </w:t>
      </w:r>
      <w:r w:rsidR="001B42E5">
        <w:rPr>
          <w:sz w:val="22"/>
          <w:szCs w:val="22"/>
        </w:rPr>
        <w:t>A total of $14,</w:t>
      </w:r>
      <w:r w:rsidR="009F425D">
        <w:rPr>
          <w:sz w:val="22"/>
          <w:szCs w:val="22"/>
        </w:rPr>
        <w:t>726</w:t>
      </w:r>
      <w:r w:rsidR="001B42E5">
        <w:rPr>
          <w:sz w:val="22"/>
          <w:szCs w:val="22"/>
        </w:rPr>
        <w:t xml:space="preserve"> million, </w:t>
      </w:r>
      <w:r w:rsidR="00E45CBF">
        <w:rPr>
          <w:sz w:val="22"/>
          <w:szCs w:val="22"/>
        </w:rPr>
        <w:t xml:space="preserve">37 </w:t>
      </w:r>
      <w:r w:rsidR="001B42E5">
        <w:rPr>
          <w:sz w:val="22"/>
          <w:szCs w:val="22"/>
        </w:rPr>
        <w:t xml:space="preserve">percent of total import payments, were made for </w:t>
      </w:r>
      <w:r w:rsidR="009F425D">
        <w:rPr>
          <w:sz w:val="22"/>
          <w:szCs w:val="22"/>
        </w:rPr>
        <w:t xml:space="preserve">minerals </w:t>
      </w:r>
      <w:r w:rsidR="001B42E5">
        <w:rPr>
          <w:sz w:val="22"/>
          <w:szCs w:val="22"/>
        </w:rPr>
        <w:t xml:space="preserve">products. Import payments for </w:t>
      </w:r>
      <w:r w:rsidR="00F7497C">
        <w:rPr>
          <w:sz w:val="22"/>
          <w:szCs w:val="22"/>
        </w:rPr>
        <w:t>p</w:t>
      </w:r>
      <w:r w:rsidR="00866390">
        <w:rPr>
          <w:sz w:val="22"/>
          <w:szCs w:val="22"/>
        </w:rPr>
        <w:t>roducts of c</w:t>
      </w:r>
      <w:r w:rsidR="009F425D" w:rsidRPr="009F425D">
        <w:rPr>
          <w:sz w:val="22"/>
          <w:szCs w:val="22"/>
        </w:rPr>
        <w:t xml:space="preserve">hemical or </w:t>
      </w:r>
      <w:r w:rsidR="00866390">
        <w:rPr>
          <w:sz w:val="22"/>
          <w:szCs w:val="22"/>
        </w:rPr>
        <w:t>allied i</w:t>
      </w:r>
      <w:r w:rsidR="009F425D" w:rsidRPr="009F425D">
        <w:rPr>
          <w:sz w:val="22"/>
          <w:szCs w:val="22"/>
        </w:rPr>
        <w:t>ndustries</w:t>
      </w:r>
      <w:r w:rsidR="009F425D">
        <w:rPr>
          <w:sz w:val="22"/>
          <w:szCs w:val="22"/>
        </w:rPr>
        <w:t xml:space="preserve"> captured </w:t>
      </w:r>
      <w:r w:rsidR="00DE2300">
        <w:rPr>
          <w:sz w:val="22"/>
          <w:szCs w:val="22"/>
        </w:rPr>
        <w:t>12</w:t>
      </w:r>
      <w:r w:rsidR="009F425D">
        <w:rPr>
          <w:sz w:val="22"/>
          <w:szCs w:val="22"/>
        </w:rPr>
        <w:t xml:space="preserve"> percent of the total import payments</w:t>
      </w:r>
      <w:r w:rsidR="00157619">
        <w:rPr>
          <w:sz w:val="22"/>
          <w:szCs w:val="22"/>
        </w:rPr>
        <w:t>. M</w:t>
      </w:r>
      <w:r w:rsidR="007342EB">
        <w:rPr>
          <w:sz w:val="22"/>
          <w:szCs w:val="22"/>
        </w:rPr>
        <w:t xml:space="preserve">achinery &amp; </w:t>
      </w:r>
      <w:r w:rsidR="00F7497C">
        <w:rPr>
          <w:sz w:val="22"/>
          <w:szCs w:val="22"/>
        </w:rPr>
        <w:t>m</w:t>
      </w:r>
      <w:r w:rsidR="00866390">
        <w:rPr>
          <w:sz w:val="22"/>
          <w:szCs w:val="22"/>
        </w:rPr>
        <w:t>echanical a</w:t>
      </w:r>
      <w:r w:rsidR="007342EB" w:rsidRPr="007342EB">
        <w:rPr>
          <w:sz w:val="22"/>
          <w:szCs w:val="22"/>
        </w:rPr>
        <w:t>ppliances</w:t>
      </w:r>
      <w:r w:rsidR="007342EB">
        <w:rPr>
          <w:sz w:val="22"/>
          <w:szCs w:val="22"/>
        </w:rPr>
        <w:t xml:space="preserve"> increased by $108 million and capture</w:t>
      </w:r>
      <w:r w:rsidR="00F7497C">
        <w:rPr>
          <w:sz w:val="22"/>
          <w:szCs w:val="22"/>
        </w:rPr>
        <w:t>d</w:t>
      </w:r>
      <w:r w:rsidR="007342EB">
        <w:rPr>
          <w:sz w:val="22"/>
          <w:szCs w:val="22"/>
        </w:rPr>
        <w:t xml:space="preserve"> </w:t>
      </w:r>
      <w:r w:rsidR="00B8709F">
        <w:rPr>
          <w:sz w:val="22"/>
          <w:szCs w:val="22"/>
        </w:rPr>
        <w:t>16</w:t>
      </w:r>
      <w:r w:rsidR="007342EB">
        <w:rPr>
          <w:sz w:val="22"/>
          <w:szCs w:val="22"/>
        </w:rPr>
        <w:t xml:space="preserve"> percent of the total import p</w:t>
      </w:r>
      <w:r w:rsidR="001B42E5">
        <w:rPr>
          <w:sz w:val="22"/>
          <w:szCs w:val="22"/>
        </w:rPr>
        <w:t>ayments</w:t>
      </w:r>
      <w:r w:rsidR="007342EB">
        <w:rPr>
          <w:sz w:val="22"/>
          <w:szCs w:val="22"/>
        </w:rPr>
        <w:t>.</w:t>
      </w:r>
      <w:r w:rsidR="001B42E5">
        <w:rPr>
          <w:sz w:val="22"/>
          <w:szCs w:val="22"/>
        </w:rPr>
        <w:t xml:space="preserve"> </w:t>
      </w:r>
      <w:r w:rsidR="007342EB">
        <w:rPr>
          <w:sz w:val="22"/>
          <w:szCs w:val="22"/>
        </w:rPr>
        <w:t>There is no significant decrease in import payments during FY13 as compare</w:t>
      </w:r>
      <w:r w:rsidR="00ED77DC">
        <w:rPr>
          <w:sz w:val="22"/>
          <w:szCs w:val="22"/>
        </w:rPr>
        <w:t>d</w:t>
      </w:r>
      <w:r w:rsidR="007342EB">
        <w:rPr>
          <w:sz w:val="22"/>
          <w:szCs w:val="22"/>
        </w:rPr>
        <w:t xml:space="preserve"> to previous year</w:t>
      </w:r>
      <w:r w:rsidR="001B42E5">
        <w:rPr>
          <w:sz w:val="22"/>
          <w:szCs w:val="22"/>
        </w:rPr>
        <w:t xml:space="preserve">. </w:t>
      </w:r>
      <w:r w:rsidR="001B42E5" w:rsidRPr="006934BE">
        <w:rPr>
          <w:sz w:val="22"/>
          <w:szCs w:val="22"/>
        </w:rPr>
        <w:tab/>
      </w:r>
    </w:p>
    <w:p w:rsidR="001B42E5" w:rsidRPr="001467C3" w:rsidRDefault="001B42E5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1B42E5" w:rsidRPr="001467C3" w:rsidRDefault="0028305E" w:rsidP="00E45CBF">
      <w:pPr>
        <w:pStyle w:val="BodyTextIndent"/>
        <w:ind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919360" behindDoc="1" locked="0" layoutInCell="1" allowOverlap="1">
            <wp:simplePos x="0" y="0"/>
            <wp:positionH relativeFrom="column">
              <wp:posOffset>1848485</wp:posOffset>
            </wp:positionH>
            <wp:positionV relativeFrom="paragraph">
              <wp:posOffset>570865</wp:posOffset>
            </wp:positionV>
            <wp:extent cx="4008120" cy="2372995"/>
            <wp:effectExtent l="19050" t="0" r="0" b="0"/>
            <wp:wrapTight wrapText="bothSides">
              <wp:wrapPolygon edited="0">
                <wp:start x="-103" y="0"/>
                <wp:lineTo x="-103" y="21502"/>
                <wp:lineTo x="21559" y="21502"/>
                <wp:lineTo x="21559" y="0"/>
                <wp:lineTo x="-103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2E5" w:rsidRPr="001467C3">
        <w:rPr>
          <w:sz w:val="22"/>
          <w:szCs w:val="22"/>
        </w:rPr>
        <w:t>The country-wise comparison of import payments including freight to major countries during FY1</w:t>
      </w:r>
      <w:r w:rsidR="004E6822">
        <w:rPr>
          <w:sz w:val="22"/>
          <w:szCs w:val="22"/>
        </w:rPr>
        <w:t>3</w:t>
      </w:r>
      <w:r w:rsidR="001B42E5" w:rsidRPr="001467C3">
        <w:rPr>
          <w:sz w:val="22"/>
          <w:szCs w:val="22"/>
        </w:rPr>
        <w:t xml:space="preserve"> with </w:t>
      </w:r>
      <w:r w:rsidR="0058626B">
        <w:rPr>
          <w:sz w:val="22"/>
          <w:szCs w:val="22"/>
        </w:rPr>
        <w:t>corresponding</w:t>
      </w:r>
      <w:r w:rsidR="001B42E5" w:rsidRPr="001467C3">
        <w:rPr>
          <w:sz w:val="22"/>
          <w:szCs w:val="22"/>
        </w:rPr>
        <w:t xml:space="preserve"> year is shown in </w:t>
      </w:r>
      <w:r w:rsidR="00E85EBD">
        <w:rPr>
          <w:sz w:val="22"/>
          <w:szCs w:val="22"/>
        </w:rPr>
        <w:t>Figure</w:t>
      </w:r>
      <w:r w:rsidR="001B42E5" w:rsidRPr="001467C3">
        <w:rPr>
          <w:sz w:val="22"/>
          <w:szCs w:val="22"/>
        </w:rPr>
        <w:t xml:space="preserve"> 2. </w:t>
      </w:r>
      <w:r w:rsidR="009F621A" w:rsidRPr="001467C3">
        <w:rPr>
          <w:sz w:val="22"/>
          <w:szCs w:val="22"/>
        </w:rPr>
        <w:t>Major chunk of payments i.e. $</w:t>
      </w:r>
      <w:r w:rsidR="00D63ABD" w:rsidRPr="001467C3">
        <w:rPr>
          <w:sz w:val="22"/>
          <w:szCs w:val="22"/>
        </w:rPr>
        <w:t>2</w:t>
      </w:r>
      <w:r w:rsidR="0058626B">
        <w:rPr>
          <w:sz w:val="22"/>
          <w:szCs w:val="22"/>
        </w:rPr>
        <w:t>3</w:t>
      </w:r>
      <w:r w:rsidR="00D63ABD" w:rsidRPr="001467C3">
        <w:rPr>
          <w:sz w:val="22"/>
          <w:szCs w:val="22"/>
        </w:rPr>
        <w:t>,</w:t>
      </w:r>
      <w:r w:rsidR="0058626B">
        <w:rPr>
          <w:sz w:val="22"/>
          <w:szCs w:val="22"/>
        </w:rPr>
        <w:t>503</w:t>
      </w:r>
      <w:r w:rsidR="009F621A" w:rsidRPr="001467C3">
        <w:rPr>
          <w:sz w:val="22"/>
          <w:szCs w:val="22"/>
        </w:rPr>
        <w:t xml:space="preserve">  </w:t>
      </w:r>
      <w:r w:rsidR="001B42E5" w:rsidRPr="001467C3">
        <w:rPr>
          <w:sz w:val="22"/>
          <w:szCs w:val="22"/>
        </w:rPr>
        <w:t xml:space="preserve"> </w:t>
      </w:r>
      <w:r w:rsidR="009F621A" w:rsidRPr="001467C3">
        <w:rPr>
          <w:sz w:val="22"/>
          <w:szCs w:val="22"/>
        </w:rPr>
        <w:t>million (</w:t>
      </w:r>
      <w:r w:rsidR="001B42E5" w:rsidRPr="001467C3">
        <w:rPr>
          <w:sz w:val="22"/>
          <w:szCs w:val="22"/>
        </w:rPr>
        <w:t>6</w:t>
      </w:r>
      <w:r w:rsidR="0058626B">
        <w:rPr>
          <w:sz w:val="22"/>
          <w:szCs w:val="22"/>
        </w:rPr>
        <w:t>0</w:t>
      </w:r>
      <w:r w:rsidR="001B42E5" w:rsidRPr="001467C3">
        <w:rPr>
          <w:sz w:val="22"/>
          <w:szCs w:val="22"/>
        </w:rPr>
        <w:t xml:space="preserve"> percent</w:t>
      </w:r>
      <w:r w:rsidR="009F621A" w:rsidRPr="001467C3">
        <w:rPr>
          <w:sz w:val="22"/>
          <w:szCs w:val="22"/>
        </w:rPr>
        <w:t>) were</w:t>
      </w:r>
      <w:r w:rsidR="001B42E5" w:rsidRPr="001467C3">
        <w:rPr>
          <w:sz w:val="22"/>
          <w:szCs w:val="22"/>
        </w:rPr>
        <w:t xml:space="preserve"> made to UAE, Saudi Arabia, China, Kuwait </w:t>
      </w:r>
      <w:r w:rsidR="009F621A" w:rsidRPr="001467C3">
        <w:rPr>
          <w:sz w:val="22"/>
          <w:szCs w:val="22"/>
        </w:rPr>
        <w:t>Singapore</w:t>
      </w:r>
      <w:r w:rsidR="001B42E5" w:rsidRPr="001467C3">
        <w:rPr>
          <w:sz w:val="22"/>
          <w:szCs w:val="22"/>
        </w:rPr>
        <w:t xml:space="preserve"> </w:t>
      </w:r>
      <w:r w:rsidR="00D63ABD" w:rsidRPr="001467C3">
        <w:rPr>
          <w:sz w:val="22"/>
          <w:szCs w:val="22"/>
        </w:rPr>
        <w:t xml:space="preserve">and Malaysia </w:t>
      </w:r>
      <w:r w:rsidR="001B42E5" w:rsidRPr="001467C3">
        <w:rPr>
          <w:sz w:val="22"/>
          <w:szCs w:val="22"/>
        </w:rPr>
        <w:t>in FY1</w:t>
      </w:r>
      <w:r w:rsidR="004E6822">
        <w:rPr>
          <w:sz w:val="22"/>
          <w:szCs w:val="22"/>
        </w:rPr>
        <w:t>3</w:t>
      </w:r>
      <w:r w:rsidR="001B42E5" w:rsidRPr="001467C3">
        <w:rPr>
          <w:sz w:val="22"/>
          <w:szCs w:val="22"/>
        </w:rPr>
        <w:t xml:space="preserve">. </w:t>
      </w:r>
      <w:r w:rsidR="009F621A" w:rsidRPr="001467C3">
        <w:rPr>
          <w:sz w:val="22"/>
          <w:szCs w:val="22"/>
        </w:rPr>
        <w:t xml:space="preserve">The order of the percentage share of these countries remained unchanged </w:t>
      </w:r>
      <w:r w:rsidR="00D63ABD" w:rsidRPr="001467C3">
        <w:rPr>
          <w:sz w:val="22"/>
          <w:szCs w:val="22"/>
        </w:rPr>
        <w:t>during FY1</w:t>
      </w:r>
      <w:r w:rsidR="004E6822">
        <w:rPr>
          <w:sz w:val="22"/>
          <w:szCs w:val="22"/>
        </w:rPr>
        <w:t xml:space="preserve">3 </w:t>
      </w:r>
      <w:r w:rsidR="00F46E13">
        <w:rPr>
          <w:sz w:val="22"/>
          <w:szCs w:val="22"/>
        </w:rPr>
        <w:t xml:space="preserve">as compared </w:t>
      </w:r>
      <w:r w:rsidR="00465138">
        <w:rPr>
          <w:sz w:val="22"/>
          <w:szCs w:val="22"/>
        </w:rPr>
        <w:t>to FY12</w:t>
      </w:r>
      <w:r w:rsidR="00D63ABD" w:rsidRPr="001467C3">
        <w:rPr>
          <w:sz w:val="22"/>
          <w:szCs w:val="22"/>
        </w:rPr>
        <w:t xml:space="preserve">. </w:t>
      </w:r>
    </w:p>
    <w:p w:rsidR="004E6822" w:rsidRDefault="004E6822" w:rsidP="00E45CBF">
      <w:pPr>
        <w:tabs>
          <w:tab w:val="left" w:pos="9090"/>
        </w:tabs>
        <w:rPr>
          <w:rFonts w:ascii="Times New Roman" w:hAnsi="Times New Roman" w:cs="Times New Roman"/>
          <w:b/>
        </w:rPr>
      </w:pPr>
    </w:p>
    <w:p w:rsidR="00BE77A2" w:rsidRDefault="00BE77A2" w:rsidP="00E45CBF">
      <w:pPr>
        <w:tabs>
          <w:tab w:val="left" w:pos="9090"/>
        </w:tabs>
        <w:rPr>
          <w:rFonts w:ascii="Times New Roman" w:hAnsi="Times New Roman" w:cs="Times New Roman"/>
          <w:b/>
        </w:rPr>
      </w:pPr>
      <w:r w:rsidRPr="006857E9">
        <w:rPr>
          <w:rFonts w:ascii="Times New Roman" w:hAnsi="Times New Roman" w:cs="Times New Roman"/>
          <w:b/>
        </w:rPr>
        <w:t>Services</w:t>
      </w:r>
    </w:p>
    <w:p w:rsidR="00AC0E79" w:rsidRDefault="00BE77A2" w:rsidP="00E45CBF">
      <w:pPr>
        <w:pStyle w:val="BodyTextIndent"/>
        <w:ind w:firstLine="0"/>
        <w:jc w:val="left"/>
        <w:rPr>
          <w:sz w:val="22"/>
          <w:szCs w:val="22"/>
        </w:rPr>
      </w:pPr>
      <w:r w:rsidRPr="00BF7E5F">
        <w:rPr>
          <w:sz w:val="22"/>
          <w:szCs w:val="22"/>
        </w:rPr>
        <w:t xml:space="preserve">The deficit </w:t>
      </w:r>
      <w:r w:rsidR="00EF52D9">
        <w:rPr>
          <w:sz w:val="22"/>
          <w:szCs w:val="22"/>
        </w:rPr>
        <w:t xml:space="preserve">in trade </w:t>
      </w:r>
      <w:r w:rsidRPr="00BF7E5F">
        <w:rPr>
          <w:sz w:val="22"/>
          <w:szCs w:val="22"/>
        </w:rPr>
        <w:t xml:space="preserve">in services </w:t>
      </w:r>
      <w:r w:rsidR="00EF52D9" w:rsidRPr="00BF7E5F">
        <w:rPr>
          <w:sz w:val="22"/>
          <w:szCs w:val="22"/>
        </w:rPr>
        <w:t>account</w:t>
      </w:r>
      <w:r w:rsidR="00EF52D9">
        <w:rPr>
          <w:sz w:val="22"/>
          <w:szCs w:val="22"/>
        </w:rPr>
        <w:t xml:space="preserve"> significantly de</w:t>
      </w:r>
      <w:r w:rsidR="00010C5F" w:rsidRPr="00BF7E5F">
        <w:rPr>
          <w:sz w:val="22"/>
          <w:szCs w:val="22"/>
        </w:rPr>
        <w:t>creased</w:t>
      </w:r>
      <w:r w:rsidR="00446B54" w:rsidRPr="00BF7E5F">
        <w:rPr>
          <w:sz w:val="22"/>
          <w:szCs w:val="22"/>
        </w:rPr>
        <w:t xml:space="preserve"> by</w:t>
      </w:r>
      <w:r w:rsidRPr="00BF7E5F">
        <w:rPr>
          <w:sz w:val="22"/>
          <w:szCs w:val="22"/>
        </w:rPr>
        <w:t xml:space="preserve"> $</w:t>
      </w:r>
      <w:r w:rsidR="00EF52D9">
        <w:rPr>
          <w:sz w:val="22"/>
          <w:szCs w:val="22"/>
        </w:rPr>
        <w:t>1,72</w:t>
      </w:r>
      <w:r w:rsidR="003C65B7">
        <w:rPr>
          <w:sz w:val="22"/>
          <w:szCs w:val="22"/>
        </w:rPr>
        <w:t>0</w:t>
      </w:r>
      <w:r w:rsidRPr="00BF7E5F">
        <w:rPr>
          <w:sz w:val="22"/>
          <w:szCs w:val="22"/>
        </w:rPr>
        <w:t xml:space="preserve"> million</w:t>
      </w:r>
      <w:r w:rsidR="00476C54" w:rsidRPr="00BF7E5F">
        <w:rPr>
          <w:sz w:val="22"/>
          <w:szCs w:val="22"/>
        </w:rPr>
        <w:t xml:space="preserve"> (</w:t>
      </w:r>
      <w:r w:rsidR="00EF52D9">
        <w:rPr>
          <w:sz w:val="22"/>
          <w:szCs w:val="22"/>
        </w:rPr>
        <w:t>54</w:t>
      </w:r>
      <w:r w:rsidR="00476C54" w:rsidRPr="00BF7E5F">
        <w:rPr>
          <w:sz w:val="22"/>
          <w:szCs w:val="22"/>
        </w:rPr>
        <w:t xml:space="preserve"> percent</w:t>
      </w:r>
      <w:r w:rsidR="00544C8A" w:rsidRPr="00BF7E5F">
        <w:rPr>
          <w:sz w:val="22"/>
          <w:szCs w:val="22"/>
        </w:rPr>
        <w:t>) from</w:t>
      </w:r>
      <w:r w:rsidRPr="00BF7E5F">
        <w:rPr>
          <w:sz w:val="22"/>
          <w:szCs w:val="22"/>
        </w:rPr>
        <w:t xml:space="preserve"> $</w:t>
      </w:r>
      <w:r w:rsidR="00EF52D9">
        <w:rPr>
          <w:sz w:val="22"/>
          <w:szCs w:val="22"/>
        </w:rPr>
        <w:t>3,192</w:t>
      </w:r>
      <w:r w:rsidRPr="00BF7E5F">
        <w:rPr>
          <w:sz w:val="22"/>
          <w:szCs w:val="22"/>
        </w:rPr>
        <w:t xml:space="preserve"> million in </w:t>
      </w:r>
      <w:r w:rsidR="0057452E" w:rsidRPr="00BF7E5F">
        <w:rPr>
          <w:sz w:val="22"/>
          <w:szCs w:val="22"/>
        </w:rPr>
        <w:t>FY</w:t>
      </w:r>
      <w:r w:rsidR="00010C5F" w:rsidRPr="00BF7E5F">
        <w:rPr>
          <w:sz w:val="22"/>
          <w:szCs w:val="22"/>
        </w:rPr>
        <w:t>1</w:t>
      </w:r>
      <w:r w:rsidR="00EF52D9">
        <w:rPr>
          <w:sz w:val="22"/>
          <w:szCs w:val="22"/>
        </w:rPr>
        <w:t>2</w:t>
      </w:r>
      <w:r w:rsidRPr="00BF7E5F">
        <w:rPr>
          <w:sz w:val="22"/>
          <w:szCs w:val="22"/>
        </w:rPr>
        <w:t xml:space="preserve"> to $ </w:t>
      </w:r>
      <w:r w:rsidR="00EF52D9">
        <w:rPr>
          <w:sz w:val="22"/>
          <w:szCs w:val="22"/>
        </w:rPr>
        <w:t>1</w:t>
      </w:r>
      <w:r w:rsidR="009D4D20" w:rsidRPr="00BF7E5F">
        <w:rPr>
          <w:sz w:val="22"/>
          <w:szCs w:val="22"/>
        </w:rPr>
        <w:t>,</w:t>
      </w:r>
      <w:r w:rsidR="00EF52D9">
        <w:rPr>
          <w:sz w:val="22"/>
          <w:szCs w:val="22"/>
        </w:rPr>
        <w:t>4</w:t>
      </w:r>
      <w:r w:rsidR="003C65B7">
        <w:rPr>
          <w:sz w:val="22"/>
          <w:szCs w:val="22"/>
        </w:rPr>
        <w:t>72</w:t>
      </w:r>
      <w:r w:rsidR="00DC65BD" w:rsidRPr="00BF7E5F">
        <w:rPr>
          <w:sz w:val="22"/>
          <w:szCs w:val="22"/>
        </w:rPr>
        <w:t xml:space="preserve"> </w:t>
      </w:r>
      <w:r w:rsidRPr="00BF7E5F">
        <w:rPr>
          <w:sz w:val="22"/>
          <w:szCs w:val="22"/>
        </w:rPr>
        <w:t xml:space="preserve">million in </w:t>
      </w:r>
      <w:r w:rsidR="0057452E" w:rsidRPr="00BF7E5F">
        <w:rPr>
          <w:sz w:val="22"/>
          <w:szCs w:val="22"/>
        </w:rPr>
        <w:t>FY</w:t>
      </w:r>
      <w:r w:rsidR="00DC65BD" w:rsidRPr="00BF7E5F">
        <w:rPr>
          <w:sz w:val="22"/>
          <w:szCs w:val="22"/>
        </w:rPr>
        <w:t>1</w:t>
      </w:r>
      <w:r w:rsidR="00EF52D9">
        <w:rPr>
          <w:sz w:val="22"/>
          <w:szCs w:val="22"/>
        </w:rPr>
        <w:t>3</w:t>
      </w:r>
      <w:r w:rsidR="00AC0E79">
        <w:rPr>
          <w:sz w:val="22"/>
          <w:szCs w:val="22"/>
        </w:rPr>
        <w:t>. This notabl</w:t>
      </w:r>
      <w:r w:rsidR="004E6822">
        <w:rPr>
          <w:sz w:val="22"/>
          <w:szCs w:val="22"/>
        </w:rPr>
        <w:t>e</w:t>
      </w:r>
      <w:r w:rsidR="00AC0E79">
        <w:rPr>
          <w:sz w:val="22"/>
          <w:szCs w:val="22"/>
        </w:rPr>
        <w:t xml:space="preserve"> decline is due</w:t>
      </w:r>
      <w:r w:rsidR="00EF52D9">
        <w:rPr>
          <w:sz w:val="22"/>
          <w:szCs w:val="22"/>
        </w:rPr>
        <w:t xml:space="preserve"> to receipts </w:t>
      </w:r>
      <w:r w:rsidR="004E6822">
        <w:rPr>
          <w:sz w:val="22"/>
          <w:szCs w:val="22"/>
        </w:rPr>
        <w:t>of $1,806 million of CSF</w:t>
      </w:r>
      <w:r w:rsidR="00EF52D9">
        <w:rPr>
          <w:sz w:val="22"/>
          <w:szCs w:val="22"/>
        </w:rPr>
        <w:t xml:space="preserve"> during the period</w:t>
      </w:r>
      <w:r w:rsidR="00AC0E79">
        <w:rPr>
          <w:sz w:val="22"/>
          <w:szCs w:val="22"/>
        </w:rPr>
        <w:t xml:space="preserve"> which do</w:t>
      </w:r>
      <w:r w:rsidR="00D41027">
        <w:rPr>
          <w:sz w:val="22"/>
          <w:szCs w:val="22"/>
        </w:rPr>
        <w:t>ubled</w:t>
      </w:r>
      <w:r w:rsidR="00AC0E79">
        <w:rPr>
          <w:sz w:val="22"/>
          <w:szCs w:val="22"/>
        </w:rPr>
        <w:t xml:space="preserve"> the export of government services as compare</w:t>
      </w:r>
      <w:r w:rsidR="004E6822">
        <w:rPr>
          <w:sz w:val="22"/>
          <w:szCs w:val="22"/>
        </w:rPr>
        <w:t xml:space="preserve">d </w:t>
      </w:r>
      <w:r w:rsidR="00AC0E79">
        <w:rPr>
          <w:sz w:val="22"/>
          <w:szCs w:val="22"/>
        </w:rPr>
        <w:t xml:space="preserve">with the corresponding period. </w:t>
      </w:r>
    </w:p>
    <w:p w:rsidR="009D4D20" w:rsidRPr="00BF7E5F" w:rsidRDefault="00846561" w:rsidP="00E45CBF">
      <w:pPr>
        <w:pStyle w:val="BodyTextIndent"/>
        <w:ind w:firstLine="0"/>
        <w:jc w:val="left"/>
        <w:rPr>
          <w:sz w:val="22"/>
          <w:szCs w:val="22"/>
        </w:rPr>
      </w:pPr>
      <w:r>
        <w:rPr>
          <w:noProof/>
          <w:szCs w:val="22"/>
        </w:rPr>
        <w:lastRenderedPageBreak/>
        <w:drawing>
          <wp:anchor distT="0" distB="0" distL="114300" distR="114300" simplePos="0" relativeHeight="251915264" behindDoc="1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2840355</wp:posOffset>
            </wp:positionV>
            <wp:extent cx="4270375" cy="2286000"/>
            <wp:effectExtent l="19050" t="0" r="0" b="0"/>
            <wp:wrapTight wrapText="bothSides">
              <wp:wrapPolygon edited="0">
                <wp:start x="-96" y="0"/>
                <wp:lineTo x="-96" y="21240"/>
                <wp:lineTo x="21584" y="21240"/>
                <wp:lineTo x="21584" y="0"/>
                <wp:lineTo x="-96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ECB" w:rsidRPr="00CA4ECB">
        <w:rPr>
          <w:noProof/>
          <w:szCs w:val="22"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145415</wp:posOffset>
            </wp:positionV>
            <wp:extent cx="4260850" cy="2353945"/>
            <wp:effectExtent l="19050" t="0" r="6350" b="0"/>
            <wp:wrapTight wrapText="bothSides">
              <wp:wrapPolygon edited="0">
                <wp:start x="-97" y="0"/>
                <wp:lineTo x="-97" y="21326"/>
                <wp:lineTo x="21632" y="21326"/>
                <wp:lineTo x="21632" y="0"/>
                <wp:lineTo x="-97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E79">
        <w:rPr>
          <w:sz w:val="22"/>
          <w:szCs w:val="22"/>
        </w:rPr>
        <w:t>T</w:t>
      </w:r>
      <w:r w:rsidR="00544C8A" w:rsidRPr="00BF7E5F">
        <w:rPr>
          <w:sz w:val="22"/>
          <w:szCs w:val="22"/>
        </w:rPr>
        <w:t>he</w:t>
      </w:r>
      <w:r w:rsidR="00BE77A2" w:rsidRPr="00BF7E5F">
        <w:rPr>
          <w:sz w:val="22"/>
          <w:szCs w:val="22"/>
        </w:rPr>
        <w:t xml:space="preserve"> aggregate receipts of services transactions during </w:t>
      </w:r>
      <w:r w:rsidR="0057452E" w:rsidRPr="00BF7E5F">
        <w:rPr>
          <w:sz w:val="22"/>
          <w:szCs w:val="22"/>
        </w:rPr>
        <w:t>FY</w:t>
      </w:r>
      <w:r w:rsidR="00DC65BD" w:rsidRPr="00BF7E5F">
        <w:rPr>
          <w:sz w:val="22"/>
          <w:szCs w:val="22"/>
        </w:rPr>
        <w:t>1</w:t>
      </w:r>
      <w:r w:rsidR="00D41027">
        <w:rPr>
          <w:sz w:val="22"/>
          <w:szCs w:val="22"/>
        </w:rPr>
        <w:t xml:space="preserve">3 </w:t>
      </w:r>
      <w:r w:rsidR="00465138">
        <w:rPr>
          <w:sz w:val="22"/>
          <w:szCs w:val="22"/>
        </w:rPr>
        <w:t>ro</w:t>
      </w:r>
      <w:r w:rsidR="00B16134">
        <w:rPr>
          <w:sz w:val="22"/>
          <w:szCs w:val="22"/>
        </w:rPr>
        <w:t>se</w:t>
      </w:r>
      <w:r w:rsidR="00D41027">
        <w:rPr>
          <w:sz w:val="22"/>
          <w:szCs w:val="22"/>
        </w:rPr>
        <w:t xml:space="preserve"> </w:t>
      </w:r>
      <w:r w:rsidR="00544C8A" w:rsidRPr="00BF7E5F">
        <w:rPr>
          <w:sz w:val="22"/>
          <w:szCs w:val="22"/>
        </w:rPr>
        <w:t>to $</w:t>
      </w:r>
      <w:r w:rsidR="00D41027">
        <w:rPr>
          <w:sz w:val="22"/>
          <w:szCs w:val="22"/>
        </w:rPr>
        <w:t>6,733</w:t>
      </w:r>
      <w:r w:rsidR="00D760FB" w:rsidRPr="00BF7E5F">
        <w:rPr>
          <w:sz w:val="22"/>
          <w:szCs w:val="22"/>
        </w:rPr>
        <w:t xml:space="preserve"> million</w:t>
      </w:r>
      <w:r w:rsidR="00967520" w:rsidRPr="00BF7E5F">
        <w:rPr>
          <w:sz w:val="22"/>
          <w:szCs w:val="22"/>
        </w:rPr>
        <w:t xml:space="preserve">, </w:t>
      </w:r>
      <w:r w:rsidR="00465138">
        <w:rPr>
          <w:sz w:val="22"/>
          <w:szCs w:val="22"/>
        </w:rPr>
        <w:t xml:space="preserve">with an </w:t>
      </w:r>
      <w:r w:rsidR="00D41027">
        <w:rPr>
          <w:sz w:val="22"/>
          <w:szCs w:val="22"/>
        </w:rPr>
        <w:t>increase</w:t>
      </w:r>
      <w:r w:rsidR="00465138">
        <w:rPr>
          <w:sz w:val="22"/>
          <w:szCs w:val="22"/>
        </w:rPr>
        <w:t xml:space="preserve"> of</w:t>
      </w:r>
      <w:r w:rsidR="009D4D20" w:rsidRPr="00BF7E5F">
        <w:rPr>
          <w:sz w:val="22"/>
          <w:szCs w:val="22"/>
        </w:rPr>
        <w:t xml:space="preserve"> $</w:t>
      </w:r>
      <w:r w:rsidR="00D41027">
        <w:rPr>
          <w:sz w:val="22"/>
          <w:szCs w:val="22"/>
        </w:rPr>
        <w:t>1,</w:t>
      </w:r>
      <w:r w:rsidR="00B16134">
        <w:rPr>
          <w:sz w:val="22"/>
          <w:szCs w:val="22"/>
        </w:rPr>
        <w:t>698</w:t>
      </w:r>
      <w:r w:rsidR="009D4D20" w:rsidRPr="00BF7E5F">
        <w:rPr>
          <w:sz w:val="22"/>
          <w:szCs w:val="22"/>
        </w:rPr>
        <w:t xml:space="preserve"> million (</w:t>
      </w:r>
      <w:r w:rsidR="00B16134">
        <w:rPr>
          <w:sz w:val="22"/>
          <w:szCs w:val="22"/>
        </w:rPr>
        <w:t>34</w:t>
      </w:r>
      <w:r w:rsidR="003176AA" w:rsidRPr="00BF7E5F">
        <w:rPr>
          <w:sz w:val="22"/>
          <w:szCs w:val="22"/>
        </w:rPr>
        <w:t xml:space="preserve"> per</w:t>
      </w:r>
      <w:r w:rsidR="00694D52" w:rsidRPr="00BF7E5F">
        <w:rPr>
          <w:sz w:val="22"/>
          <w:szCs w:val="22"/>
        </w:rPr>
        <w:t>cent</w:t>
      </w:r>
      <w:r w:rsidR="009D4D20" w:rsidRPr="00BF7E5F">
        <w:rPr>
          <w:sz w:val="22"/>
          <w:szCs w:val="22"/>
        </w:rPr>
        <w:t>)</w:t>
      </w:r>
      <w:r w:rsidR="00694D52" w:rsidRPr="00BF7E5F">
        <w:rPr>
          <w:sz w:val="22"/>
          <w:szCs w:val="22"/>
        </w:rPr>
        <w:t xml:space="preserve"> </w:t>
      </w:r>
      <w:r w:rsidR="006D2AED" w:rsidRPr="00BF7E5F">
        <w:rPr>
          <w:sz w:val="22"/>
          <w:szCs w:val="22"/>
        </w:rPr>
        <w:t xml:space="preserve">as compared to </w:t>
      </w:r>
      <w:r w:rsidR="00D760FB" w:rsidRPr="00BF7E5F">
        <w:rPr>
          <w:sz w:val="22"/>
          <w:szCs w:val="22"/>
        </w:rPr>
        <w:t xml:space="preserve">previous </w:t>
      </w:r>
      <w:r w:rsidR="006D2AED" w:rsidRPr="00BF7E5F">
        <w:rPr>
          <w:sz w:val="22"/>
          <w:szCs w:val="22"/>
        </w:rPr>
        <w:t>year</w:t>
      </w:r>
      <w:r w:rsidR="00967520" w:rsidRPr="00BF7E5F">
        <w:rPr>
          <w:sz w:val="22"/>
          <w:szCs w:val="22"/>
        </w:rPr>
        <w:t xml:space="preserve">.  </w:t>
      </w:r>
      <w:r w:rsidR="00465138">
        <w:rPr>
          <w:sz w:val="22"/>
          <w:szCs w:val="22"/>
        </w:rPr>
        <w:t>A d</w:t>
      </w:r>
      <w:r w:rsidR="00B8709F">
        <w:rPr>
          <w:sz w:val="22"/>
          <w:szCs w:val="22"/>
        </w:rPr>
        <w:t>ec</w:t>
      </w:r>
      <w:r w:rsidR="00B8709F" w:rsidRPr="00BF7E5F">
        <w:rPr>
          <w:sz w:val="22"/>
          <w:szCs w:val="22"/>
        </w:rPr>
        <w:t>rease</w:t>
      </w:r>
      <w:r w:rsidR="00465138">
        <w:rPr>
          <w:sz w:val="22"/>
          <w:szCs w:val="22"/>
        </w:rPr>
        <w:t xml:space="preserve"> of</w:t>
      </w:r>
      <w:r w:rsidR="00B8709F" w:rsidRPr="00BF7E5F">
        <w:rPr>
          <w:sz w:val="22"/>
          <w:szCs w:val="22"/>
        </w:rPr>
        <w:t xml:space="preserve"> </w:t>
      </w:r>
      <w:r w:rsidR="00B8709F" w:rsidRPr="00B16134">
        <w:rPr>
          <w:szCs w:val="22"/>
        </w:rPr>
        <w:t>$</w:t>
      </w:r>
      <w:r w:rsidR="00B16134">
        <w:rPr>
          <w:sz w:val="22"/>
          <w:szCs w:val="22"/>
        </w:rPr>
        <w:t>2</w:t>
      </w:r>
      <w:r w:rsidR="001936F3">
        <w:rPr>
          <w:sz w:val="22"/>
          <w:szCs w:val="22"/>
        </w:rPr>
        <w:t>2</w:t>
      </w:r>
      <w:r w:rsidR="00967520" w:rsidRPr="00BF7E5F">
        <w:rPr>
          <w:sz w:val="22"/>
          <w:szCs w:val="22"/>
        </w:rPr>
        <w:t xml:space="preserve"> million</w:t>
      </w:r>
      <w:r w:rsidR="00010C5F" w:rsidRPr="00BF7E5F">
        <w:rPr>
          <w:sz w:val="22"/>
          <w:szCs w:val="22"/>
        </w:rPr>
        <w:t xml:space="preserve"> (</w:t>
      </w:r>
      <w:r w:rsidR="00B16134">
        <w:rPr>
          <w:sz w:val="22"/>
          <w:szCs w:val="22"/>
        </w:rPr>
        <w:t xml:space="preserve">0.3 </w:t>
      </w:r>
      <w:r w:rsidR="00010C5F" w:rsidRPr="00BF7E5F">
        <w:rPr>
          <w:sz w:val="22"/>
          <w:szCs w:val="22"/>
        </w:rPr>
        <w:t>percent)</w:t>
      </w:r>
      <w:r w:rsidR="00967520" w:rsidRPr="00BF7E5F">
        <w:rPr>
          <w:sz w:val="22"/>
          <w:szCs w:val="22"/>
        </w:rPr>
        <w:t xml:space="preserve"> in aggregate payments </w:t>
      </w:r>
      <w:r w:rsidR="00B16134">
        <w:rPr>
          <w:sz w:val="22"/>
          <w:szCs w:val="22"/>
        </w:rPr>
        <w:t xml:space="preserve">of </w:t>
      </w:r>
      <w:r w:rsidR="00465138">
        <w:rPr>
          <w:sz w:val="22"/>
          <w:szCs w:val="22"/>
        </w:rPr>
        <w:t>services was observed</w:t>
      </w:r>
      <w:r w:rsidR="00B16134" w:rsidRPr="00BF7E5F">
        <w:rPr>
          <w:sz w:val="22"/>
          <w:szCs w:val="22"/>
        </w:rPr>
        <w:t xml:space="preserve"> during FY1</w:t>
      </w:r>
      <w:r w:rsidR="00B16134">
        <w:rPr>
          <w:sz w:val="22"/>
          <w:szCs w:val="22"/>
        </w:rPr>
        <w:t xml:space="preserve">3. </w:t>
      </w:r>
      <w:r w:rsidR="006D2AED" w:rsidRPr="00BF7E5F">
        <w:rPr>
          <w:sz w:val="22"/>
          <w:szCs w:val="22"/>
        </w:rPr>
        <w:t>Government</w:t>
      </w:r>
      <w:r w:rsidR="00465138">
        <w:rPr>
          <w:sz w:val="22"/>
          <w:szCs w:val="22"/>
        </w:rPr>
        <w:t xml:space="preserve"> services</w:t>
      </w:r>
      <w:r w:rsidR="006D2AED" w:rsidRPr="00BF7E5F">
        <w:rPr>
          <w:sz w:val="22"/>
          <w:szCs w:val="22"/>
        </w:rPr>
        <w:t xml:space="preserve">, </w:t>
      </w:r>
      <w:r w:rsidR="00967520" w:rsidRPr="00BF7E5F">
        <w:rPr>
          <w:sz w:val="22"/>
          <w:szCs w:val="22"/>
        </w:rPr>
        <w:t xml:space="preserve">transportation and </w:t>
      </w:r>
      <w:r w:rsidR="0038748D" w:rsidRPr="00BF7E5F">
        <w:rPr>
          <w:sz w:val="22"/>
          <w:szCs w:val="22"/>
        </w:rPr>
        <w:t>other</w:t>
      </w:r>
      <w:r w:rsidR="00967520" w:rsidRPr="00BF7E5F">
        <w:rPr>
          <w:sz w:val="22"/>
          <w:szCs w:val="22"/>
        </w:rPr>
        <w:t xml:space="preserve"> business </w:t>
      </w:r>
      <w:r w:rsidR="0038748D" w:rsidRPr="00BF7E5F">
        <w:rPr>
          <w:sz w:val="22"/>
          <w:szCs w:val="22"/>
        </w:rPr>
        <w:t xml:space="preserve">services </w:t>
      </w:r>
      <w:r w:rsidR="00EF52D9" w:rsidRPr="00BF7E5F">
        <w:rPr>
          <w:sz w:val="22"/>
          <w:szCs w:val="22"/>
        </w:rPr>
        <w:t>ac</w:t>
      </w:r>
      <w:r w:rsidR="00EF52D9" w:rsidRPr="00EF52D9">
        <w:t>c</w:t>
      </w:r>
      <w:r w:rsidR="00EF52D9" w:rsidRPr="00BF7E5F">
        <w:rPr>
          <w:sz w:val="22"/>
          <w:szCs w:val="22"/>
        </w:rPr>
        <w:t>ounted</w:t>
      </w:r>
      <w:r w:rsidR="00446B54" w:rsidRPr="00BF7E5F">
        <w:rPr>
          <w:sz w:val="22"/>
          <w:szCs w:val="22"/>
        </w:rPr>
        <w:t xml:space="preserve"> for</w:t>
      </w:r>
      <w:r w:rsidR="00967520" w:rsidRPr="00BF7E5F">
        <w:rPr>
          <w:sz w:val="22"/>
          <w:szCs w:val="22"/>
        </w:rPr>
        <w:t xml:space="preserve"> </w:t>
      </w:r>
      <w:r w:rsidR="00476C54" w:rsidRPr="00BF7E5F">
        <w:rPr>
          <w:sz w:val="22"/>
          <w:szCs w:val="22"/>
        </w:rPr>
        <w:t>8</w:t>
      </w:r>
      <w:r w:rsidR="00B16134">
        <w:rPr>
          <w:sz w:val="22"/>
          <w:szCs w:val="22"/>
        </w:rPr>
        <w:t>2</w:t>
      </w:r>
      <w:r w:rsidR="007959C1" w:rsidRPr="00BF7E5F">
        <w:rPr>
          <w:sz w:val="22"/>
          <w:szCs w:val="22"/>
        </w:rPr>
        <w:t xml:space="preserve"> percent</w:t>
      </w:r>
      <w:r w:rsidR="009D4D20" w:rsidRPr="00BF7E5F">
        <w:rPr>
          <w:sz w:val="22"/>
          <w:szCs w:val="22"/>
        </w:rPr>
        <w:t xml:space="preserve"> </w:t>
      </w:r>
      <w:r w:rsidR="00967520" w:rsidRPr="00BF7E5F">
        <w:rPr>
          <w:sz w:val="22"/>
          <w:szCs w:val="22"/>
        </w:rPr>
        <w:t>of total receipts</w:t>
      </w:r>
      <w:r w:rsidR="00B16134">
        <w:rPr>
          <w:sz w:val="22"/>
          <w:szCs w:val="22"/>
        </w:rPr>
        <w:t xml:space="preserve"> i.e.</w:t>
      </w:r>
      <w:r w:rsidR="00544C8A">
        <w:rPr>
          <w:sz w:val="22"/>
          <w:szCs w:val="22"/>
        </w:rPr>
        <w:t xml:space="preserve">  </w:t>
      </w:r>
      <w:r w:rsidR="009B57B4" w:rsidRPr="00BF7E5F">
        <w:rPr>
          <w:sz w:val="22"/>
          <w:szCs w:val="22"/>
        </w:rPr>
        <w:t xml:space="preserve"> $ </w:t>
      </w:r>
      <w:r w:rsidR="00B16134">
        <w:rPr>
          <w:sz w:val="22"/>
          <w:szCs w:val="22"/>
        </w:rPr>
        <w:t>5</w:t>
      </w:r>
      <w:r w:rsidR="009B57B4" w:rsidRPr="00BF7E5F">
        <w:rPr>
          <w:sz w:val="22"/>
          <w:szCs w:val="22"/>
        </w:rPr>
        <w:t>,</w:t>
      </w:r>
      <w:r w:rsidR="00B16134">
        <w:rPr>
          <w:sz w:val="22"/>
          <w:szCs w:val="22"/>
        </w:rPr>
        <w:t>493</w:t>
      </w:r>
      <w:r w:rsidR="009B57B4" w:rsidRPr="00BF7E5F">
        <w:rPr>
          <w:sz w:val="22"/>
          <w:szCs w:val="22"/>
        </w:rPr>
        <w:t xml:space="preserve"> million</w:t>
      </w:r>
      <w:r w:rsidR="00B16134">
        <w:rPr>
          <w:sz w:val="22"/>
          <w:szCs w:val="22"/>
        </w:rPr>
        <w:t>.</w:t>
      </w:r>
      <w:r w:rsidR="009B57B4" w:rsidRPr="00BF7E5F">
        <w:rPr>
          <w:sz w:val="22"/>
          <w:szCs w:val="22"/>
        </w:rPr>
        <w:t xml:space="preserve"> </w:t>
      </w:r>
      <w:r w:rsidR="009D4D20" w:rsidRPr="00BF7E5F">
        <w:rPr>
          <w:sz w:val="22"/>
          <w:szCs w:val="22"/>
        </w:rPr>
        <w:t xml:space="preserve">Transportation and other business services consumed </w:t>
      </w:r>
      <w:r w:rsidR="00B8709F">
        <w:rPr>
          <w:sz w:val="22"/>
          <w:szCs w:val="22"/>
        </w:rPr>
        <w:t>62</w:t>
      </w:r>
      <w:r w:rsidR="00365F0C" w:rsidRPr="00BF7E5F">
        <w:rPr>
          <w:sz w:val="22"/>
          <w:szCs w:val="22"/>
        </w:rPr>
        <w:t xml:space="preserve"> percent of services payments</w:t>
      </w:r>
      <w:r w:rsidR="00DF50BB" w:rsidRPr="00BF7E5F">
        <w:rPr>
          <w:sz w:val="22"/>
          <w:szCs w:val="22"/>
        </w:rPr>
        <w:t>.</w:t>
      </w:r>
      <w:r w:rsidR="00365F0C" w:rsidRPr="00BF7E5F">
        <w:rPr>
          <w:sz w:val="22"/>
          <w:szCs w:val="22"/>
        </w:rPr>
        <w:t xml:space="preserve"> </w:t>
      </w:r>
    </w:p>
    <w:p w:rsidR="009D4D20" w:rsidRPr="00BF7E5F" w:rsidRDefault="009D4D20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6857E9" w:rsidRDefault="006857E9" w:rsidP="00E45CBF">
      <w:pPr>
        <w:pStyle w:val="BodyTextIndent"/>
        <w:spacing w:line="276" w:lineRule="auto"/>
        <w:ind w:firstLine="0"/>
        <w:jc w:val="left"/>
        <w:rPr>
          <w:b/>
        </w:rPr>
      </w:pPr>
      <w:r w:rsidRPr="006857E9">
        <w:rPr>
          <w:b/>
        </w:rPr>
        <w:t>Income</w:t>
      </w:r>
    </w:p>
    <w:p w:rsidR="005D4C4A" w:rsidRDefault="005D4C4A" w:rsidP="00E45CBF">
      <w:pPr>
        <w:pStyle w:val="BodyTextIndent"/>
        <w:spacing w:line="276" w:lineRule="auto"/>
        <w:ind w:firstLine="0"/>
        <w:jc w:val="left"/>
        <w:rPr>
          <w:b/>
        </w:rPr>
      </w:pPr>
    </w:p>
    <w:p w:rsidR="006857E9" w:rsidRDefault="00CA4ECB" w:rsidP="00E45CBF">
      <w:pPr>
        <w:tabs>
          <w:tab w:val="left" w:pos="927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916288" behindDoc="1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2350770</wp:posOffset>
            </wp:positionV>
            <wp:extent cx="4189095" cy="2052320"/>
            <wp:effectExtent l="19050" t="0" r="1905" b="0"/>
            <wp:wrapTight wrapText="bothSides">
              <wp:wrapPolygon edited="0">
                <wp:start x="-98" y="0"/>
                <wp:lineTo x="-98" y="21252"/>
                <wp:lineTo x="21610" y="21252"/>
                <wp:lineTo x="21610" y="0"/>
                <wp:lineTo x="-98" y="0"/>
              </wp:wrapPolygon>
            </wp:wrapTight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BF7E5F">
        <w:rPr>
          <w:rFonts w:ascii="Times New Roman" w:eastAsia="Times New Roman" w:hAnsi="Times New Roman" w:cs="Times New Roman"/>
        </w:rPr>
        <w:t>The income deficit of $</w:t>
      </w:r>
      <w:r w:rsidR="00F52AF3" w:rsidRPr="00BF7E5F">
        <w:rPr>
          <w:rFonts w:ascii="Times New Roman" w:eastAsia="Times New Roman" w:hAnsi="Times New Roman" w:cs="Times New Roman"/>
        </w:rPr>
        <w:t>3</w:t>
      </w:r>
      <w:r w:rsidR="006857E9" w:rsidRPr="00BF7E5F">
        <w:rPr>
          <w:rFonts w:ascii="Times New Roman" w:eastAsia="Times New Roman" w:hAnsi="Times New Roman" w:cs="Times New Roman"/>
        </w:rPr>
        <w:t>,</w:t>
      </w:r>
      <w:r w:rsidR="00A860E8">
        <w:rPr>
          <w:rFonts w:ascii="Times New Roman" w:eastAsia="Times New Roman" w:hAnsi="Times New Roman" w:cs="Times New Roman"/>
        </w:rPr>
        <w:t>245</w:t>
      </w:r>
      <w:r w:rsidR="00544C8A">
        <w:rPr>
          <w:rFonts w:ascii="Times New Roman" w:eastAsia="Times New Roman" w:hAnsi="Times New Roman" w:cs="Times New Roman"/>
        </w:rPr>
        <w:t xml:space="preserve"> </w:t>
      </w:r>
      <w:r w:rsidR="006857E9" w:rsidRPr="00BF7E5F">
        <w:rPr>
          <w:rFonts w:ascii="Times New Roman" w:eastAsia="Times New Roman" w:hAnsi="Times New Roman" w:cs="Times New Roman"/>
        </w:rPr>
        <w:t>mill</w:t>
      </w:r>
      <w:r w:rsidR="006B1FBA" w:rsidRPr="00BF7E5F">
        <w:rPr>
          <w:rFonts w:ascii="Times New Roman" w:eastAsia="Times New Roman" w:hAnsi="Times New Roman" w:cs="Times New Roman"/>
        </w:rPr>
        <w:t xml:space="preserve">ion in </w:t>
      </w:r>
      <w:r w:rsidR="0057452E" w:rsidRPr="00BF7E5F">
        <w:rPr>
          <w:rFonts w:ascii="Times New Roman" w:eastAsia="Times New Roman" w:hAnsi="Times New Roman" w:cs="Times New Roman"/>
        </w:rPr>
        <w:t>FY</w:t>
      </w:r>
      <w:r w:rsidR="00F52AF3" w:rsidRPr="00BF7E5F">
        <w:rPr>
          <w:rFonts w:ascii="Times New Roman" w:eastAsia="Times New Roman" w:hAnsi="Times New Roman" w:cs="Times New Roman"/>
        </w:rPr>
        <w:t>1</w:t>
      </w:r>
      <w:r w:rsidR="00A860E8">
        <w:rPr>
          <w:rFonts w:ascii="Times New Roman" w:eastAsia="Times New Roman" w:hAnsi="Times New Roman" w:cs="Times New Roman"/>
        </w:rPr>
        <w:t>2</w:t>
      </w:r>
      <w:r w:rsidR="006B1FBA" w:rsidRPr="00BF7E5F">
        <w:rPr>
          <w:rFonts w:ascii="Times New Roman" w:eastAsia="Times New Roman" w:hAnsi="Times New Roman" w:cs="Times New Roman"/>
        </w:rPr>
        <w:t xml:space="preserve"> </w:t>
      </w:r>
      <w:r w:rsidR="00161FB7" w:rsidRPr="00BF7E5F">
        <w:rPr>
          <w:rFonts w:ascii="Times New Roman" w:eastAsia="Times New Roman" w:hAnsi="Times New Roman" w:cs="Times New Roman"/>
        </w:rPr>
        <w:t>increased</w:t>
      </w:r>
      <w:r w:rsidR="00494277" w:rsidRPr="00BF7E5F">
        <w:rPr>
          <w:rFonts w:ascii="Times New Roman" w:eastAsia="Times New Roman" w:hAnsi="Times New Roman" w:cs="Times New Roman"/>
        </w:rPr>
        <w:t xml:space="preserve"> </w:t>
      </w:r>
      <w:r w:rsidR="006B1FBA" w:rsidRPr="00BF7E5F">
        <w:rPr>
          <w:rFonts w:ascii="Times New Roman" w:eastAsia="Times New Roman" w:hAnsi="Times New Roman" w:cs="Times New Roman"/>
        </w:rPr>
        <w:t>by $</w:t>
      </w:r>
      <w:r w:rsidR="00A860E8">
        <w:rPr>
          <w:rFonts w:ascii="Times New Roman" w:eastAsia="Times New Roman" w:hAnsi="Times New Roman" w:cs="Times New Roman"/>
        </w:rPr>
        <w:t xml:space="preserve">440 </w:t>
      </w:r>
      <w:r w:rsidR="003A70F3" w:rsidRPr="00BF7E5F">
        <w:rPr>
          <w:rFonts w:ascii="Times New Roman" w:eastAsia="Times New Roman" w:hAnsi="Times New Roman" w:cs="Times New Roman"/>
        </w:rPr>
        <w:t xml:space="preserve">million </w:t>
      </w:r>
      <w:r w:rsidR="00F52AF3" w:rsidRPr="00BF7E5F">
        <w:rPr>
          <w:rFonts w:ascii="Times New Roman" w:eastAsia="Times New Roman" w:hAnsi="Times New Roman" w:cs="Times New Roman"/>
        </w:rPr>
        <w:t>(</w:t>
      </w:r>
      <w:r w:rsidR="00A860E8">
        <w:rPr>
          <w:rFonts w:ascii="Times New Roman" w:eastAsia="Times New Roman" w:hAnsi="Times New Roman" w:cs="Times New Roman"/>
        </w:rPr>
        <w:t>14</w:t>
      </w:r>
      <w:r w:rsidR="00F52AF3" w:rsidRPr="00BF7E5F">
        <w:rPr>
          <w:rFonts w:ascii="Times New Roman" w:eastAsia="Times New Roman" w:hAnsi="Times New Roman" w:cs="Times New Roman"/>
        </w:rPr>
        <w:t>%)</w:t>
      </w:r>
      <w:r w:rsidR="006857E9" w:rsidRPr="00BF7E5F">
        <w:rPr>
          <w:rFonts w:ascii="Times New Roman" w:eastAsia="Times New Roman" w:hAnsi="Times New Roman" w:cs="Times New Roman"/>
        </w:rPr>
        <w:t xml:space="preserve"> to</w:t>
      </w:r>
      <w:r w:rsidR="00544C8A">
        <w:rPr>
          <w:rFonts w:ascii="Times New Roman" w:eastAsia="Times New Roman" w:hAnsi="Times New Roman" w:cs="Times New Roman"/>
        </w:rPr>
        <w:t xml:space="preserve"> reach</w:t>
      </w:r>
      <w:r w:rsidR="00B8709F">
        <w:rPr>
          <w:rFonts w:ascii="Times New Roman" w:eastAsia="Times New Roman" w:hAnsi="Times New Roman" w:cs="Times New Roman"/>
        </w:rPr>
        <w:t xml:space="preserve"> $3,685</w:t>
      </w:r>
      <w:r w:rsidR="00A860E8">
        <w:rPr>
          <w:rFonts w:ascii="Times New Roman" w:eastAsia="Times New Roman" w:hAnsi="Times New Roman" w:cs="Times New Roman"/>
        </w:rPr>
        <w:t xml:space="preserve"> </w:t>
      </w:r>
      <w:r w:rsidR="006857E9" w:rsidRPr="00BF7E5F">
        <w:rPr>
          <w:rFonts w:ascii="Times New Roman" w:eastAsia="Times New Roman" w:hAnsi="Times New Roman" w:cs="Times New Roman"/>
        </w:rPr>
        <w:t xml:space="preserve">million during </w:t>
      </w:r>
      <w:r w:rsidR="0057452E" w:rsidRPr="00BF7E5F">
        <w:rPr>
          <w:rFonts w:ascii="Times New Roman" w:eastAsia="Times New Roman" w:hAnsi="Times New Roman" w:cs="Times New Roman"/>
        </w:rPr>
        <w:t>FY</w:t>
      </w:r>
      <w:r w:rsidR="007F3970" w:rsidRPr="00BF7E5F">
        <w:rPr>
          <w:rFonts w:ascii="Times New Roman" w:eastAsia="Times New Roman" w:hAnsi="Times New Roman" w:cs="Times New Roman"/>
        </w:rPr>
        <w:t>1</w:t>
      </w:r>
      <w:r w:rsidR="00A860E8">
        <w:rPr>
          <w:rFonts w:ascii="Times New Roman" w:eastAsia="Times New Roman" w:hAnsi="Times New Roman" w:cs="Times New Roman"/>
        </w:rPr>
        <w:t>3. N</w:t>
      </w:r>
      <w:r w:rsidR="00494277" w:rsidRPr="00BF7E5F">
        <w:rPr>
          <w:rFonts w:ascii="Times New Roman" w:eastAsia="Times New Roman" w:hAnsi="Times New Roman" w:cs="Times New Roman"/>
        </w:rPr>
        <w:t xml:space="preserve">et </w:t>
      </w:r>
      <w:r w:rsidR="000C3B38" w:rsidRPr="00BF7E5F">
        <w:rPr>
          <w:rFonts w:ascii="Times New Roman" w:eastAsia="Times New Roman" w:hAnsi="Times New Roman" w:cs="Times New Roman"/>
        </w:rPr>
        <w:t>inflow of</w:t>
      </w:r>
      <w:r w:rsidR="000B7DC0" w:rsidRPr="00BF7E5F">
        <w:rPr>
          <w:rFonts w:ascii="Times New Roman" w:eastAsia="Times New Roman" w:hAnsi="Times New Roman" w:cs="Times New Roman"/>
        </w:rPr>
        <w:t xml:space="preserve"> compensation </w:t>
      </w:r>
      <w:r w:rsidR="00A860E8">
        <w:rPr>
          <w:rFonts w:ascii="Times New Roman" w:eastAsia="Times New Roman" w:hAnsi="Times New Roman" w:cs="Times New Roman"/>
        </w:rPr>
        <w:t xml:space="preserve">of employees increased </w:t>
      </w:r>
      <w:r w:rsidR="00465138">
        <w:rPr>
          <w:rFonts w:ascii="Times New Roman" w:eastAsia="Times New Roman" w:hAnsi="Times New Roman" w:cs="Times New Roman"/>
        </w:rPr>
        <w:t>from</w:t>
      </w:r>
      <w:r w:rsidR="00A860E8">
        <w:rPr>
          <w:rFonts w:ascii="Times New Roman" w:eastAsia="Times New Roman" w:hAnsi="Times New Roman" w:cs="Times New Roman"/>
        </w:rPr>
        <w:t xml:space="preserve"> $21 </w:t>
      </w:r>
      <w:r w:rsidR="000C3B38" w:rsidRPr="00BF7E5F">
        <w:rPr>
          <w:rFonts w:ascii="Times New Roman" w:eastAsia="Times New Roman" w:hAnsi="Times New Roman" w:cs="Times New Roman"/>
        </w:rPr>
        <w:t>million to $2</w:t>
      </w:r>
      <w:r w:rsidR="00A860E8">
        <w:rPr>
          <w:rFonts w:ascii="Times New Roman" w:eastAsia="Times New Roman" w:hAnsi="Times New Roman" w:cs="Times New Roman"/>
        </w:rPr>
        <w:t xml:space="preserve">4 </w:t>
      </w:r>
      <w:r w:rsidR="000C3B38" w:rsidRPr="00BF7E5F">
        <w:rPr>
          <w:rFonts w:ascii="Times New Roman" w:eastAsia="Times New Roman" w:hAnsi="Times New Roman" w:cs="Times New Roman"/>
        </w:rPr>
        <w:t>million in the current year</w:t>
      </w:r>
      <w:r w:rsidR="000C3B38">
        <w:rPr>
          <w:rFonts w:ascii="Times New Roman" w:hAnsi="Times New Roman" w:cs="Times New Roman"/>
        </w:rPr>
        <w:t xml:space="preserve"> as compared with the previous year. T</w:t>
      </w:r>
      <w:r w:rsidR="006857E9" w:rsidRPr="002667E0">
        <w:rPr>
          <w:rFonts w:ascii="Times New Roman" w:hAnsi="Times New Roman" w:cs="Times New Roman"/>
        </w:rPr>
        <w:t xml:space="preserve">he net outflow of direct investment income </w:t>
      </w:r>
      <w:r w:rsidR="00E84A14">
        <w:rPr>
          <w:rFonts w:ascii="Times New Roman" w:hAnsi="Times New Roman" w:cs="Times New Roman"/>
        </w:rPr>
        <w:t>widened to</w:t>
      </w:r>
      <w:r w:rsidR="007959C1">
        <w:rPr>
          <w:rFonts w:ascii="Times New Roman" w:hAnsi="Times New Roman" w:cs="Times New Roman"/>
        </w:rPr>
        <w:t xml:space="preserve"> </w:t>
      </w:r>
      <w:r w:rsidR="007959C1" w:rsidRPr="002667E0">
        <w:rPr>
          <w:rFonts w:ascii="Times New Roman" w:hAnsi="Times New Roman" w:cs="Times New Roman"/>
        </w:rPr>
        <w:t>$</w:t>
      </w:r>
      <w:r w:rsidR="00F52AF3">
        <w:rPr>
          <w:rFonts w:ascii="Times New Roman" w:hAnsi="Times New Roman" w:cs="Times New Roman"/>
        </w:rPr>
        <w:t>2</w:t>
      </w:r>
      <w:r w:rsidR="006857E9" w:rsidRPr="002667E0">
        <w:rPr>
          <w:rFonts w:ascii="Times New Roman" w:hAnsi="Times New Roman" w:cs="Times New Roman"/>
        </w:rPr>
        <w:t>,</w:t>
      </w:r>
      <w:r w:rsidR="00A860E8">
        <w:rPr>
          <w:rFonts w:ascii="Times New Roman" w:hAnsi="Times New Roman" w:cs="Times New Roman"/>
        </w:rPr>
        <w:t>687</w:t>
      </w:r>
      <w:r w:rsidR="007F3970">
        <w:rPr>
          <w:rFonts w:ascii="Times New Roman" w:hAnsi="Times New Roman" w:cs="Times New Roman"/>
        </w:rPr>
        <w:t xml:space="preserve"> million during </w:t>
      </w:r>
      <w:r w:rsidR="0057452E">
        <w:rPr>
          <w:rFonts w:ascii="Times New Roman" w:hAnsi="Times New Roman" w:cs="Times New Roman"/>
        </w:rPr>
        <w:t>FY</w:t>
      </w:r>
      <w:r w:rsidR="00F52AF3">
        <w:rPr>
          <w:rFonts w:ascii="Times New Roman" w:hAnsi="Times New Roman" w:cs="Times New Roman"/>
        </w:rPr>
        <w:t>1</w:t>
      </w:r>
      <w:r w:rsidR="00A860E8">
        <w:rPr>
          <w:rFonts w:ascii="Times New Roman" w:hAnsi="Times New Roman" w:cs="Times New Roman"/>
        </w:rPr>
        <w:t>3</w:t>
      </w:r>
      <w:r w:rsidR="006857E9" w:rsidRPr="002667E0">
        <w:rPr>
          <w:rFonts w:ascii="Times New Roman" w:hAnsi="Times New Roman" w:cs="Times New Roman"/>
        </w:rPr>
        <w:t xml:space="preserve"> as compared </w:t>
      </w:r>
      <w:r w:rsidR="003A70F3">
        <w:rPr>
          <w:rFonts w:ascii="Times New Roman" w:hAnsi="Times New Roman" w:cs="Times New Roman"/>
        </w:rPr>
        <w:t>to</w:t>
      </w:r>
      <w:r w:rsidR="006857E9" w:rsidRPr="002667E0">
        <w:rPr>
          <w:rFonts w:ascii="Times New Roman" w:hAnsi="Times New Roman" w:cs="Times New Roman"/>
        </w:rPr>
        <w:t xml:space="preserve"> $</w:t>
      </w:r>
      <w:r w:rsidR="007F3970">
        <w:rPr>
          <w:rFonts w:ascii="Times New Roman" w:hAnsi="Times New Roman" w:cs="Times New Roman"/>
        </w:rPr>
        <w:t>2</w:t>
      </w:r>
      <w:r w:rsidR="006857E9" w:rsidRPr="002667E0">
        <w:rPr>
          <w:rFonts w:ascii="Times New Roman" w:hAnsi="Times New Roman" w:cs="Times New Roman"/>
        </w:rPr>
        <w:t>,</w:t>
      </w:r>
      <w:r w:rsidR="00A860E8">
        <w:rPr>
          <w:rFonts w:ascii="Times New Roman" w:hAnsi="Times New Roman" w:cs="Times New Roman"/>
        </w:rPr>
        <w:t>112</w:t>
      </w:r>
      <w:r w:rsidR="006857E9" w:rsidRPr="002667E0">
        <w:rPr>
          <w:rFonts w:ascii="Times New Roman" w:hAnsi="Times New Roman" w:cs="Times New Roman"/>
        </w:rPr>
        <w:t xml:space="preserve"> million </w:t>
      </w:r>
      <w:r w:rsidR="003A70F3">
        <w:rPr>
          <w:rFonts w:ascii="Times New Roman" w:hAnsi="Times New Roman" w:cs="Times New Roman"/>
        </w:rPr>
        <w:t>in the last year</w:t>
      </w:r>
      <w:r w:rsidR="006857E9" w:rsidRPr="002667E0">
        <w:rPr>
          <w:rFonts w:ascii="Times New Roman" w:hAnsi="Times New Roman" w:cs="Times New Roman"/>
        </w:rPr>
        <w:t xml:space="preserve">. </w:t>
      </w:r>
      <w:r w:rsidR="00F52AF3">
        <w:rPr>
          <w:rFonts w:ascii="Times New Roman" w:hAnsi="Times New Roman" w:cs="Times New Roman"/>
        </w:rPr>
        <w:t>Portfolio</w:t>
      </w:r>
      <w:r w:rsidR="006857E9" w:rsidRPr="002667E0">
        <w:rPr>
          <w:rFonts w:ascii="Times New Roman" w:hAnsi="Times New Roman" w:cs="Times New Roman"/>
        </w:rPr>
        <w:t xml:space="preserve"> investment income and other inv</w:t>
      </w:r>
      <w:r w:rsidR="006B1FBA" w:rsidRPr="002667E0">
        <w:rPr>
          <w:rFonts w:ascii="Times New Roman" w:hAnsi="Times New Roman" w:cs="Times New Roman"/>
        </w:rPr>
        <w:t xml:space="preserve">estment </w:t>
      </w:r>
      <w:r w:rsidR="00285039" w:rsidRPr="002667E0">
        <w:rPr>
          <w:rFonts w:ascii="Times New Roman" w:hAnsi="Times New Roman" w:cs="Times New Roman"/>
        </w:rPr>
        <w:t xml:space="preserve">income </w:t>
      </w:r>
      <w:r w:rsidR="00285039">
        <w:rPr>
          <w:rFonts w:ascii="Times New Roman" w:hAnsi="Times New Roman" w:cs="Times New Roman"/>
        </w:rPr>
        <w:t>posted</w:t>
      </w:r>
      <w:r w:rsidR="00F52AF3">
        <w:rPr>
          <w:rFonts w:ascii="Times New Roman" w:hAnsi="Times New Roman" w:cs="Times New Roman"/>
        </w:rPr>
        <w:t xml:space="preserve"> net outflow</w:t>
      </w:r>
      <w:r w:rsidR="006D2AED">
        <w:rPr>
          <w:rFonts w:ascii="Times New Roman" w:hAnsi="Times New Roman" w:cs="Times New Roman"/>
        </w:rPr>
        <w:t>s</w:t>
      </w:r>
      <w:r w:rsidR="00F52AF3">
        <w:rPr>
          <w:rFonts w:ascii="Times New Roman" w:hAnsi="Times New Roman" w:cs="Times New Roman"/>
        </w:rPr>
        <w:t xml:space="preserve"> o</w:t>
      </w:r>
      <w:r w:rsidR="007959C1">
        <w:rPr>
          <w:rFonts w:ascii="Times New Roman" w:hAnsi="Times New Roman" w:cs="Times New Roman"/>
        </w:rPr>
        <w:t>f $</w:t>
      </w:r>
      <w:r w:rsidR="00A860E8">
        <w:rPr>
          <w:rFonts w:ascii="Times New Roman" w:hAnsi="Times New Roman" w:cs="Times New Roman"/>
        </w:rPr>
        <w:t>314</w:t>
      </w:r>
      <w:r w:rsidR="003176AA">
        <w:rPr>
          <w:rFonts w:ascii="Times New Roman" w:hAnsi="Times New Roman" w:cs="Times New Roman"/>
        </w:rPr>
        <w:t xml:space="preserve"> million and </w:t>
      </w:r>
      <w:r w:rsidR="007959C1">
        <w:rPr>
          <w:rFonts w:ascii="Times New Roman" w:hAnsi="Times New Roman" w:cs="Times New Roman"/>
        </w:rPr>
        <w:t>$</w:t>
      </w:r>
      <w:r w:rsidR="000B1B85">
        <w:rPr>
          <w:rFonts w:ascii="Times New Roman" w:hAnsi="Times New Roman" w:cs="Times New Roman"/>
        </w:rPr>
        <w:t>7</w:t>
      </w:r>
      <w:r w:rsidR="00A860E8">
        <w:rPr>
          <w:rFonts w:ascii="Times New Roman" w:hAnsi="Times New Roman" w:cs="Times New Roman"/>
        </w:rPr>
        <w:t>0</w:t>
      </w:r>
      <w:r w:rsidR="0080399A">
        <w:rPr>
          <w:rFonts w:ascii="Times New Roman" w:hAnsi="Times New Roman" w:cs="Times New Roman"/>
        </w:rPr>
        <w:t>8</w:t>
      </w:r>
      <w:r w:rsidR="007959C1">
        <w:rPr>
          <w:rFonts w:ascii="Times New Roman" w:hAnsi="Times New Roman" w:cs="Times New Roman"/>
        </w:rPr>
        <w:t xml:space="preserve"> million respectively</w:t>
      </w:r>
      <w:r w:rsidR="00465138">
        <w:rPr>
          <w:rFonts w:ascii="Times New Roman" w:hAnsi="Times New Roman" w:cs="Times New Roman"/>
        </w:rPr>
        <w:t xml:space="preserve"> during FY13.</w:t>
      </w:r>
      <w:r w:rsidR="00F52AF3">
        <w:rPr>
          <w:rFonts w:ascii="Times New Roman" w:hAnsi="Times New Roman" w:cs="Times New Roman"/>
        </w:rPr>
        <w:t xml:space="preserve">   </w:t>
      </w:r>
    </w:p>
    <w:p w:rsidR="008E63B3" w:rsidRPr="00544C8A" w:rsidRDefault="006857E9" w:rsidP="00E45CBF">
      <w:pPr>
        <w:pStyle w:val="BodyTextIndent"/>
        <w:spacing w:line="276" w:lineRule="auto"/>
        <w:ind w:firstLine="0"/>
        <w:jc w:val="left"/>
        <w:rPr>
          <w:b/>
        </w:rPr>
      </w:pPr>
      <w:r w:rsidRPr="00544C8A">
        <w:rPr>
          <w:b/>
        </w:rPr>
        <w:t>Current Transfers</w:t>
      </w:r>
      <w:r w:rsidR="008E63B3" w:rsidRPr="00544C8A">
        <w:rPr>
          <w:b/>
        </w:rPr>
        <w:t xml:space="preserve">   </w:t>
      </w:r>
    </w:p>
    <w:p w:rsidR="00FD5254" w:rsidRDefault="008E63B3" w:rsidP="00E45CBF">
      <w:pPr>
        <w:pStyle w:val="Heading4"/>
        <w:spacing w:before="0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 xml:space="preserve">                    </w:t>
      </w:r>
    </w:p>
    <w:p w:rsidR="009A2D17" w:rsidRPr="008633B5" w:rsidRDefault="008E63B3" w:rsidP="00E45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transfers</w:t>
      </w:r>
      <w:r w:rsidR="00365F0C">
        <w:rPr>
          <w:rFonts w:ascii="Times New Roman" w:hAnsi="Times New Roman" w:cs="Times New Roman"/>
        </w:rPr>
        <w:t xml:space="preserve"> account remained affluent with </w:t>
      </w:r>
      <w:r w:rsidR="00EB01DB" w:rsidRPr="007413CB">
        <w:rPr>
          <w:rFonts w:ascii="Times New Roman" w:hAnsi="Times New Roman" w:cs="Times New Roman"/>
        </w:rPr>
        <w:t>$1</w:t>
      </w:r>
      <w:r w:rsidR="00A860E8">
        <w:rPr>
          <w:rFonts w:ascii="Times New Roman" w:hAnsi="Times New Roman" w:cs="Times New Roman"/>
        </w:rPr>
        <w:t>8</w:t>
      </w:r>
      <w:r w:rsidR="00EB01DB" w:rsidRPr="007413CB">
        <w:rPr>
          <w:rFonts w:ascii="Times New Roman" w:hAnsi="Times New Roman" w:cs="Times New Roman"/>
        </w:rPr>
        <w:t>,</w:t>
      </w:r>
      <w:r w:rsidR="00A860E8">
        <w:rPr>
          <w:rFonts w:ascii="Times New Roman" w:hAnsi="Times New Roman" w:cs="Times New Roman"/>
        </w:rPr>
        <w:t>092</w:t>
      </w:r>
      <w:r w:rsidR="00EB01DB" w:rsidRPr="007413CB">
        <w:rPr>
          <w:rFonts w:ascii="Times New Roman" w:hAnsi="Times New Roman" w:cs="Times New Roman"/>
        </w:rPr>
        <w:t xml:space="preserve"> million during </w:t>
      </w:r>
      <w:r w:rsidR="0057452E" w:rsidRPr="007413CB">
        <w:rPr>
          <w:rFonts w:ascii="Times New Roman" w:hAnsi="Times New Roman" w:cs="Times New Roman"/>
        </w:rPr>
        <w:t>FY</w:t>
      </w:r>
      <w:r w:rsidR="00EB01DB" w:rsidRPr="007413CB">
        <w:rPr>
          <w:rFonts w:ascii="Times New Roman" w:hAnsi="Times New Roman" w:cs="Times New Roman"/>
        </w:rPr>
        <w:t>1</w:t>
      </w:r>
      <w:r w:rsidR="00A860E8">
        <w:rPr>
          <w:rFonts w:ascii="Times New Roman" w:hAnsi="Times New Roman" w:cs="Times New Roman"/>
        </w:rPr>
        <w:t>3</w:t>
      </w:r>
      <w:r w:rsidR="00C260C5" w:rsidRPr="007413CB">
        <w:rPr>
          <w:rFonts w:ascii="Times New Roman" w:hAnsi="Times New Roman" w:cs="Times New Roman"/>
        </w:rPr>
        <w:t>,</w:t>
      </w:r>
      <w:r w:rsidR="00741495" w:rsidRPr="007413CB">
        <w:rPr>
          <w:rFonts w:ascii="Times New Roman" w:hAnsi="Times New Roman" w:cs="Times New Roman"/>
        </w:rPr>
        <w:t xml:space="preserve"> up by</w:t>
      </w:r>
      <w:r w:rsidR="00C260C5" w:rsidRPr="007413CB">
        <w:rPr>
          <w:rFonts w:ascii="Times New Roman" w:hAnsi="Times New Roman" w:cs="Times New Roman"/>
        </w:rPr>
        <w:t xml:space="preserve"> $</w:t>
      </w:r>
      <w:r w:rsidR="00A860E8">
        <w:rPr>
          <w:rFonts w:ascii="Times New Roman" w:hAnsi="Times New Roman" w:cs="Times New Roman"/>
        </w:rPr>
        <w:t>548</w:t>
      </w:r>
      <w:r w:rsidR="00C260C5" w:rsidRPr="007413CB">
        <w:rPr>
          <w:rFonts w:ascii="Times New Roman" w:hAnsi="Times New Roman" w:cs="Times New Roman"/>
        </w:rPr>
        <w:t xml:space="preserve"> </w:t>
      </w:r>
      <w:r w:rsidR="002733B4" w:rsidRPr="007413CB">
        <w:rPr>
          <w:rFonts w:ascii="Times New Roman" w:hAnsi="Times New Roman" w:cs="Times New Roman"/>
        </w:rPr>
        <w:t>million (</w:t>
      </w:r>
      <w:r w:rsidR="00A860E8">
        <w:rPr>
          <w:rFonts w:ascii="Times New Roman" w:hAnsi="Times New Roman" w:cs="Times New Roman"/>
        </w:rPr>
        <w:t>3</w:t>
      </w:r>
      <w:r w:rsidR="002733B4" w:rsidRPr="007413CB">
        <w:rPr>
          <w:rFonts w:ascii="Times New Roman" w:hAnsi="Times New Roman" w:cs="Times New Roman"/>
        </w:rPr>
        <w:t xml:space="preserve"> percent</w:t>
      </w:r>
      <w:r w:rsidR="00577D51" w:rsidRPr="007413CB">
        <w:rPr>
          <w:rFonts w:ascii="Times New Roman" w:hAnsi="Times New Roman" w:cs="Times New Roman"/>
        </w:rPr>
        <w:t>)</w:t>
      </w:r>
      <w:r w:rsidR="00C260C5" w:rsidRPr="007413CB">
        <w:rPr>
          <w:rFonts w:ascii="Times New Roman" w:hAnsi="Times New Roman" w:cs="Times New Roman"/>
        </w:rPr>
        <w:t xml:space="preserve"> </w:t>
      </w:r>
      <w:r w:rsidR="0063456B" w:rsidRPr="007413CB">
        <w:rPr>
          <w:rFonts w:ascii="Times New Roman" w:hAnsi="Times New Roman" w:cs="Times New Roman"/>
        </w:rPr>
        <w:t>from $1</w:t>
      </w:r>
      <w:r w:rsidR="00A860E8">
        <w:rPr>
          <w:rFonts w:ascii="Times New Roman" w:hAnsi="Times New Roman" w:cs="Times New Roman"/>
        </w:rPr>
        <w:t>7</w:t>
      </w:r>
      <w:r w:rsidR="0063456B" w:rsidRPr="007413CB">
        <w:rPr>
          <w:rFonts w:ascii="Times New Roman" w:hAnsi="Times New Roman" w:cs="Times New Roman"/>
        </w:rPr>
        <w:t>,</w:t>
      </w:r>
      <w:r w:rsidR="00A860E8">
        <w:rPr>
          <w:rFonts w:ascii="Times New Roman" w:hAnsi="Times New Roman" w:cs="Times New Roman"/>
        </w:rPr>
        <w:t>544</w:t>
      </w:r>
      <w:r w:rsidR="0063456B" w:rsidRPr="007413CB">
        <w:rPr>
          <w:rFonts w:ascii="Times New Roman" w:hAnsi="Times New Roman" w:cs="Times New Roman"/>
        </w:rPr>
        <w:t xml:space="preserve"> million in </w:t>
      </w:r>
      <w:r w:rsidR="0057452E" w:rsidRPr="007413CB">
        <w:rPr>
          <w:rFonts w:ascii="Times New Roman" w:hAnsi="Times New Roman" w:cs="Times New Roman"/>
        </w:rPr>
        <w:t>FY</w:t>
      </w:r>
      <w:r w:rsidR="005E70D2" w:rsidRPr="007413CB">
        <w:rPr>
          <w:rFonts w:ascii="Times New Roman" w:hAnsi="Times New Roman" w:cs="Times New Roman"/>
        </w:rPr>
        <w:t>1</w:t>
      </w:r>
      <w:r w:rsidR="00465138">
        <w:rPr>
          <w:rFonts w:ascii="Times New Roman" w:hAnsi="Times New Roman" w:cs="Times New Roman"/>
        </w:rPr>
        <w:t>2</w:t>
      </w:r>
      <w:r w:rsidR="0063456B" w:rsidRPr="007413CB">
        <w:rPr>
          <w:rFonts w:ascii="Times New Roman" w:hAnsi="Times New Roman" w:cs="Times New Roman"/>
        </w:rPr>
        <w:t>.</w:t>
      </w:r>
      <w:r w:rsidR="00FD5254" w:rsidRPr="007413CB">
        <w:rPr>
          <w:rFonts w:ascii="Times New Roman" w:hAnsi="Times New Roman" w:cs="Times New Roman"/>
        </w:rPr>
        <w:t xml:space="preserve"> </w:t>
      </w:r>
      <w:r w:rsidR="00365F0C">
        <w:rPr>
          <w:rFonts w:ascii="Times New Roman" w:hAnsi="Times New Roman" w:cs="Times New Roman"/>
        </w:rPr>
        <w:t xml:space="preserve">Pakistani expatriates, during </w:t>
      </w:r>
      <w:r w:rsidR="00365F0C" w:rsidRPr="007413CB">
        <w:rPr>
          <w:rFonts w:ascii="Times New Roman" w:hAnsi="Times New Roman" w:cs="Times New Roman"/>
        </w:rPr>
        <w:t>FY1</w:t>
      </w:r>
      <w:r w:rsidR="00A860E8">
        <w:rPr>
          <w:rFonts w:ascii="Times New Roman" w:hAnsi="Times New Roman" w:cs="Times New Roman"/>
        </w:rPr>
        <w:t>3</w:t>
      </w:r>
      <w:r w:rsidR="00365F0C">
        <w:rPr>
          <w:rFonts w:ascii="Times New Roman" w:hAnsi="Times New Roman" w:cs="Times New Roman"/>
        </w:rPr>
        <w:t xml:space="preserve">, sent </w:t>
      </w:r>
      <w:r w:rsidR="00A860E8">
        <w:rPr>
          <w:rFonts w:ascii="Times New Roman" w:hAnsi="Times New Roman" w:cs="Times New Roman"/>
        </w:rPr>
        <w:t>approximately</w:t>
      </w:r>
      <w:r w:rsidR="00365F0C">
        <w:rPr>
          <w:rFonts w:ascii="Times New Roman" w:hAnsi="Times New Roman" w:cs="Times New Roman"/>
        </w:rPr>
        <w:t xml:space="preserve"> $1</w:t>
      </w:r>
      <w:r w:rsidR="00A860E8">
        <w:rPr>
          <w:rFonts w:ascii="Times New Roman" w:hAnsi="Times New Roman" w:cs="Times New Roman"/>
        </w:rPr>
        <w:t>4</w:t>
      </w:r>
      <w:r w:rsidR="00365F0C">
        <w:rPr>
          <w:rFonts w:ascii="Times New Roman" w:hAnsi="Times New Roman" w:cs="Times New Roman"/>
        </w:rPr>
        <w:t xml:space="preserve"> billion, highest repatriation of all </w:t>
      </w:r>
      <w:r w:rsidR="009E0F1D">
        <w:rPr>
          <w:rFonts w:ascii="Times New Roman" w:hAnsi="Times New Roman" w:cs="Times New Roman"/>
        </w:rPr>
        <w:t>times in</w:t>
      </w:r>
      <w:r w:rsidR="00365F0C">
        <w:rPr>
          <w:rFonts w:ascii="Times New Roman" w:hAnsi="Times New Roman" w:cs="Times New Roman"/>
        </w:rPr>
        <w:t xml:space="preserve"> a fiscal year.  </w:t>
      </w:r>
      <w:r w:rsidR="005E70D2" w:rsidRPr="007413CB">
        <w:rPr>
          <w:rFonts w:ascii="Times New Roman" w:hAnsi="Times New Roman" w:cs="Times New Roman"/>
        </w:rPr>
        <w:t xml:space="preserve"> </w:t>
      </w:r>
      <w:r w:rsidR="00FC4827" w:rsidRPr="007413CB">
        <w:rPr>
          <w:rFonts w:ascii="Times New Roman" w:hAnsi="Times New Roman" w:cs="Times New Roman"/>
        </w:rPr>
        <w:lastRenderedPageBreak/>
        <w:t>Current transfers payments</w:t>
      </w:r>
      <w:r w:rsidR="00741495" w:rsidRPr="007413CB">
        <w:rPr>
          <w:rFonts w:ascii="Times New Roman" w:hAnsi="Times New Roman" w:cs="Times New Roman"/>
        </w:rPr>
        <w:t xml:space="preserve"> of $</w:t>
      </w:r>
      <w:r w:rsidR="00A860E8">
        <w:rPr>
          <w:rFonts w:ascii="Times New Roman" w:hAnsi="Times New Roman" w:cs="Times New Roman"/>
        </w:rPr>
        <w:t>10</w:t>
      </w:r>
      <w:r w:rsidR="00741495" w:rsidRPr="007413CB">
        <w:rPr>
          <w:rFonts w:ascii="Times New Roman" w:hAnsi="Times New Roman" w:cs="Times New Roman"/>
        </w:rPr>
        <w:t xml:space="preserve"> million and $</w:t>
      </w:r>
      <w:r w:rsidR="00A860E8">
        <w:rPr>
          <w:rFonts w:ascii="Times New Roman" w:hAnsi="Times New Roman" w:cs="Times New Roman"/>
        </w:rPr>
        <w:t>81</w:t>
      </w:r>
      <w:r w:rsidR="00741495" w:rsidRPr="007413CB">
        <w:rPr>
          <w:rFonts w:ascii="Times New Roman" w:hAnsi="Times New Roman" w:cs="Times New Roman"/>
        </w:rPr>
        <w:t xml:space="preserve"> million were </w:t>
      </w:r>
      <w:r w:rsidR="00FB0404" w:rsidRPr="007413CB">
        <w:rPr>
          <w:rFonts w:ascii="Times New Roman" w:hAnsi="Times New Roman" w:cs="Times New Roman"/>
        </w:rPr>
        <w:t xml:space="preserve">made </w:t>
      </w:r>
      <w:r w:rsidR="00741495" w:rsidRPr="007413CB">
        <w:rPr>
          <w:rFonts w:ascii="Times New Roman" w:hAnsi="Times New Roman" w:cs="Times New Roman"/>
        </w:rPr>
        <w:t xml:space="preserve">by </w:t>
      </w:r>
      <w:r w:rsidR="00293F16" w:rsidRPr="007413CB">
        <w:rPr>
          <w:rFonts w:ascii="Times New Roman" w:hAnsi="Times New Roman" w:cs="Times New Roman"/>
        </w:rPr>
        <w:t xml:space="preserve">general government and other sectors </w:t>
      </w:r>
      <w:r w:rsidR="00FC4827" w:rsidRPr="007413CB">
        <w:rPr>
          <w:rFonts w:ascii="Times New Roman" w:hAnsi="Times New Roman" w:cs="Times New Roman"/>
        </w:rPr>
        <w:t>respectively.</w:t>
      </w:r>
    </w:p>
    <w:p w:rsidR="006857E9" w:rsidRDefault="006A19FB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189230</wp:posOffset>
            </wp:positionV>
            <wp:extent cx="3743325" cy="2286000"/>
            <wp:effectExtent l="19050" t="0" r="9525" b="0"/>
            <wp:wrapTight wrapText="bothSides">
              <wp:wrapPolygon edited="0">
                <wp:start x="-110" y="0"/>
                <wp:lineTo x="-110" y="21240"/>
                <wp:lineTo x="21655" y="21240"/>
                <wp:lineTo x="21655" y="0"/>
                <wp:lineTo x="-110" y="0"/>
              </wp:wrapPolygon>
            </wp:wrapTight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857E9">
        <w:rPr>
          <w:b/>
          <w:sz w:val="22"/>
          <w:szCs w:val="22"/>
        </w:rPr>
        <w:t xml:space="preserve">Capital &amp; Financial </w:t>
      </w:r>
      <w:r w:rsidR="004E4608">
        <w:rPr>
          <w:b/>
          <w:sz w:val="22"/>
          <w:szCs w:val="22"/>
        </w:rPr>
        <w:t>A</w:t>
      </w:r>
      <w:r w:rsidR="006857E9" w:rsidRPr="006857E9">
        <w:rPr>
          <w:b/>
          <w:sz w:val="22"/>
          <w:szCs w:val="22"/>
        </w:rPr>
        <w:t xml:space="preserve">ccount </w:t>
      </w:r>
    </w:p>
    <w:p w:rsidR="008E63B3" w:rsidRDefault="008E63B3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</w:p>
    <w:p w:rsidR="00196CDA" w:rsidRDefault="006857E9" w:rsidP="00E45CBF">
      <w:pPr>
        <w:pStyle w:val="BodyText"/>
        <w:tabs>
          <w:tab w:val="left" w:pos="9270"/>
          <w:tab w:val="left" w:pos="10098"/>
        </w:tabs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>The net inflow in capital &amp; financial accoun</w:t>
      </w:r>
      <w:r w:rsidR="008A4E68">
        <w:rPr>
          <w:rFonts w:ascii="Times New Roman" w:hAnsi="Times New Roman" w:cs="Times New Roman"/>
        </w:rPr>
        <w:t xml:space="preserve">t during </w:t>
      </w:r>
      <w:r w:rsidR="0057452E">
        <w:rPr>
          <w:rFonts w:ascii="Times New Roman" w:hAnsi="Times New Roman" w:cs="Times New Roman"/>
        </w:rPr>
        <w:t>FY</w:t>
      </w:r>
      <w:r w:rsidR="001F6150">
        <w:rPr>
          <w:rFonts w:ascii="Times New Roman" w:hAnsi="Times New Roman" w:cs="Times New Roman"/>
        </w:rPr>
        <w:t>1</w:t>
      </w:r>
      <w:r w:rsidR="00512A65">
        <w:rPr>
          <w:rFonts w:ascii="Times New Roman" w:hAnsi="Times New Roman" w:cs="Times New Roman"/>
        </w:rPr>
        <w:t>3</w:t>
      </w:r>
      <w:r w:rsidR="008A4E68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reduce</w:t>
      </w:r>
      <w:r w:rsidR="00B96CAD">
        <w:rPr>
          <w:rFonts w:ascii="Times New Roman" w:hAnsi="Times New Roman" w:cs="Times New Roman"/>
        </w:rPr>
        <w:t>d</w:t>
      </w:r>
      <w:r w:rsidR="00A20182">
        <w:rPr>
          <w:rFonts w:ascii="Times New Roman" w:hAnsi="Times New Roman" w:cs="Times New Roman"/>
        </w:rPr>
        <w:t xml:space="preserve"> </w:t>
      </w:r>
      <w:r w:rsidR="00B96CAD">
        <w:rPr>
          <w:rFonts w:ascii="Times New Roman" w:hAnsi="Times New Roman" w:cs="Times New Roman"/>
        </w:rPr>
        <w:t>to $</w:t>
      </w:r>
      <w:r w:rsidR="008633B5">
        <w:rPr>
          <w:rFonts w:ascii="Times New Roman" w:hAnsi="Times New Roman" w:cs="Times New Roman"/>
        </w:rPr>
        <w:t>650</w:t>
      </w:r>
      <w:r w:rsidR="0019338E">
        <w:rPr>
          <w:rFonts w:ascii="Times New Roman" w:hAnsi="Times New Roman" w:cs="Times New Roman"/>
        </w:rPr>
        <w:t xml:space="preserve"> million as against $</w:t>
      </w:r>
      <w:r w:rsidR="00512A65">
        <w:rPr>
          <w:rFonts w:ascii="Times New Roman" w:hAnsi="Times New Roman" w:cs="Times New Roman"/>
        </w:rPr>
        <w:t>1</w:t>
      </w:r>
      <w:r w:rsidRPr="006857E9">
        <w:rPr>
          <w:rFonts w:ascii="Times New Roman" w:hAnsi="Times New Roman" w:cs="Times New Roman"/>
        </w:rPr>
        <w:t>,</w:t>
      </w:r>
      <w:r w:rsidR="00512A65">
        <w:rPr>
          <w:rFonts w:ascii="Times New Roman" w:hAnsi="Times New Roman" w:cs="Times New Roman"/>
        </w:rPr>
        <w:t>463</w:t>
      </w:r>
      <w:r w:rsidR="00A20182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>million during previous year. The net</w:t>
      </w:r>
      <w:r w:rsidR="008A4E68">
        <w:rPr>
          <w:rFonts w:ascii="Times New Roman" w:hAnsi="Times New Roman" w:cs="Times New Roman"/>
        </w:rPr>
        <w:t xml:space="preserve"> capital</w:t>
      </w:r>
      <w:r w:rsidR="00196CDA">
        <w:rPr>
          <w:rFonts w:ascii="Times New Roman" w:hAnsi="Times New Roman" w:cs="Times New Roman"/>
        </w:rPr>
        <w:t xml:space="preserve"> inflow</w:t>
      </w:r>
      <w:r w:rsidR="008A4E68">
        <w:rPr>
          <w:rFonts w:ascii="Times New Roman" w:hAnsi="Times New Roman" w:cs="Times New Roman"/>
        </w:rPr>
        <w:t xml:space="preserve"> </w:t>
      </w:r>
      <w:r w:rsidR="008F59E6">
        <w:rPr>
          <w:rFonts w:ascii="Times New Roman" w:hAnsi="Times New Roman" w:cs="Times New Roman"/>
        </w:rPr>
        <w:t>increased by $</w:t>
      </w:r>
      <w:r w:rsidR="00512A65">
        <w:rPr>
          <w:rFonts w:ascii="Times New Roman" w:hAnsi="Times New Roman" w:cs="Times New Roman"/>
        </w:rPr>
        <w:t>81</w:t>
      </w:r>
      <w:r w:rsidR="008F59E6">
        <w:rPr>
          <w:rFonts w:ascii="Times New Roman" w:hAnsi="Times New Roman" w:cs="Times New Roman"/>
        </w:rPr>
        <w:t xml:space="preserve"> million touched </w:t>
      </w:r>
      <w:r w:rsidR="00512A65">
        <w:rPr>
          <w:rFonts w:ascii="Times New Roman" w:hAnsi="Times New Roman" w:cs="Times New Roman"/>
        </w:rPr>
        <w:t>$264</w:t>
      </w:r>
      <w:r w:rsidR="00196CDA">
        <w:rPr>
          <w:rFonts w:ascii="Times New Roman" w:hAnsi="Times New Roman" w:cs="Times New Roman"/>
        </w:rPr>
        <w:t xml:space="preserve"> million</w:t>
      </w:r>
      <w:r w:rsidR="008F59E6">
        <w:rPr>
          <w:rFonts w:ascii="Times New Roman" w:hAnsi="Times New Roman" w:cs="Times New Roman"/>
        </w:rPr>
        <w:t xml:space="preserve"> during FY1</w:t>
      </w:r>
      <w:r w:rsidR="009024CD">
        <w:rPr>
          <w:rFonts w:ascii="Times New Roman" w:hAnsi="Times New Roman" w:cs="Times New Roman"/>
        </w:rPr>
        <w:t>3</w:t>
      </w:r>
      <w:r w:rsidR="00196CDA">
        <w:rPr>
          <w:rFonts w:ascii="Times New Roman" w:hAnsi="Times New Roman" w:cs="Times New Roman"/>
        </w:rPr>
        <w:t xml:space="preserve">. </w:t>
      </w:r>
      <w:r w:rsidRPr="006857E9">
        <w:rPr>
          <w:rFonts w:ascii="Times New Roman" w:hAnsi="Times New Roman" w:cs="Times New Roman"/>
        </w:rPr>
        <w:t xml:space="preserve"> </w:t>
      </w:r>
    </w:p>
    <w:p w:rsidR="00512A65" w:rsidRDefault="001F6150" w:rsidP="00E45CBF">
      <w:pPr>
        <w:pStyle w:val="BodyText"/>
        <w:tabs>
          <w:tab w:val="left" w:pos="100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account recorded a surplus of $</w:t>
      </w:r>
      <w:r w:rsidR="008633B5">
        <w:rPr>
          <w:rFonts w:ascii="Times New Roman" w:hAnsi="Times New Roman" w:cs="Times New Roman"/>
        </w:rPr>
        <w:t>549</w:t>
      </w:r>
      <w:r w:rsidR="00512A65">
        <w:rPr>
          <w:rFonts w:ascii="Times New Roman" w:hAnsi="Times New Roman" w:cs="Times New Roman"/>
        </w:rPr>
        <w:t xml:space="preserve"> million</w:t>
      </w:r>
      <w:r>
        <w:rPr>
          <w:rFonts w:ascii="Times New Roman" w:hAnsi="Times New Roman" w:cs="Times New Roman"/>
        </w:rPr>
        <w:t xml:space="preserve"> during FY1</w:t>
      </w:r>
      <w:r w:rsidR="009024CD">
        <w:rPr>
          <w:rFonts w:ascii="Times New Roman" w:hAnsi="Times New Roman" w:cs="Times New Roman"/>
        </w:rPr>
        <w:t>3</w:t>
      </w:r>
      <w:r w:rsidR="00577D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633B5">
        <w:rPr>
          <w:rFonts w:ascii="Times New Roman" w:hAnsi="Times New Roman" w:cs="Times New Roman"/>
        </w:rPr>
        <w:t>57</w:t>
      </w:r>
      <w:r w:rsidR="00D26E20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percent lower</w:t>
      </w:r>
      <w:r w:rsidR="007959C1">
        <w:rPr>
          <w:rFonts w:ascii="Times New Roman" w:hAnsi="Times New Roman" w:cs="Times New Roman"/>
        </w:rPr>
        <w:t xml:space="preserve"> than last</w:t>
      </w:r>
      <w:r>
        <w:rPr>
          <w:rFonts w:ascii="Times New Roman" w:hAnsi="Times New Roman" w:cs="Times New Roman"/>
        </w:rPr>
        <w:t xml:space="preserve"> year’s position ($</w:t>
      </w:r>
      <w:r w:rsidR="00512A65">
        <w:rPr>
          <w:rFonts w:ascii="Times New Roman" w:hAnsi="Times New Roman" w:cs="Times New Roman"/>
        </w:rPr>
        <w:t xml:space="preserve">1,280 </w:t>
      </w:r>
      <w:r>
        <w:rPr>
          <w:rFonts w:ascii="Times New Roman" w:hAnsi="Times New Roman" w:cs="Times New Roman"/>
        </w:rPr>
        <w:t>million).</w:t>
      </w:r>
    </w:p>
    <w:p w:rsidR="00017B85" w:rsidRDefault="00512A65" w:rsidP="00E45CBF">
      <w:pPr>
        <w:pStyle w:val="BodyText"/>
        <w:tabs>
          <w:tab w:val="left" w:pos="10098"/>
        </w:tabs>
        <w:rPr>
          <w:rFonts w:ascii="Times New Roman" w:hAnsi="Times New Roman" w:cs="Times New Roman"/>
        </w:rPr>
      </w:pPr>
      <w:r w:rsidRPr="00512A65">
        <w:rPr>
          <w:rFonts w:ascii="Times New Roman" w:hAnsi="Times New Roman" w:cs="Times New Roman"/>
        </w:rPr>
        <w:t xml:space="preserve">The </w:t>
      </w:r>
      <w:r w:rsidR="00465138">
        <w:rPr>
          <w:rFonts w:ascii="Times New Roman" w:hAnsi="Times New Roman" w:cs="Times New Roman"/>
        </w:rPr>
        <w:t xml:space="preserve">inflow </w:t>
      </w:r>
      <w:r w:rsidR="00ED77DC">
        <w:rPr>
          <w:rFonts w:ascii="Times New Roman" w:hAnsi="Times New Roman" w:cs="Times New Roman"/>
        </w:rPr>
        <w:t xml:space="preserve">of </w:t>
      </w:r>
      <w:r w:rsidRPr="00512A65">
        <w:rPr>
          <w:rFonts w:ascii="Times New Roman" w:hAnsi="Times New Roman" w:cs="Times New Roman"/>
        </w:rPr>
        <w:t>foreign direct investment in Pakistan increased by $</w:t>
      </w:r>
      <w:r w:rsidR="00017B85">
        <w:rPr>
          <w:rFonts w:ascii="Times New Roman" w:hAnsi="Times New Roman" w:cs="Times New Roman"/>
        </w:rPr>
        <w:t>635</w:t>
      </w:r>
      <w:r w:rsidRPr="00512A65">
        <w:rPr>
          <w:rFonts w:ascii="Times New Roman" w:hAnsi="Times New Roman" w:cs="Times New Roman"/>
        </w:rPr>
        <w:t xml:space="preserve"> million </w:t>
      </w:r>
      <w:r w:rsidR="00017B85">
        <w:rPr>
          <w:rFonts w:ascii="Times New Roman" w:hAnsi="Times New Roman" w:cs="Times New Roman"/>
        </w:rPr>
        <w:t>(77percent)</w:t>
      </w:r>
      <w:r w:rsidRPr="00512A65">
        <w:rPr>
          <w:rFonts w:ascii="Times New Roman" w:hAnsi="Times New Roman" w:cs="Times New Roman"/>
        </w:rPr>
        <w:t xml:space="preserve"> stood at $</w:t>
      </w:r>
      <w:r>
        <w:rPr>
          <w:rFonts w:ascii="Times New Roman" w:hAnsi="Times New Roman" w:cs="Times New Roman"/>
        </w:rPr>
        <w:t>1,456</w:t>
      </w:r>
      <w:r w:rsidRPr="00512A65">
        <w:rPr>
          <w:rFonts w:ascii="Times New Roman" w:hAnsi="Times New Roman" w:cs="Times New Roman"/>
        </w:rPr>
        <w:t xml:space="preserve"> million against $</w:t>
      </w:r>
      <w:r>
        <w:rPr>
          <w:rFonts w:ascii="Times New Roman" w:hAnsi="Times New Roman" w:cs="Times New Roman"/>
        </w:rPr>
        <w:t>821</w:t>
      </w:r>
      <w:r w:rsidRPr="00512A65">
        <w:rPr>
          <w:rFonts w:ascii="Times New Roman" w:hAnsi="Times New Roman" w:cs="Times New Roman"/>
        </w:rPr>
        <w:t xml:space="preserve"> million during the same period last year while the foreign direct inv</w:t>
      </w:r>
      <w:r w:rsidR="009024CD">
        <w:rPr>
          <w:rFonts w:ascii="Times New Roman" w:hAnsi="Times New Roman" w:cs="Times New Roman"/>
        </w:rPr>
        <w:t>estment abroad reflected</w:t>
      </w:r>
      <w:r w:rsidR="00017B85">
        <w:rPr>
          <w:rFonts w:ascii="Times New Roman" w:hAnsi="Times New Roman" w:cs="Times New Roman"/>
        </w:rPr>
        <w:t xml:space="preserve"> </w:t>
      </w:r>
      <w:r w:rsidRPr="00512A65">
        <w:rPr>
          <w:rFonts w:ascii="Times New Roman" w:hAnsi="Times New Roman" w:cs="Times New Roman"/>
        </w:rPr>
        <w:t xml:space="preserve"> </w:t>
      </w:r>
      <w:r w:rsidR="00017B85">
        <w:rPr>
          <w:rFonts w:ascii="Times New Roman" w:hAnsi="Times New Roman" w:cs="Times New Roman"/>
        </w:rPr>
        <w:t>$198 million</w:t>
      </w:r>
      <w:r w:rsidR="009024CD">
        <w:rPr>
          <w:rFonts w:ascii="Times New Roman" w:hAnsi="Times New Roman" w:cs="Times New Roman"/>
        </w:rPr>
        <w:t xml:space="preserve"> as</w:t>
      </w:r>
      <w:r w:rsidR="00017B85">
        <w:rPr>
          <w:rFonts w:ascii="Times New Roman" w:hAnsi="Times New Roman" w:cs="Times New Roman"/>
        </w:rPr>
        <w:t xml:space="preserve"> against </w:t>
      </w:r>
      <w:r w:rsidRPr="00512A65">
        <w:rPr>
          <w:rFonts w:ascii="Times New Roman" w:hAnsi="Times New Roman" w:cs="Times New Roman"/>
        </w:rPr>
        <w:t>$</w:t>
      </w:r>
      <w:r w:rsidR="00017B85">
        <w:rPr>
          <w:rFonts w:ascii="Times New Roman" w:hAnsi="Times New Roman" w:cs="Times New Roman"/>
        </w:rPr>
        <w:t>77</w:t>
      </w:r>
      <w:r w:rsidRPr="00512A65">
        <w:rPr>
          <w:rFonts w:ascii="Times New Roman" w:hAnsi="Times New Roman" w:cs="Times New Roman"/>
        </w:rPr>
        <w:t xml:space="preserve"> million</w:t>
      </w:r>
      <w:r w:rsidR="00017B85">
        <w:rPr>
          <w:rFonts w:ascii="Times New Roman" w:hAnsi="Times New Roman" w:cs="Times New Roman"/>
        </w:rPr>
        <w:t xml:space="preserve">  during previous year.</w:t>
      </w:r>
    </w:p>
    <w:p w:rsidR="008E63B3" w:rsidRPr="00512A65" w:rsidRDefault="00017B85" w:rsidP="00E45CBF">
      <w:pPr>
        <w:pStyle w:val="BodyText"/>
        <w:tabs>
          <w:tab w:val="left" w:pos="100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net inflow of $125</w:t>
      </w:r>
      <w:r w:rsidR="00512A65" w:rsidRPr="00512A65">
        <w:rPr>
          <w:rFonts w:ascii="Times New Roman" w:hAnsi="Times New Roman" w:cs="Times New Roman"/>
        </w:rPr>
        <w:t xml:space="preserve"> million was recorded in portfolio investment in Pakistan during FY1</w:t>
      </w:r>
      <w:r>
        <w:rPr>
          <w:rFonts w:ascii="Times New Roman" w:hAnsi="Times New Roman" w:cs="Times New Roman"/>
        </w:rPr>
        <w:t>3</w:t>
      </w:r>
      <w:r w:rsidR="00512A65" w:rsidRPr="00512A65">
        <w:rPr>
          <w:rFonts w:ascii="Times New Roman" w:hAnsi="Times New Roman" w:cs="Times New Roman"/>
        </w:rPr>
        <w:t xml:space="preserve"> as compared</w:t>
      </w:r>
      <w:r>
        <w:rPr>
          <w:rFonts w:ascii="Times New Roman" w:hAnsi="Times New Roman" w:cs="Times New Roman"/>
        </w:rPr>
        <w:t xml:space="preserve"> to net outflow of </w:t>
      </w:r>
      <w:r w:rsidR="00512A65" w:rsidRPr="00512A65">
        <w:rPr>
          <w:rFonts w:ascii="Times New Roman" w:hAnsi="Times New Roman" w:cs="Times New Roman"/>
        </w:rPr>
        <w:t>$1</w:t>
      </w:r>
      <w:r w:rsidR="00DE2300">
        <w:rPr>
          <w:rFonts w:ascii="Times New Roman" w:hAnsi="Times New Roman" w:cs="Times New Roman"/>
        </w:rPr>
        <w:t>12</w:t>
      </w:r>
      <w:r w:rsidR="00512A65" w:rsidRPr="00512A65">
        <w:rPr>
          <w:rFonts w:ascii="Times New Roman" w:hAnsi="Times New Roman" w:cs="Times New Roman"/>
        </w:rPr>
        <w:t xml:space="preserve"> million in the corresponding last year</w:t>
      </w:r>
      <w:r>
        <w:rPr>
          <w:rFonts w:ascii="Times New Roman" w:hAnsi="Times New Roman" w:cs="Times New Roman"/>
        </w:rPr>
        <w:t xml:space="preserve"> while </w:t>
      </w:r>
      <w:r w:rsidRPr="00512A65">
        <w:rPr>
          <w:rFonts w:ascii="Times New Roman" w:hAnsi="Times New Roman" w:cs="Times New Roman"/>
        </w:rPr>
        <w:t xml:space="preserve">the foreign </w:t>
      </w:r>
      <w:r>
        <w:rPr>
          <w:rFonts w:ascii="Times New Roman" w:hAnsi="Times New Roman" w:cs="Times New Roman"/>
        </w:rPr>
        <w:t>portfolio</w:t>
      </w:r>
      <w:r w:rsidRPr="00512A65">
        <w:rPr>
          <w:rFonts w:ascii="Times New Roman" w:hAnsi="Times New Roman" w:cs="Times New Roman"/>
        </w:rPr>
        <w:t xml:space="preserve"> inv</w:t>
      </w:r>
      <w:r>
        <w:rPr>
          <w:rFonts w:ascii="Times New Roman" w:hAnsi="Times New Roman" w:cs="Times New Roman"/>
        </w:rPr>
        <w:t xml:space="preserve">estment abroad </w:t>
      </w:r>
      <w:r w:rsidR="009024CD">
        <w:rPr>
          <w:rFonts w:ascii="Times New Roman" w:hAnsi="Times New Roman" w:cs="Times New Roman"/>
        </w:rPr>
        <w:t>reflected $</w:t>
      </w:r>
      <w:r>
        <w:rPr>
          <w:rFonts w:ascii="Times New Roman" w:hAnsi="Times New Roman" w:cs="Times New Roman"/>
        </w:rPr>
        <w:t xml:space="preserve">99 million </w:t>
      </w:r>
      <w:r w:rsidR="009024CD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against </w:t>
      </w:r>
      <w:r w:rsidRPr="00512A65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32</w:t>
      </w:r>
      <w:r w:rsidRPr="00512A65">
        <w:rPr>
          <w:rFonts w:ascii="Times New Roman" w:hAnsi="Times New Roman" w:cs="Times New Roman"/>
        </w:rPr>
        <w:t xml:space="preserve"> </w:t>
      </w:r>
      <w:r w:rsidR="009024CD" w:rsidRPr="00512A65">
        <w:rPr>
          <w:rFonts w:ascii="Times New Roman" w:hAnsi="Times New Roman" w:cs="Times New Roman"/>
        </w:rPr>
        <w:t>million</w:t>
      </w:r>
      <w:r w:rsidR="009024CD">
        <w:rPr>
          <w:rFonts w:ascii="Times New Roman" w:hAnsi="Times New Roman" w:cs="Times New Roman"/>
        </w:rPr>
        <w:t xml:space="preserve"> during</w:t>
      </w:r>
      <w:r>
        <w:rPr>
          <w:rFonts w:ascii="Times New Roman" w:hAnsi="Times New Roman" w:cs="Times New Roman"/>
        </w:rPr>
        <w:t xml:space="preserve"> previous year</w:t>
      </w:r>
      <w:r w:rsidR="00512A65" w:rsidRPr="00512A6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Other investment liabilities decrease</w:t>
      </w:r>
      <w:r w:rsidR="009024C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by $</w:t>
      </w:r>
      <w:r w:rsidR="003D45FF">
        <w:rPr>
          <w:rFonts w:ascii="Times New Roman" w:hAnsi="Times New Roman" w:cs="Times New Roman"/>
        </w:rPr>
        <w:t>4</w:t>
      </w:r>
      <w:r w:rsidR="008633B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million and </w:t>
      </w:r>
      <w:r w:rsidR="00E75F95">
        <w:rPr>
          <w:rFonts w:ascii="Times New Roman" w:hAnsi="Times New Roman" w:cs="Times New Roman"/>
        </w:rPr>
        <w:t>assets increase</w:t>
      </w:r>
      <w:r w:rsidR="009024CD">
        <w:rPr>
          <w:rFonts w:ascii="Times New Roman" w:hAnsi="Times New Roman" w:cs="Times New Roman"/>
        </w:rPr>
        <w:t>d</w:t>
      </w:r>
      <w:r w:rsidR="008633B5">
        <w:rPr>
          <w:rFonts w:ascii="Times New Roman" w:hAnsi="Times New Roman" w:cs="Times New Roman"/>
        </w:rPr>
        <w:t xml:space="preserve"> by $314</w:t>
      </w:r>
      <w:r w:rsidR="00E75F95">
        <w:rPr>
          <w:rFonts w:ascii="Times New Roman" w:hAnsi="Times New Roman" w:cs="Times New Roman"/>
        </w:rPr>
        <w:t xml:space="preserve"> million during FY13.</w:t>
      </w:r>
      <w:r>
        <w:rPr>
          <w:rFonts w:ascii="Times New Roman" w:hAnsi="Times New Roman" w:cs="Times New Roman"/>
        </w:rPr>
        <w:t xml:space="preserve"> </w:t>
      </w:r>
    </w:p>
    <w:p w:rsidR="005F2BC5" w:rsidRDefault="00B57935" w:rsidP="00E45CBF">
      <w:pPr>
        <w:tabs>
          <w:tab w:val="center" w:pos="3063"/>
        </w:tabs>
        <w:rPr>
          <w:rFonts w:ascii="Times New Roman" w:hAnsi="Times New Roman" w:cs="Times New Roman"/>
        </w:rPr>
      </w:pPr>
      <w:r w:rsidRPr="00B57935">
        <w:rPr>
          <w:rFonts w:ascii="Times New Roman" w:hAnsi="Times New Roman" w:cs="Times New Roman"/>
          <w:b/>
          <w:color w:val="000000" w:themeColor="text1"/>
        </w:rPr>
        <w:t>Disbursement and Repayment of Loans</w:t>
      </w:r>
    </w:p>
    <w:p w:rsidR="000C4AE0" w:rsidRDefault="008633B5" w:rsidP="00E45CBF">
      <w:pPr>
        <w:pStyle w:val="BodyText"/>
        <w:tabs>
          <w:tab w:val="left" w:pos="10098"/>
        </w:tabs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913216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892810</wp:posOffset>
            </wp:positionV>
            <wp:extent cx="2703830" cy="2139950"/>
            <wp:effectExtent l="19050" t="0" r="1270" b="0"/>
            <wp:wrapTight wrapText="bothSides">
              <wp:wrapPolygon edited="0">
                <wp:start x="-152" y="0"/>
                <wp:lineTo x="-152" y="21151"/>
                <wp:lineTo x="21610" y="21151"/>
                <wp:lineTo x="21610" y="0"/>
                <wp:lineTo x="-152" y="0"/>
              </wp:wrapPolygon>
            </wp:wrapTight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605">
        <w:rPr>
          <w:noProof/>
        </w:rPr>
        <w:drawing>
          <wp:anchor distT="0" distB="0" distL="114300" distR="114300" simplePos="0" relativeHeight="251908096" behindDoc="1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892810</wp:posOffset>
            </wp:positionV>
            <wp:extent cx="2755900" cy="2139950"/>
            <wp:effectExtent l="19050" t="0" r="6350" b="0"/>
            <wp:wrapTight wrapText="bothSides">
              <wp:wrapPolygon edited="0">
                <wp:start x="-149" y="192"/>
                <wp:lineTo x="-149" y="21151"/>
                <wp:lineTo x="21650" y="21151"/>
                <wp:lineTo x="21650" y="192"/>
                <wp:lineTo x="-149" y="192"/>
              </wp:wrapPolygon>
            </wp:wrapTight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DDC" w:rsidRPr="004D2DDC">
        <w:t xml:space="preserve"> </w:t>
      </w:r>
      <w:r w:rsidR="004D2DDC">
        <w:rPr>
          <w:rFonts w:ascii="Times New Roman" w:hAnsi="Times New Roman" w:cs="Times New Roman"/>
        </w:rPr>
        <w:t>The inflow of foreign loans</w:t>
      </w:r>
      <w:r w:rsidR="006857E9" w:rsidRPr="006857E9">
        <w:rPr>
          <w:rFonts w:ascii="Times New Roman" w:hAnsi="Times New Roman" w:cs="Times New Roman"/>
        </w:rPr>
        <w:t xml:space="preserve"> </w:t>
      </w:r>
      <w:r w:rsidR="009024CD">
        <w:rPr>
          <w:rFonts w:ascii="Times New Roman" w:hAnsi="Times New Roman" w:cs="Times New Roman"/>
        </w:rPr>
        <w:t>was $</w:t>
      </w:r>
      <w:r w:rsidR="004D2DDC">
        <w:rPr>
          <w:rFonts w:ascii="Times New Roman" w:hAnsi="Times New Roman" w:cs="Times New Roman"/>
        </w:rPr>
        <w:t>2,</w:t>
      </w:r>
      <w:r w:rsidR="003D45F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39</w:t>
      </w:r>
      <w:r w:rsidR="004D2DDC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>million</w:t>
      </w:r>
      <w:r w:rsidR="00ED77DC">
        <w:rPr>
          <w:rFonts w:ascii="Times New Roman" w:hAnsi="Times New Roman" w:cs="Times New Roman"/>
        </w:rPr>
        <w:t xml:space="preserve"> in FY13</w:t>
      </w:r>
      <w:r w:rsidR="006857E9" w:rsidRPr="006857E9">
        <w:rPr>
          <w:rFonts w:ascii="Times New Roman" w:hAnsi="Times New Roman" w:cs="Times New Roman"/>
        </w:rPr>
        <w:t xml:space="preserve"> as compared </w:t>
      </w:r>
      <w:r w:rsidR="00B0151F">
        <w:rPr>
          <w:rFonts w:ascii="Times New Roman" w:hAnsi="Times New Roman" w:cs="Times New Roman"/>
        </w:rPr>
        <w:t>to</w:t>
      </w:r>
      <w:r w:rsidR="006857E9" w:rsidRPr="006857E9">
        <w:rPr>
          <w:rFonts w:ascii="Times New Roman" w:hAnsi="Times New Roman" w:cs="Times New Roman"/>
        </w:rPr>
        <w:t xml:space="preserve"> $</w:t>
      </w:r>
      <w:r w:rsidR="004D2DDC">
        <w:rPr>
          <w:rFonts w:ascii="Times New Roman" w:hAnsi="Times New Roman" w:cs="Times New Roman"/>
        </w:rPr>
        <w:t>3</w:t>
      </w:r>
      <w:r w:rsidR="006857E9" w:rsidRPr="006857E9">
        <w:rPr>
          <w:rFonts w:ascii="Times New Roman" w:hAnsi="Times New Roman" w:cs="Times New Roman"/>
        </w:rPr>
        <w:t>,</w:t>
      </w:r>
      <w:r w:rsidR="004D2DDC">
        <w:rPr>
          <w:rFonts w:ascii="Times New Roman" w:hAnsi="Times New Roman" w:cs="Times New Roman"/>
        </w:rPr>
        <w:t>191</w:t>
      </w:r>
      <w:r w:rsidR="006857E9" w:rsidRPr="006857E9">
        <w:rPr>
          <w:rFonts w:ascii="Times New Roman" w:hAnsi="Times New Roman" w:cs="Times New Roman"/>
        </w:rPr>
        <w:t xml:space="preserve"> million</w:t>
      </w:r>
      <w:r w:rsidR="00247995">
        <w:rPr>
          <w:rFonts w:ascii="Times New Roman" w:hAnsi="Times New Roman" w:cs="Times New Roman"/>
        </w:rPr>
        <w:t xml:space="preserve"> in the</w:t>
      </w:r>
      <w:r w:rsidR="006857E9" w:rsidRPr="006857E9">
        <w:rPr>
          <w:rFonts w:ascii="Times New Roman" w:hAnsi="Times New Roman" w:cs="Times New Roman"/>
        </w:rPr>
        <w:t xml:space="preserve"> </w:t>
      </w:r>
      <w:r w:rsidR="004B4534">
        <w:rPr>
          <w:rFonts w:ascii="Times New Roman" w:hAnsi="Times New Roman" w:cs="Times New Roman"/>
        </w:rPr>
        <w:t>previous</w:t>
      </w:r>
      <w:r w:rsidR="00CE17A6">
        <w:rPr>
          <w:rFonts w:ascii="Times New Roman" w:hAnsi="Times New Roman" w:cs="Times New Roman"/>
        </w:rPr>
        <w:t xml:space="preserve"> year.</w:t>
      </w:r>
      <w:r w:rsidR="006857E9" w:rsidRPr="006857E9">
        <w:rPr>
          <w:rFonts w:ascii="Times New Roman" w:hAnsi="Times New Roman" w:cs="Times New Roman"/>
        </w:rPr>
        <w:t xml:space="preserve"> Of the total disbursement of long</w:t>
      </w:r>
      <w:r w:rsidR="008A4E68">
        <w:rPr>
          <w:rFonts w:ascii="Times New Roman" w:hAnsi="Times New Roman" w:cs="Times New Roman"/>
        </w:rPr>
        <w:t>-term loans of $</w:t>
      </w:r>
      <w:r w:rsidR="004D2DDC">
        <w:rPr>
          <w:rFonts w:ascii="Times New Roman" w:hAnsi="Times New Roman" w:cs="Times New Roman"/>
        </w:rPr>
        <w:t>2</w:t>
      </w:r>
      <w:r w:rsidR="008A4E68">
        <w:rPr>
          <w:rFonts w:ascii="Times New Roman" w:hAnsi="Times New Roman" w:cs="Times New Roman"/>
        </w:rPr>
        <w:t>,</w:t>
      </w:r>
      <w:r w:rsidR="004D2D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9</w:t>
      </w:r>
      <w:r w:rsidR="003D45FF">
        <w:rPr>
          <w:rFonts w:ascii="Times New Roman" w:hAnsi="Times New Roman" w:cs="Times New Roman"/>
        </w:rPr>
        <w:t>8</w:t>
      </w:r>
      <w:r w:rsidR="008A4E68">
        <w:rPr>
          <w:rFonts w:ascii="Times New Roman" w:hAnsi="Times New Roman" w:cs="Times New Roman"/>
        </w:rPr>
        <w:t xml:space="preserve"> million, </w:t>
      </w:r>
      <w:r w:rsidR="008A4E68" w:rsidRPr="00D02BFC">
        <w:rPr>
          <w:rFonts w:ascii="Times New Roman" w:hAnsi="Times New Roman" w:cs="Times New Roman"/>
        </w:rPr>
        <w:t>$</w:t>
      </w:r>
      <w:r w:rsidR="004D2DDC">
        <w:rPr>
          <w:rFonts w:ascii="Times New Roman" w:hAnsi="Times New Roman" w:cs="Times New Roman"/>
        </w:rPr>
        <w:t>2</w:t>
      </w:r>
      <w:r w:rsidR="0091019F" w:rsidRPr="00D02BFC">
        <w:rPr>
          <w:rFonts w:ascii="Times New Roman" w:hAnsi="Times New Roman" w:cs="Times New Roman"/>
        </w:rPr>
        <w:t>,</w:t>
      </w:r>
      <w:r w:rsidR="006C178A" w:rsidRPr="00D02BF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36</w:t>
      </w:r>
      <w:r w:rsidR="006857E9" w:rsidRPr="00D02BFC">
        <w:rPr>
          <w:rFonts w:ascii="Times New Roman" w:hAnsi="Times New Roman" w:cs="Times New Roman"/>
        </w:rPr>
        <w:t xml:space="preserve"> million</w:t>
      </w:r>
      <w:r w:rsidR="006857E9" w:rsidRPr="006857E9">
        <w:rPr>
          <w:rFonts w:ascii="Times New Roman" w:hAnsi="Times New Roman" w:cs="Times New Roman"/>
        </w:rPr>
        <w:t xml:space="preserve"> were for financing of various projects </w:t>
      </w:r>
      <w:r w:rsidR="006857E9" w:rsidRPr="00D02BFC">
        <w:rPr>
          <w:rFonts w:ascii="Times New Roman" w:hAnsi="Times New Roman" w:cs="Times New Roman"/>
        </w:rPr>
        <w:t>while $</w:t>
      </w:r>
      <w:r>
        <w:rPr>
          <w:rFonts w:ascii="Times New Roman" w:hAnsi="Times New Roman" w:cs="Times New Roman"/>
        </w:rPr>
        <w:t>138</w:t>
      </w:r>
      <w:r w:rsidR="006857E9" w:rsidRPr="00D02BFC">
        <w:rPr>
          <w:rFonts w:ascii="Times New Roman" w:hAnsi="Times New Roman" w:cs="Times New Roman"/>
        </w:rPr>
        <w:t xml:space="preserve"> million</w:t>
      </w:r>
      <w:r w:rsidR="006857E9" w:rsidRPr="006857E9">
        <w:rPr>
          <w:rFonts w:ascii="Times New Roman" w:hAnsi="Times New Roman" w:cs="Times New Roman"/>
        </w:rPr>
        <w:t xml:space="preserve"> </w:t>
      </w:r>
      <w:r w:rsidR="009024CD">
        <w:rPr>
          <w:rFonts w:ascii="Times New Roman" w:hAnsi="Times New Roman" w:cs="Times New Roman"/>
        </w:rPr>
        <w:t>for</w:t>
      </w:r>
      <w:r w:rsidR="00544C8A">
        <w:rPr>
          <w:rFonts w:ascii="Times New Roman" w:hAnsi="Times New Roman" w:cs="Times New Roman"/>
        </w:rPr>
        <w:t xml:space="preserve"> </w:t>
      </w:r>
      <w:r w:rsidR="004B4534">
        <w:rPr>
          <w:rFonts w:ascii="Times New Roman" w:hAnsi="Times New Roman" w:cs="Times New Roman"/>
        </w:rPr>
        <w:t>non-project</w:t>
      </w:r>
      <w:r w:rsidR="006857E9" w:rsidRPr="006857E9">
        <w:rPr>
          <w:rFonts w:ascii="Times New Roman" w:hAnsi="Times New Roman" w:cs="Times New Roman"/>
        </w:rPr>
        <w:t xml:space="preserve"> </w:t>
      </w:r>
      <w:r w:rsidR="000C4AE0" w:rsidRPr="006857E9">
        <w:rPr>
          <w:rFonts w:ascii="Times New Roman" w:hAnsi="Times New Roman" w:cs="Times New Roman"/>
        </w:rPr>
        <w:t>loans</w:t>
      </w:r>
      <w:r w:rsidR="003D45FF">
        <w:rPr>
          <w:rFonts w:ascii="Times New Roman" w:hAnsi="Times New Roman" w:cs="Times New Roman"/>
        </w:rPr>
        <w:t xml:space="preserve"> of the general government</w:t>
      </w:r>
      <w:r w:rsidR="000C4AE0" w:rsidRPr="006857E9">
        <w:rPr>
          <w:rFonts w:ascii="Times New Roman" w:hAnsi="Times New Roman" w:cs="Times New Roman"/>
        </w:rPr>
        <w:t>.</w:t>
      </w:r>
      <w:r w:rsidR="000C4AE0">
        <w:rPr>
          <w:rFonts w:ascii="Times New Roman" w:hAnsi="Times New Roman" w:cs="Times New Roman"/>
        </w:rPr>
        <w:t xml:space="preserve"> </w:t>
      </w:r>
      <w:r w:rsidR="009024CD">
        <w:rPr>
          <w:rFonts w:ascii="Times New Roman" w:hAnsi="Times New Roman" w:cs="Times New Roman"/>
        </w:rPr>
        <w:t>Inflow of s</w:t>
      </w:r>
      <w:r w:rsidR="000C4AE0">
        <w:rPr>
          <w:rFonts w:ascii="Times New Roman" w:hAnsi="Times New Roman" w:cs="Times New Roman"/>
        </w:rPr>
        <w:t xml:space="preserve">hort term </w:t>
      </w:r>
      <w:r w:rsidR="00293F16">
        <w:rPr>
          <w:rFonts w:ascii="Times New Roman" w:hAnsi="Times New Roman" w:cs="Times New Roman"/>
        </w:rPr>
        <w:t xml:space="preserve">loans </w:t>
      </w:r>
      <w:r w:rsidR="00E67AB7">
        <w:rPr>
          <w:rFonts w:ascii="Times New Roman" w:hAnsi="Times New Roman" w:cs="Times New Roman"/>
        </w:rPr>
        <w:t xml:space="preserve">stood </w:t>
      </w:r>
      <w:r w:rsidR="00D02BFC">
        <w:rPr>
          <w:rFonts w:ascii="Times New Roman" w:hAnsi="Times New Roman" w:cs="Times New Roman"/>
        </w:rPr>
        <w:t>at $</w:t>
      </w:r>
      <w:r w:rsidR="004D2DDC">
        <w:rPr>
          <w:rFonts w:ascii="Times New Roman" w:hAnsi="Times New Roman" w:cs="Times New Roman"/>
        </w:rPr>
        <w:t>441</w:t>
      </w:r>
      <w:r w:rsidR="000A2E98">
        <w:rPr>
          <w:rFonts w:ascii="Times New Roman" w:hAnsi="Times New Roman" w:cs="Times New Roman"/>
        </w:rPr>
        <w:t xml:space="preserve"> </w:t>
      </w:r>
      <w:r w:rsidR="000C4AE0">
        <w:rPr>
          <w:rFonts w:ascii="Times New Roman" w:hAnsi="Times New Roman" w:cs="Times New Roman"/>
        </w:rPr>
        <w:t xml:space="preserve">million </w:t>
      </w:r>
      <w:r w:rsidR="009024CD">
        <w:rPr>
          <w:rFonts w:ascii="Times New Roman" w:hAnsi="Times New Roman" w:cs="Times New Roman"/>
        </w:rPr>
        <w:t>as against</w:t>
      </w:r>
      <w:r w:rsidR="000C4AE0">
        <w:rPr>
          <w:rFonts w:ascii="Times New Roman" w:hAnsi="Times New Roman" w:cs="Times New Roman"/>
        </w:rPr>
        <w:t xml:space="preserve"> $</w:t>
      </w:r>
      <w:r w:rsidR="004D2DDC">
        <w:rPr>
          <w:rFonts w:ascii="Times New Roman" w:hAnsi="Times New Roman" w:cs="Times New Roman"/>
        </w:rPr>
        <w:t>121</w:t>
      </w:r>
      <w:r w:rsidR="000C4AE0">
        <w:rPr>
          <w:rFonts w:ascii="Times New Roman" w:hAnsi="Times New Roman" w:cs="Times New Roman"/>
        </w:rPr>
        <w:t xml:space="preserve"> million a year ago.  </w:t>
      </w:r>
    </w:p>
    <w:p w:rsidR="00D14241" w:rsidRDefault="006857E9" w:rsidP="00E45CBF">
      <w:pPr>
        <w:pStyle w:val="BodyText"/>
        <w:tabs>
          <w:tab w:val="left" w:pos="10098"/>
        </w:tabs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lastRenderedPageBreak/>
        <w:t xml:space="preserve">The </w:t>
      </w:r>
      <w:r w:rsidR="009024CD">
        <w:rPr>
          <w:rFonts w:ascii="Times New Roman" w:hAnsi="Times New Roman" w:cs="Times New Roman"/>
        </w:rPr>
        <w:t>r</w:t>
      </w:r>
      <w:r w:rsidRPr="006857E9">
        <w:rPr>
          <w:rFonts w:ascii="Times New Roman" w:hAnsi="Times New Roman" w:cs="Times New Roman"/>
        </w:rPr>
        <w:t xml:space="preserve">epayment </w:t>
      </w:r>
      <w:r w:rsidR="002A2714" w:rsidRPr="006857E9">
        <w:rPr>
          <w:rFonts w:ascii="Times New Roman" w:hAnsi="Times New Roman" w:cs="Times New Roman"/>
        </w:rPr>
        <w:t xml:space="preserve">of </w:t>
      </w:r>
      <w:r w:rsidR="002A2714">
        <w:rPr>
          <w:rFonts w:ascii="Times New Roman" w:hAnsi="Times New Roman" w:cs="Times New Roman"/>
        </w:rPr>
        <w:t>loans</w:t>
      </w:r>
      <w:r w:rsidR="008A4E68">
        <w:rPr>
          <w:rFonts w:ascii="Times New Roman" w:hAnsi="Times New Roman" w:cs="Times New Roman"/>
        </w:rPr>
        <w:t xml:space="preserve"> </w:t>
      </w:r>
      <w:r w:rsidR="00446B54">
        <w:rPr>
          <w:rFonts w:ascii="Times New Roman" w:hAnsi="Times New Roman" w:cs="Times New Roman"/>
        </w:rPr>
        <w:t xml:space="preserve">reached </w:t>
      </w:r>
      <w:r w:rsidR="008A4E68">
        <w:rPr>
          <w:rFonts w:ascii="Times New Roman" w:hAnsi="Times New Roman" w:cs="Times New Roman"/>
        </w:rPr>
        <w:t>$</w:t>
      </w:r>
      <w:r w:rsidR="004D2DDC">
        <w:rPr>
          <w:rFonts w:ascii="Times New Roman" w:hAnsi="Times New Roman" w:cs="Times New Roman"/>
        </w:rPr>
        <w:t>5</w:t>
      </w:r>
      <w:r w:rsidR="008A4E68">
        <w:rPr>
          <w:rFonts w:ascii="Times New Roman" w:hAnsi="Times New Roman" w:cs="Times New Roman"/>
        </w:rPr>
        <w:t>,</w:t>
      </w:r>
      <w:r w:rsidR="003D45FF">
        <w:rPr>
          <w:rFonts w:ascii="Times New Roman" w:hAnsi="Times New Roman" w:cs="Times New Roman"/>
        </w:rPr>
        <w:t>454</w:t>
      </w:r>
      <w:r w:rsidR="0091019F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>million during the current year as against $</w:t>
      </w:r>
      <w:r w:rsidR="004D2DDC">
        <w:rPr>
          <w:rFonts w:ascii="Times New Roman" w:hAnsi="Times New Roman" w:cs="Times New Roman"/>
        </w:rPr>
        <w:t>3</w:t>
      </w:r>
      <w:r w:rsidRPr="006857E9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>3</w:t>
      </w:r>
      <w:r w:rsidR="004D2DDC">
        <w:rPr>
          <w:rFonts w:ascii="Times New Roman" w:hAnsi="Times New Roman" w:cs="Times New Roman"/>
        </w:rPr>
        <w:t>70</w:t>
      </w:r>
      <w:r w:rsidRPr="006857E9">
        <w:rPr>
          <w:rFonts w:ascii="Times New Roman" w:hAnsi="Times New Roman" w:cs="Times New Roman"/>
        </w:rPr>
        <w:t xml:space="preserve"> million in the previous year.</w:t>
      </w:r>
      <w:r w:rsidR="002A2714">
        <w:rPr>
          <w:rFonts w:ascii="Times New Roman" w:hAnsi="Times New Roman" w:cs="Times New Roman"/>
        </w:rPr>
        <w:t xml:space="preserve"> </w:t>
      </w:r>
      <w:r w:rsidR="00ED77DC">
        <w:rPr>
          <w:rFonts w:ascii="Times New Roman" w:hAnsi="Times New Roman" w:cs="Times New Roman"/>
        </w:rPr>
        <w:t>A payment of</w:t>
      </w:r>
      <w:r w:rsidR="006640E5">
        <w:rPr>
          <w:rFonts w:ascii="Times New Roman" w:hAnsi="Times New Roman" w:cs="Times New Roman"/>
        </w:rPr>
        <w:t xml:space="preserve"> </w:t>
      </w:r>
      <w:r w:rsidR="002A2714">
        <w:rPr>
          <w:rFonts w:ascii="Times New Roman" w:hAnsi="Times New Roman" w:cs="Times New Roman"/>
        </w:rPr>
        <w:t>$</w:t>
      </w:r>
      <w:r w:rsidR="004D2DDC">
        <w:rPr>
          <w:rFonts w:ascii="Times New Roman" w:hAnsi="Times New Roman" w:cs="Times New Roman"/>
        </w:rPr>
        <w:t>4</w:t>
      </w:r>
      <w:r w:rsidR="002A2714">
        <w:rPr>
          <w:rFonts w:ascii="Times New Roman" w:hAnsi="Times New Roman" w:cs="Times New Roman"/>
        </w:rPr>
        <w:t>,</w:t>
      </w:r>
      <w:r w:rsidR="004D2DDC">
        <w:rPr>
          <w:rFonts w:ascii="Times New Roman" w:hAnsi="Times New Roman" w:cs="Times New Roman"/>
        </w:rPr>
        <w:t>9</w:t>
      </w:r>
      <w:r w:rsidR="003D45FF">
        <w:rPr>
          <w:rFonts w:ascii="Times New Roman" w:hAnsi="Times New Roman" w:cs="Times New Roman"/>
        </w:rPr>
        <w:t>48</w:t>
      </w:r>
      <w:r w:rsidR="004D2DDC">
        <w:rPr>
          <w:rFonts w:ascii="Times New Roman" w:hAnsi="Times New Roman" w:cs="Times New Roman"/>
        </w:rPr>
        <w:t xml:space="preserve"> million </w:t>
      </w:r>
      <w:r w:rsidR="00B928C6" w:rsidRPr="00504196">
        <w:rPr>
          <w:rFonts w:ascii="Times New Roman" w:hAnsi="Times New Roman" w:cs="Times New Roman"/>
        </w:rPr>
        <w:t>was</w:t>
      </w:r>
      <w:r w:rsidR="002A2714" w:rsidRPr="00504196">
        <w:rPr>
          <w:rFonts w:ascii="Times New Roman" w:hAnsi="Times New Roman" w:cs="Times New Roman"/>
        </w:rPr>
        <w:t xml:space="preserve"> made</w:t>
      </w:r>
      <w:r w:rsidR="002A2714">
        <w:rPr>
          <w:rFonts w:ascii="Times New Roman" w:hAnsi="Times New Roman" w:cs="Times New Roman"/>
        </w:rPr>
        <w:t xml:space="preserve"> against lon</w:t>
      </w:r>
      <w:r w:rsidR="004F3FD9">
        <w:rPr>
          <w:rFonts w:ascii="Times New Roman" w:hAnsi="Times New Roman" w:cs="Times New Roman"/>
        </w:rPr>
        <w:t xml:space="preserve">g term </w:t>
      </w:r>
      <w:r w:rsidR="004D2DDC">
        <w:rPr>
          <w:rFonts w:ascii="Times New Roman" w:hAnsi="Times New Roman" w:cs="Times New Roman"/>
        </w:rPr>
        <w:t>lo</w:t>
      </w:r>
      <w:r w:rsidR="004D2DDC" w:rsidRPr="00846561">
        <w:rPr>
          <w:rFonts w:ascii="Times New Roman" w:hAnsi="Times New Roman" w:cs="Times New Roman"/>
        </w:rPr>
        <w:t>ans</w:t>
      </w:r>
      <w:r w:rsidR="004F3FD9">
        <w:rPr>
          <w:rFonts w:ascii="Times New Roman" w:hAnsi="Times New Roman" w:cs="Times New Roman"/>
        </w:rPr>
        <w:t>,</w:t>
      </w:r>
      <w:r w:rsidR="002A2714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o</w:t>
      </w:r>
      <w:r w:rsidR="002A2714">
        <w:rPr>
          <w:rFonts w:ascii="Times New Roman" w:hAnsi="Times New Roman" w:cs="Times New Roman"/>
        </w:rPr>
        <w:t>f which</w:t>
      </w:r>
      <w:r w:rsidR="00E32A0A">
        <w:rPr>
          <w:rFonts w:ascii="Times New Roman" w:hAnsi="Times New Roman" w:cs="Times New Roman"/>
        </w:rPr>
        <w:t xml:space="preserve"> $</w:t>
      </w:r>
      <w:r w:rsidR="004D2DDC">
        <w:rPr>
          <w:rFonts w:ascii="Times New Roman" w:hAnsi="Times New Roman" w:cs="Times New Roman"/>
        </w:rPr>
        <w:t>1,</w:t>
      </w:r>
      <w:r w:rsidR="003D45FF">
        <w:rPr>
          <w:rFonts w:ascii="Times New Roman" w:hAnsi="Times New Roman" w:cs="Times New Roman"/>
        </w:rPr>
        <w:t>891</w:t>
      </w:r>
      <w:r w:rsidR="004D2DDC">
        <w:rPr>
          <w:rFonts w:ascii="Times New Roman" w:hAnsi="Times New Roman" w:cs="Times New Roman"/>
        </w:rPr>
        <w:t xml:space="preserve"> million payments made by general government </w:t>
      </w:r>
      <w:r w:rsidR="00F91D01">
        <w:rPr>
          <w:rFonts w:ascii="Times New Roman" w:hAnsi="Times New Roman" w:cs="Times New Roman"/>
        </w:rPr>
        <w:t>incl</w:t>
      </w:r>
      <w:r w:rsidR="009024CD">
        <w:rPr>
          <w:rFonts w:ascii="Times New Roman" w:hAnsi="Times New Roman" w:cs="Times New Roman"/>
        </w:rPr>
        <w:t>uding</w:t>
      </w:r>
      <w:r w:rsidR="00DE2300">
        <w:rPr>
          <w:rFonts w:ascii="Times New Roman" w:hAnsi="Times New Roman" w:cs="Times New Roman"/>
        </w:rPr>
        <w:t xml:space="preserve"> $361 million to</w:t>
      </w:r>
      <w:r w:rsidR="00F91D01">
        <w:rPr>
          <w:rFonts w:ascii="Times New Roman" w:hAnsi="Times New Roman" w:cs="Times New Roman"/>
        </w:rPr>
        <w:t xml:space="preserve"> IMF against Standby Arrangements </w:t>
      </w:r>
      <w:r w:rsidR="00DE2300">
        <w:rPr>
          <w:rFonts w:ascii="Times New Roman" w:hAnsi="Times New Roman" w:cs="Times New Roman"/>
        </w:rPr>
        <w:t>(</w:t>
      </w:r>
      <w:r w:rsidR="00F91D01">
        <w:rPr>
          <w:rFonts w:ascii="Times New Roman" w:hAnsi="Times New Roman" w:cs="Times New Roman"/>
        </w:rPr>
        <w:t>SBA</w:t>
      </w:r>
      <w:r w:rsidR="00DE2300">
        <w:rPr>
          <w:rFonts w:ascii="Times New Roman" w:hAnsi="Times New Roman" w:cs="Times New Roman"/>
        </w:rPr>
        <w:t>)</w:t>
      </w:r>
      <w:r w:rsidR="00E32A0A">
        <w:rPr>
          <w:rFonts w:ascii="Times New Roman" w:hAnsi="Times New Roman" w:cs="Times New Roman"/>
        </w:rPr>
        <w:t xml:space="preserve">. </w:t>
      </w:r>
      <w:r w:rsidR="002A2714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 The repayment of short-term loans </w:t>
      </w:r>
      <w:r w:rsidR="00F91D01">
        <w:rPr>
          <w:rFonts w:ascii="Times New Roman" w:hAnsi="Times New Roman" w:cs="Times New Roman"/>
        </w:rPr>
        <w:t>in</w:t>
      </w:r>
      <w:r w:rsidR="000A2E98">
        <w:rPr>
          <w:rFonts w:ascii="Times New Roman" w:hAnsi="Times New Roman" w:cs="Times New Roman"/>
        </w:rPr>
        <w:t xml:space="preserve">creased to </w:t>
      </w:r>
      <w:r w:rsidR="000A2E98" w:rsidRPr="006857E9">
        <w:rPr>
          <w:rFonts w:ascii="Times New Roman" w:hAnsi="Times New Roman" w:cs="Times New Roman"/>
        </w:rPr>
        <w:t>$</w:t>
      </w:r>
      <w:r w:rsidR="00F91D01">
        <w:rPr>
          <w:rFonts w:ascii="Times New Roman" w:hAnsi="Times New Roman" w:cs="Times New Roman"/>
        </w:rPr>
        <w:t>506</w:t>
      </w:r>
      <w:r w:rsidR="00B302DB">
        <w:rPr>
          <w:rFonts w:ascii="Times New Roman" w:hAnsi="Times New Roman" w:cs="Times New Roman"/>
        </w:rPr>
        <w:t xml:space="preserve"> </w:t>
      </w:r>
      <w:r w:rsidR="00B302DB" w:rsidRPr="006857E9">
        <w:rPr>
          <w:rFonts w:ascii="Times New Roman" w:hAnsi="Times New Roman" w:cs="Times New Roman"/>
        </w:rPr>
        <w:t>million</w:t>
      </w:r>
      <w:r w:rsidRPr="006857E9">
        <w:rPr>
          <w:rFonts w:ascii="Times New Roman" w:hAnsi="Times New Roman" w:cs="Times New Roman"/>
        </w:rPr>
        <w:t xml:space="preserve"> during </w:t>
      </w:r>
      <w:r w:rsidR="0057452E">
        <w:rPr>
          <w:rFonts w:ascii="Times New Roman" w:hAnsi="Times New Roman" w:cs="Times New Roman"/>
        </w:rPr>
        <w:t>FY</w:t>
      </w:r>
      <w:r w:rsidR="007959C1">
        <w:rPr>
          <w:rFonts w:ascii="Times New Roman" w:hAnsi="Times New Roman" w:cs="Times New Roman"/>
        </w:rPr>
        <w:t>1</w:t>
      </w:r>
      <w:r w:rsidR="00F91D01">
        <w:rPr>
          <w:rFonts w:ascii="Times New Roman" w:hAnsi="Times New Roman" w:cs="Times New Roman"/>
        </w:rPr>
        <w:t>3</w:t>
      </w:r>
      <w:r w:rsidR="007959C1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>as against $</w:t>
      </w:r>
      <w:r w:rsidR="00DE2300">
        <w:rPr>
          <w:rFonts w:ascii="Times New Roman" w:hAnsi="Times New Roman" w:cs="Times New Roman"/>
        </w:rPr>
        <w:t>294</w:t>
      </w:r>
      <w:r w:rsidRPr="006857E9">
        <w:rPr>
          <w:rFonts w:ascii="Times New Roman" w:hAnsi="Times New Roman" w:cs="Times New Roman"/>
        </w:rPr>
        <w:t xml:space="preserve"> million </w:t>
      </w:r>
      <w:r w:rsidR="007959C1">
        <w:rPr>
          <w:rFonts w:ascii="Times New Roman" w:hAnsi="Times New Roman" w:cs="Times New Roman"/>
        </w:rPr>
        <w:t xml:space="preserve">in </w:t>
      </w:r>
      <w:r w:rsidR="0057452E">
        <w:rPr>
          <w:rFonts w:ascii="Times New Roman" w:hAnsi="Times New Roman" w:cs="Times New Roman"/>
        </w:rPr>
        <w:t>FY</w:t>
      </w:r>
      <w:r w:rsidR="00AE56EB">
        <w:rPr>
          <w:rFonts w:ascii="Times New Roman" w:hAnsi="Times New Roman" w:cs="Times New Roman"/>
        </w:rPr>
        <w:t>1</w:t>
      </w:r>
      <w:r w:rsidR="00F91D01">
        <w:rPr>
          <w:rFonts w:ascii="Times New Roman" w:hAnsi="Times New Roman" w:cs="Times New Roman"/>
        </w:rPr>
        <w:t>2</w:t>
      </w:r>
      <w:r w:rsidR="007959C1">
        <w:rPr>
          <w:rFonts w:ascii="Times New Roman" w:hAnsi="Times New Roman" w:cs="Times New Roman"/>
        </w:rPr>
        <w:t>.</w:t>
      </w:r>
      <w:r w:rsidR="00230E85" w:rsidRPr="00230E85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                 </w:t>
      </w:r>
      <w:r w:rsidR="00FF254A">
        <w:rPr>
          <w:rFonts w:ascii="Times New Roman" w:hAnsi="Times New Roman" w:cs="Times New Roman"/>
        </w:rPr>
        <w:t xml:space="preserve">                           </w:t>
      </w:r>
      <w:r w:rsidR="006E2CC3">
        <w:rPr>
          <w:rFonts w:ascii="Times New Roman" w:hAnsi="Times New Roman" w:cs="Times New Roman"/>
        </w:rPr>
        <w:t xml:space="preserve">   </w:t>
      </w:r>
    </w:p>
    <w:p w:rsidR="009024CD" w:rsidRDefault="009024CD" w:rsidP="00E45CBF">
      <w:pPr>
        <w:tabs>
          <w:tab w:val="center" w:pos="3063"/>
        </w:tabs>
        <w:rPr>
          <w:rFonts w:ascii="Times New Roman" w:hAnsi="Times New Roman" w:cs="Times New Roman"/>
          <w:b/>
          <w:color w:val="000000" w:themeColor="text1"/>
        </w:rPr>
      </w:pPr>
      <w:r w:rsidRPr="009024CD">
        <w:rPr>
          <w:noProof/>
        </w:rPr>
        <w:drawing>
          <wp:anchor distT="0" distB="0" distL="114300" distR="114300" simplePos="0" relativeHeight="251902976" behindDoc="1" locked="0" layoutInCell="1" allowOverlap="1">
            <wp:simplePos x="0" y="0"/>
            <wp:positionH relativeFrom="column">
              <wp:posOffset>1750060</wp:posOffset>
            </wp:positionH>
            <wp:positionV relativeFrom="paragraph">
              <wp:posOffset>203835</wp:posOffset>
            </wp:positionV>
            <wp:extent cx="4210685" cy="1653540"/>
            <wp:effectExtent l="19050" t="0" r="0" b="0"/>
            <wp:wrapTight wrapText="bothSides">
              <wp:wrapPolygon edited="0">
                <wp:start x="-98" y="0"/>
                <wp:lineTo x="-98" y="21152"/>
                <wp:lineTo x="21597" y="21152"/>
                <wp:lineTo x="21597" y="0"/>
                <wp:lineTo x="-98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8A">
        <w:rPr>
          <w:rFonts w:ascii="Times New Roman" w:hAnsi="Times New Roman" w:cs="Times New Roman"/>
          <w:b/>
          <w:color w:val="000000" w:themeColor="text1"/>
        </w:rPr>
        <w:t>R</w:t>
      </w:r>
      <w:r w:rsidR="00544C8A" w:rsidRPr="006105F5">
        <w:rPr>
          <w:rFonts w:ascii="Times New Roman" w:hAnsi="Times New Roman" w:cs="Times New Roman"/>
          <w:b/>
          <w:color w:val="000000" w:themeColor="text1"/>
        </w:rPr>
        <w:t>eserves</w:t>
      </w:r>
      <w:r w:rsidR="006857E9" w:rsidRPr="006105F5">
        <w:rPr>
          <w:rFonts w:ascii="Times New Roman" w:hAnsi="Times New Roman" w:cs="Times New Roman"/>
          <w:b/>
          <w:color w:val="000000" w:themeColor="text1"/>
        </w:rPr>
        <w:t xml:space="preserve"> and related items</w:t>
      </w:r>
      <w:r w:rsidR="00F24C7A" w:rsidRPr="00F24C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22FCD" w:rsidRPr="009024CD" w:rsidRDefault="009024CD" w:rsidP="00E45CBF">
      <w:pPr>
        <w:tabs>
          <w:tab w:val="center" w:pos="3063"/>
        </w:tabs>
        <w:rPr>
          <w:rFonts w:ascii="Times New Roman" w:hAnsi="Times New Roman" w:cs="Times New Roman"/>
          <w:b/>
          <w:color w:val="000000" w:themeColor="text1"/>
        </w:rPr>
      </w:pPr>
      <w:r w:rsidRPr="009024CD">
        <w:rPr>
          <w:rFonts w:ascii="Times New Roman" w:hAnsi="Times New Roman" w:cs="Times New Roman"/>
          <w:color w:val="000000" w:themeColor="text1"/>
        </w:rPr>
        <w:t>R</w:t>
      </w:r>
      <w:r w:rsidR="0079247D" w:rsidRPr="009024CD">
        <w:rPr>
          <w:rFonts w:ascii="Times New Roman" w:hAnsi="Times New Roman" w:cs="Times New Roman"/>
        </w:rPr>
        <w:t xml:space="preserve">eserve assets </w:t>
      </w:r>
      <w:r w:rsidR="00AA7CE1" w:rsidRPr="009024CD">
        <w:rPr>
          <w:rFonts w:ascii="Times New Roman" w:hAnsi="Times New Roman" w:cs="Times New Roman"/>
        </w:rPr>
        <w:t xml:space="preserve">decreased </w:t>
      </w:r>
      <w:r w:rsidR="00B928C6" w:rsidRPr="009024CD">
        <w:rPr>
          <w:rFonts w:ascii="Times New Roman" w:hAnsi="Times New Roman" w:cs="Times New Roman"/>
        </w:rPr>
        <w:t>by</w:t>
      </w:r>
      <w:r w:rsidR="0079247D" w:rsidRPr="009024CD">
        <w:rPr>
          <w:rFonts w:ascii="Times New Roman" w:hAnsi="Times New Roman" w:cs="Times New Roman"/>
        </w:rPr>
        <w:t xml:space="preserve"> $</w:t>
      </w:r>
      <w:r w:rsidR="00070FBE" w:rsidRPr="009024CD">
        <w:rPr>
          <w:rFonts w:ascii="Times New Roman" w:hAnsi="Times New Roman" w:cs="Times New Roman"/>
        </w:rPr>
        <w:t>4</w:t>
      </w:r>
      <w:r w:rsidR="0079247D" w:rsidRPr="009024CD">
        <w:rPr>
          <w:rFonts w:ascii="Times New Roman" w:hAnsi="Times New Roman" w:cs="Times New Roman"/>
        </w:rPr>
        <w:t>,</w:t>
      </w:r>
      <w:r w:rsidR="00F91D01" w:rsidRPr="009024CD">
        <w:rPr>
          <w:rFonts w:ascii="Times New Roman" w:hAnsi="Times New Roman" w:cs="Times New Roman"/>
        </w:rPr>
        <w:t>530</w:t>
      </w:r>
      <w:r w:rsidR="00070FBE" w:rsidRPr="009024CD">
        <w:rPr>
          <w:rFonts w:ascii="Times New Roman" w:hAnsi="Times New Roman" w:cs="Times New Roman"/>
        </w:rPr>
        <w:t xml:space="preserve"> </w:t>
      </w:r>
      <w:r w:rsidR="0079247D" w:rsidRPr="009024CD">
        <w:rPr>
          <w:rFonts w:ascii="Times New Roman" w:hAnsi="Times New Roman" w:cs="Times New Roman"/>
        </w:rPr>
        <w:t>million</w:t>
      </w:r>
      <w:r w:rsidR="0079247D">
        <w:rPr>
          <w:rFonts w:ascii="Times New Roman" w:hAnsi="Times New Roman" w:cs="Times New Roman"/>
        </w:rPr>
        <w:t xml:space="preserve"> </w:t>
      </w:r>
      <w:r w:rsidR="00365F0C">
        <w:rPr>
          <w:rFonts w:ascii="Times New Roman" w:hAnsi="Times New Roman" w:cs="Times New Roman"/>
        </w:rPr>
        <w:t>during FY1</w:t>
      </w:r>
      <w:r w:rsidR="00F91D01">
        <w:rPr>
          <w:rFonts w:ascii="Times New Roman" w:hAnsi="Times New Roman" w:cs="Times New Roman"/>
        </w:rPr>
        <w:t>3</w:t>
      </w:r>
      <w:r w:rsidR="00AA7CE1">
        <w:rPr>
          <w:rFonts w:ascii="Times New Roman" w:hAnsi="Times New Roman" w:cs="Times New Roman"/>
        </w:rPr>
        <w:t xml:space="preserve"> </w:t>
      </w:r>
      <w:r w:rsidR="00F91D01">
        <w:rPr>
          <w:rFonts w:ascii="Times New Roman" w:hAnsi="Times New Roman" w:cs="Times New Roman"/>
        </w:rPr>
        <w:t>contrary to de</w:t>
      </w:r>
      <w:r w:rsidR="00AA7CE1">
        <w:rPr>
          <w:rFonts w:ascii="Times New Roman" w:hAnsi="Times New Roman" w:cs="Times New Roman"/>
        </w:rPr>
        <w:t>crease of $</w:t>
      </w:r>
      <w:r w:rsidR="00DE2300">
        <w:rPr>
          <w:rFonts w:ascii="Times New Roman" w:hAnsi="Times New Roman" w:cs="Times New Roman"/>
        </w:rPr>
        <w:t>4</w:t>
      </w:r>
      <w:r w:rsidR="00AA7CE1">
        <w:rPr>
          <w:rFonts w:ascii="Times New Roman" w:hAnsi="Times New Roman" w:cs="Times New Roman"/>
        </w:rPr>
        <w:t>,</w:t>
      </w:r>
      <w:r w:rsidR="00DE2300">
        <w:rPr>
          <w:rFonts w:ascii="Times New Roman" w:hAnsi="Times New Roman" w:cs="Times New Roman"/>
        </w:rPr>
        <w:t>430</w:t>
      </w:r>
      <w:r w:rsidR="00F91D01">
        <w:rPr>
          <w:rFonts w:ascii="Times New Roman" w:hAnsi="Times New Roman" w:cs="Times New Roman"/>
        </w:rPr>
        <w:t xml:space="preserve"> </w:t>
      </w:r>
      <w:r w:rsidR="00AA7CE1">
        <w:rPr>
          <w:rFonts w:ascii="Times New Roman" w:hAnsi="Times New Roman" w:cs="Times New Roman"/>
        </w:rPr>
        <w:t xml:space="preserve">million in the preceding year. </w:t>
      </w:r>
      <w:r w:rsidR="00365F0C">
        <w:rPr>
          <w:rFonts w:ascii="Times New Roman" w:hAnsi="Times New Roman" w:cs="Times New Roman"/>
        </w:rPr>
        <w:t xml:space="preserve"> </w:t>
      </w:r>
      <w:r w:rsidR="006640E5">
        <w:rPr>
          <w:rFonts w:ascii="Times New Roman" w:hAnsi="Times New Roman" w:cs="Times New Roman"/>
        </w:rPr>
        <w:t xml:space="preserve">Use </w:t>
      </w:r>
      <w:r w:rsidR="00F91D01">
        <w:rPr>
          <w:rFonts w:ascii="Times New Roman" w:hAnsi="Times New Roman" w:cs="Times New Roman"/>
        </w:rPr>
        <w:t>of fund</w:t>
      </w:r>
      <w:r w:rsidR="006640E5">
        <w:rPr>
          <w:rFonts w:ascii="Times New Roman" w:hAnsi="Times New Roman" w:cs="Times New Roman"/>
        </w:rPr>
        <w:t xml:space="preserve"> </w:t>
      </w:r>
      <w:r w:rsidR="00402CA3">
        <w:rPr>
          <w:rFonts w:ascii="Times New Roman" w:hAnsi="Times New Roman" w:cs="Times New Roman"/>
        </w:rPr>
        <w:t>credit repurchases</w:t>
      </w:r>
      <w:r w:rsidR="0079247D">
        <w:rPr>
          <w:rFonts w:ascii="Times New Roman" w:hAnsi="Times New Roman" w:cs="Times New Roman"/>
        </w:rPr>
        <w:t>/</w:t>
      </w:r>
      <w:r w:rsidR="00402CA3">
        <w:rPr>
          <w:rFonts w:ascii="Times New Roman" w:hAnsi="Times New Roman" w:cs="Times New Roman"/>
        </w:rPr>
        <w:t xml:space="preserve"> </w:t>
      </w:r>
      <w:r w:rsidR="0079247D">
        <w:rPr>
          <w:rFonts w:ascii="Times New Roman" w:hAnsi="Times New Roman" w:cs="Times New Roman"/>
        </w:rPr>
        <w:t>repayments in current year</w:t>
      </w:r>
      <w:r w:rsidR="00AC0803">
        <w:rPr>
          <w:rFonts w:ascii="Times New Roman" w:hAnsi="Times New Roman" w:cs="Times New Roman"/>
        </w:rPr>
        <w:t xml:space="preserve"> increased to $</w:t>
      </w:r>
      <w:r w:rsidR="00F91D01">
        <w:rPr>
          <w:rFonts w:ascii="Times New Roman" w:hAnsi="Times New Roman" w:cs="Times New Roman"/>
        </w:rPr>
        <w:t>2</w:t>
      </w:r>
      <w:r w:rsidR="00070FBE">
        <w:rPr>
          <w:rFonts w:ascii="Times New Roman" w:hAnsi="Times New Roman" w:cs="Times New Roman"/>
        </w:rPr>
        <w:t>,5</w:t>
      </w:r>
      <w:r w:rsidR="00F91D01">
        <w:rPr>
          <w:rFonts w:ascii="Times New Roman" w:hAnsi="Times New Roman" w:cs="Times New Roman"/>
        </w:rPr>
        <w:t>38 million from $1,155</w:t>
      </w:r>
      <w:r w:rsidR="00AF29EA">
        <w:rPr>
          <w:rFonts w:ascii="Times New Roman" w:hAnsi="Times New Roman" w:cs="Times New Roman"/>
        </w:rPr>
        <w:t>million. Q</w:t>
      </w:r>
      <w:r w:rsidR="000C0A57">
        <w:rPr>
          <w:rFonts w:ascii="Times New Roman" w:hAnsi="Times New Roman" w:cs="Times New Roman"/>
        </w:rPr>
        <w:t>uarter-</w:t>
      </w:r>
      <w:r w:rsidR="007F3F34">
        <w:rPr>
          <w:rFonts w:ascii="Times New Roman" w:hAnsi="Times New Roman" w:cs="Times New Roman"/>
        </w:rPr>
        <w:t>wise bifurcation</w:t>
      </w:r>
      <w:r w:rsidR="00AF29EA">
        <w:rPr>
          <w:rFonts w:ascii="Times New Roman" w:hAnsi="Times New Roman" w:cs="Times New Roman"/>
        </w:rPr>
        <w:t xml:space="preserve"> of repurchases/re</w:t>
      </w:r>
      <w:r w:rsidR="000C0A57">
        <w:rPr>
          <w:rFonts w:ascii="Times New Roman" w:hAnsi="Times New Roman" w:cs="Times New Roman"/>
        </w:rPr>
        <w:t xml:space="preserve">payments </w:t>
      </w:r>
      <w:r w:rsidR="00AF29EA">
        <w:rPr>
          <w:rFonts w:ascii="Times New Roman" w:hAnsi="Times New Roman" w:cs="Times New Roman"/>
        </w:rPr>
        <w:t>is</w:t>
      </w:r>
      <w:r w:rsidR="000C0A57">
        <w:rPr>
          <w:rFonts w:ascii="Times New Roman" w:hAnsi="Times New Roman" w:cs="Times New Roman"/>
        </w:rPr>
        <w:t xml:space="preserve"> </w:t>
      </w:r>
      <w:r w:rsidR="0079247D">
        <w:rPr>
          <w:rFonts w:ascii="Times New Roman" w:hAnsi="Times New Roman" w:cs="Times New Roman"/>
        </w:rPr>
        <w:t>$5</w:t>
      </w:r>
      <w:r w:rsidR="00F91D01">
        <w:rPr>
          <w:rFonts w:ascii="Times New Roman" w:hAnsi="Times New Roman" w:cs="Times New Roman"/>
        </w:rPr>
        <w:t>2</w:t>
      </w:r>
      <w:r w:rsidR="0079247D">
        <w:rPr>
          <w:rFonts w:ascii="Times New Roman" w:hAnsi="Times New Roman" w:cs="Times New Roman"/>
        </w:rPr>
        <w:t xml:space="preserve"> million (SDR 34.</w:t>
      </w:r>
      <w:r w:rsidR="006F0493">
        <w:rPr>
          <w:rFonts w:ascii="Times New Roman" w:hAnsi="Times New Roman" w:cs="Times New Roman"/>
        </w:rPr>
        <w:t>46</w:t>
      </w:r>
      <w:r w:rsidR="0079247D">
        <w:rPr>
          <w:rFonts w:ascii="Times New Roman" w:hAnsi="Times New Roman" w:cs="Times New Roman"/>
        </w:rPr>
        <w:t xml:space="preserve"> </w:t>
      </w:r>
      <w:r w:rsidR="00AF29EA">
        <w:rPr>
          <w:rFonts w:ascii="Times New Roman" w:hAnsi="Times New Roman" w:cs="Times New Roman"/>
        </w:rPr>
        <w:t>million), $</w:t>
      </w:r>
      <w:r w:rsidR="00F91D01">
        <w:rPr>
          <w:rFonts w:ascii="Times New Roman" w:hAnsi="Times New Roman" w:cs="Times New Roman"/>
        </w:rPr>
        <w:t>53</w:t>
      </w:r>
      <w:r w:rsidR="0079247D">
        <w:rPr>
          <w:rFonts w:ascii="Times New Roman" w:hAnsi="Times New Roman" w:cs="Times New Roman"/>
        </w:rPr>
        <w:t xml:space="preserve"> million (SDR </w:t>
      </w:r>
      <w:r w:rsidR="00F91D01">
        <w:rPr>
          <w:rFonts w:ascii="Times New Roman" w:hAnsi="Times New Roman" w:cs="Times New Roman"/>
        </w:rPr>
        <w:t>34.46</w:t>
      </w:r>
      <w:r w:rsidR="0079247D">
        <w:rPr>
          <w:rFonts w:ascii="Times New Roman" w:hAnsi="Times New Roman" w:cs="Times New Roman"/>
        </w:rPr>
        <w:t xml:space="preserve"> </w:t>
      </w:r>
      <w:r w:rsidR="00AF29EA">
        <w:rPr>
          <w:rFonts w:ascii="Times New Roman" w:hAnsi="Times New Roman" w:cs="Times New Roman"/>
        </w:rPr>
        <w:t xml:space="preserve">million), </w:t>
      </w:r>
      <w:r w:rsidR="00AF29EA" w:rsidRPr="00711F40">
        <w:rPr>
          <w:rFonts w:ascii="Times New Roman" w:hAnsi="Times New Roman" w:cs="Times New Roman"/>
        </w:rPr>
        <w:t>$</w:t>
      </w:r>
      <w:r w:rsidR="00F91D01">
        <w:rPr>
          <w:rFonts w:ascii="Times New Roman" w:hAnsi="Times New Roman" w:cs="Times New Roman"/>
        </w:rPr>
        <w:t xml:space="preserve">40 </w:t>
      </w:r>
      <w:r w:rsidR="0079247D" w:rsidRPr="00711F40">
        <w:rPr>
          <w:rFonts w:ascii="Times New Roman" w:hAnsi="Times New Roman" w:cs="Times New Roman"/>
        </w:rPr>
        <w:t xml:space="preserve">million (SDR </w:t>
      </w:r>
      <w:r w:rsidR="00F91D01">
        <w:rPr>
          <w:rFonts w:ascii="Times New Roman" w:hAnsi="Times New Roman" w:cs="Times New Roman"/>
        </w:rPr>
        <w:t>25.84</w:t>
      </w:r>
      <w:r w:rsidR="0079247D" w:rsidRPr="00711F40">
        <w:rPr>
          <w:rFonts w:ascii="Times New Roman" w:hAnsi="Times New Roman" w:cs="Times New Roman"/>
        </w:rPr>
        <w:t xml:space="preserve"> </w:t>
      </w:r>
      <w:r w:rsidR="00AF29EA" w:rsidRPr="00711F40">
        <w:rPr>
          <w:rFonts w:ascii="Times New Roman" w:hAnsi="Times New Roman" w:cs="Times New Roman"/>
        </w:rPr>
        <w:t>m</w:t>
      </w:r>
      <w:r w:rsidR="0079247D" w:rsidRPr="00711F40">
        <w:rPr>
          <w:rFonts w:ascii="Times New Roman" w:hAnsi="Times New Roman" w:cs="Times New Roman"/>
        </w:rPr>
        <w:t>illion</w:t>
      </w:r>
      <w:r w:rsidR="0079247D">
        <w:rPr>
          <w:rFonts w:ascii="Times New Roman" w:hAnsi="Times New Roman" w:cs="Times New Roman"/>
        </w:rPr>
        <w:t>) and $</w:t>
      </w:r>
      <w:r w:rsidR="00F91D01">
        <w:rPr>
          <w:rFonts w:ascii="Times New Roman" w:hAnsi="Times New Roman" w:cs="Times New Roman"/>
        </w:rPr>
        <w:t xml:space="preserve">39 </w:t>
      </w:r>
      <w:r w:rsidR="0079247D" w:rsidRPr="00711F40">
        <w:rPr>
          <w:rFonts w:ascii="Times New Roman" w:hAnsi="Times New Roman" w:cs="Times New Roman"/>
        </w:rPr>
        <w:t xml:space="preserve">million (SDR </w:t>
      </w:r>
      <w:r w:rsidR="00F91D01">
        <w:rPr>
          <w:rFonts w:ascii="Times New Roman" w:hAnsi="Times New Roman" w:cs="Times New Roman"/>
        </w:rPr>
        <w:t>25.84</w:t>
      </w:r>
      <w:r w:rsidR="0079247D" w:rsidRPr="00711F40">
        <w:rPr>
          <w:rFonts w:ascii="Times New Roman" w:hAnsi="Times New Roman" w:cs="Times New Roman"/>
        </w:rPr>
        <w:t xml:space="preserve"> </w:t>
      </w:r>
      <w:r w:rsidR="00AF29EA" w:rsidRPr="00711F40">
        <w:rPr>
          <w:rFonts w:ascii="Times New Roman" w:hAnsi="Times New Roman" w:cs="Times New Roman"/>
        </w:rPr>
        <w:t>m</w:t>
      </w:r>
      <w:r w:rsidR="0079247D" w:rsidRPr="00711F40">
        <w:rPr>
          <w:rFonts w:ascii="Times New Roman" w:hAnsi="Times New Roman" w:cs="Times New Roman"/>
        </w:rPr>
        <w:t>illion)</w:t>
      </w:r>
      <w:r w:rsidR="00AC0803">
        <w:rPr>
          <w:rFonts w:ascii="Times New Roman" w:hAnsi="Times New Roman" w:cs="Times New Roman"/>
        </w:rPr>
        <w:t xml:space="preserve"> on account of ECF</w:t>
      </w:r>
      <w:r w:rsidR="000C0A57" w:rsidRPr="000C0A57">
        <w:rPr>
          <w:rFonts w:ascii="Times New Roman" w:hAnsi="Times New Roman" w:cs="Times New Roman"/>
        </w:rPr>
        <w:t xml:space="preserve"> </w:t>
      </w:r>
      <w:r w:rsidR="000C0A57">
        <w:rPr>
          <w:rFonts w:ascii="Times New Roman" w:hAnsi="Times New Roman" w:cs="Times New Roman"/>
        </w:rPr>
        <w:t>in the current year</w:t>
      </w:r>
      <w:r w:rsidR="0079247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An amount of $</w:t>
      </w:r>
      <w:r w:rsidR="00F91D01">
        <w:rPr>
          <w:rFonts w:ascii="Times New Roman" w:hAnsi="Times New Roman" w:cs="Times New Roman"/>
        </w:rPr>
        <w:t>2,354</w:t>
      </w:r>
      <w:r w:rsidR="00B00D67">
        <w:rPr>
          <w:rFonts w:ascii="Times New Roman" w:hAnsi="Times New Roman" w:cs="Times New Roman"/>
        </w:rPr>
        <w:t xml:space="preserve"> million</w:t>
      </w:r>
      <w:r w:rsidR="00D672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was</w:t>
      </w:r>
      <w:r w:rsidR="00B00D67">
        <w:rPr>
          <w:rFonts w:ascii="Times New Roman" w:hAnsi="Times New Roman" w:cs="Times New Roman"/>
        </w:rPr>
        <w:t xml:space="preserve"> </w:t>
      </w:r>
      <w:r w:rsidR="00D6727D">
        <w:rPr>
          <w:rFonts w:ascii="Times New Roman" w:hAnsi="Times New Roman" w:cs="Times New Roman"/>
        </w:rPr>
        <w:t>paid against</w:t>
      </w:r>
      <w:r w:rsidR="00B00D67">
        <w:rPr>
          <w:rFonts w:ascii="Times New Roman" w:hAnsi="Times New Roman" w:cs="Times New Roman"/>
        </w:rPr>
        <w:t xml:space="preserve"> Stand</w:t>
      </w:r>
      <w:r w:rsidR="001467C3">
        <w:rPr>
          <w:rFonts w:ascii="Times New Roman" w:hAnsi="Times New Roman" w:cs="Times New Roman"/>
        </w:rPr>
        <w:t>by</w:t>
      </w:r>
      <w:r w:rsidR="00B00D67">
        <w:rPr>
          <w:rFonts w:ascii="Times New Roman" w:hAnsi="Times New Roman" w:cs="Times New Roman"/>
        </w:rPr>
        <w:t xml:space="preserve"> Arrangements</w:t>
      </w:r>
      <w:r w:rsidR="00F91D01">
        <w:rPr>
          <w:rFonts w:ascii="Times New Roman" w:hAnsi="Times New Roman" w:cs="Times New Roman"/>
        </w:rPr>
        <w:t xml:space="preserve"> by monetary authority fr</w:t>
      </w:r>
      <w:r w:rsidR="00846561">
        <w:rPr>
          <w:rFonts w:ascii="Times New Roman" w:hAnsi="Times New Roman" w:cs="Times New Roman"/>
        </w:rPr>
        <w:t>o</w:t>
      </w:r>
      <w:r w:rsidR="00F91D01">
        <w:rPr>
          <w:rFonts w:ascii="Times New Roman" w:hAnsi="Times New Roman" w:cs="Times New Roman"/>
        </w:rPr>
        <w:t xml:space="preserve">m the total </w:t>
      </w:r>
      <w:r w:rsidR="00625F9D">
        <w:rPr>
          <w:rFonts w:ascii="Times New Roman" w:hAnsi="Times New Roman" w:cs="Times New Roman"/>
        </w:rPr>
        <w:t xml:space="preserve">of </w:t>
      </w:r>
      <w:r w:rsidR="00F91D01">
        <w:rPr>
          <w:rFonts w:ascii="Times New Roman" w:hAnsi="Times New Roman" w:cs="Times New Roman"/>
        </w:rPr>
        <w:t>$2</w:t>
      </w:r>
      <w:r w:rsidR="00846561">
        <w:rPr>
          <w:rFonts w:ascii="Times New Roman" w:hAnsi="Times New Roman" w:cs="Times New Roman"/>
        </w:rPr>
        <w:t>,</w:t>
      </w:r>
      <w:r w:rsidR="00F91D01">
        <w:rPr>
          <w:rFonts w:ascii="Times New Roman" w:hAnsi="Times New Roman" w:cs="Times New Roman"/>
        </w:rPr>
        <w:t xml:space="preserve">715 million (SDR </w:t>
      </w:r>
      <w:r w:rsidR="00F91D01" w:rsidRPr="00F91D01">
        <w:rPr>
          <w:rFonts w:ascii="Times New Roman" w:hAnsi="Times New Roman" w:cs="Times New Roman"/>
        </w:rPr>
        <w:t>1</w:t>
      </w:r>
      <w:r w:rsidR="00846561">
        <w:rPr>
          <w:rFonts w:ascii="Times New Roman" w:hAnsi="Times New Roman" w:cs="Times New Roman"/>
        </w:rPr>
        <w:t>,799</w:t>
      </w:r>
      <w:r w:rsidR="00F42773">
        <w:rPr>
          <w:rFonts w:ascii="Times New Roman" w:hAnsi="Times New Roman" w:cs="Times New Roman"/>
        </w:rPr>
        <w:t>.15</w:t>
      </w:r>
      <w:r w:rsidR="00F91D01">
        <w:rPr>
          <w:rFonts w:ascii="Times New Roman" w:hAnsi="Times New Roman" w:cs="Times New Roman"/>
        </w:rPr>
        <w:t xml:space="preserve"> million)</w:t>
      </w:r>
      <w:r w:rsidR="00DE2300">
        <w:rPr>
          <w:rFonts w:ascii="Times New Roman" w:hAnsi="Times New Roman" w:cs="Times New Roman"/>
        </w:rPr>
        <w:t>.</w:t>
      </w:r>
      <w:r w:rsidR="00B00D67">
        <w:rPr>
          <w:rFonts w:ascii="Times New Roman" w:hAnsi="Times New Roman" w:cs="Times New Roman"/>
        </w:rPr>
        <w:t xml:space="preserve"> </w:t>
      </w:r>
    </w:p>
    <w:p w:rsidR="001467C3" w:rsidRDefault="00577D3A" w:rsidP="00E45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467C3" w:rsidRDefault="001467C3" w:rsidP="00E45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027" w:type="dxa"/>
        <w:tblInd w:w="93" w:type="dxa"/>
        <w:tblLook w:val="0000"/>
      </w:tblPr>
      <w:tblGrid>
        <w:gridCol w:w="2895"/>
        <w:gridCol w:w="960"/>
        <w:gridCol w:w="1020"/>
        <w:gridCol w:w="236"/>
        <w:gridCol w:w="844"/>
        <w:gridCol w:w="888"/>
        <w:gridCol w:w="12"/>
        <w:gridCol w:w="224"/>
        <w:gridCol w:w="12"/>
        <w:gridCol w:w="856"/>
        <w:gridCol w:w="1080"/>
      </w:tblGrid>
      <w:tr w:rsidR="001467C3" w:rsidRPr="007A6171" w:rsidTr="001467C3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Summary Balance of</w:t>
            </w:r>
          </w:p>
        </w:tc>
      </w:tr>
      <w:tr w:rsidR="001467C3" w:rsidRPr="007A6171" w:rsidTr="001467C3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467C3" w:rsidRPr="007A6171" w:rsidTr="001467C3">
        <w:trPr>
          <w:trHeight w:hRule="exact" w:val="230"/>
        </w:trPr>
        <w:tc>
          <w:tcPr>
            <w:tcW w:w="2895" w:type="dxa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1467C3" w:rsidRPr="007A6171" w:rsidTr="001467C3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927F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="005B2F1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1467C3" w:rsidRPr="007A6171" w:rsidRDefault="001467C3" w:rsidP="00927F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</w:t>
            </w:r>
            <w:r w:rsidR="005B2F1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1467C3" w:rsidRPr="007A6171" w:rsidRDefault="001467C3" w:rsidP="00927F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Jul - Jun</w:t>
            </w:r>
          </w:p>
        </w:tc>
      </w:tr>
      <w:tr w:rsidR="001467C3" w:rsidRPr="007A6171" w:rsidTr="001467C3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</w:t>
            </w:r>
            <w:r w:rsidR="005B2F1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12</w:t>
            </w: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-1</w:t>
            </w:r>
            <w:r w:rsidR="005B2F1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5B2F1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5B2F1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bottom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439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-522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-1,172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-1,241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-2,496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-4,658</w:t>
            </w:r>
          </w:p>
        </w:tc>
      </w:tr>
      <w:tr w:rsidR="009C0E13" w:rsidRPr="007A6171" w:rsidTr="001467C3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 without off. transfers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-654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-1,284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-1,332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-2,898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-5,243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Exports fob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6,148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6,001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6,192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6,454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24,795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24,696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Imports fob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9,809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10,296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9,886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10,235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40,226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40,461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Trade Balance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-3,661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-4,295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-3,694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-3,781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-15,431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-15,765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Credit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2,176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2,060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1,202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1,295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6,733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5,035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Debit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2,028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2,198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1,917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2,062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8,205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8,227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Goods &amp; Services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-3,513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-4,433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-4,409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-4,548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-16,903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-18,957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Credit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111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143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171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488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826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Debit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807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1,166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1,285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4,173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4,071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Of which : Interest payments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284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343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251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362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1,240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1,633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Gds &amp; Serv. &amp; Inc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-4,209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-5,456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-5,261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-5,662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-20,588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-22,202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  Current Transfers.: Credit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4,666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4,967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4,097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4,453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18,183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17,686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Of which: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Workers' Remittances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3,599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3,518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3,237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3,568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13,922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13,186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Resident’s FCAs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67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276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142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564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289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Current Transfers :Debit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91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142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Capital Account 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 : Credit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186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Project Grants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180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Debt Forgiveness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Others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 : Debit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Financial Account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-406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549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1,280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Direct Investment Abroad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-23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-143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-198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-77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Dir. Invest. In Rep. Econ.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125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825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1,456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821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Assets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-63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-99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-32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Equity Securities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-37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Debt Securities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-63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-99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Liab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ilities</w:t>
            </w:r>
          </w:p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125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-112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Equity Securities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96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-60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Debt Securities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-52</w:t>
            </w:r>
          </w:p>
        </w:tc>
      </w:tr>
      <w:tr w:rsidR="009C0E1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Assets</w:t>
            </w:r>
          </w:p>
        </w:tc>
        <w:tc>
          <w:tcPr>
            <w:tcW w:w="96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1467C3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Liabilities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2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</w:tbl>
    <w:p w:rsidR="001467C3" w:rsidRDefault="001467C3" w:rsidP="00E45CBF">
      <w:pPr>
        <w:rPr>
          <w:rFonts w:ascii="Times New Roman" w:hAnsi="Times New Roman" w:cs="Times New Roman"/>
        </w:rPr>
      </w:pPr>
    </w:p>
    <w:p w:rsidR="001467C3" w:rsidRDefault="001467C3" w:rsidP="00E45CBF">
      <w:pPr>
        <w:rPr>
          <w:rFonts w:ascii="Times New Roman" w:hAnsi="Times New Roman" w:cs="Times New Roman"/>
        </w:rPr>
      </w:pPr>
    </w:p>
    <w:tbl>
      <w:tblPr>
        <w:tblW w:w="9369" w:type="dxa"/>
        <w:tblLook w:val="0000"/>
      </w:tblPr>
      <w:tblGrid>
        <w:gridCol w:w="98"/>
        <w:gridCol w:w="3138"/>
        <w:gridCol w:w="98"/>
        <w:gridCol w:w="912"/>
        <w:gridCol w:w="98"/>
        <w:gridCol w:w="564"/>
        <w:gridCol w:w="222"/>
        <w:gridCol w:w="98"/>
        <w:gridCol w:w="248"/>
        <w:gridCol w:w="889"/>
        <w:gridCol w:w="947"/>
        <w:gridCol w:w="252"/>
        <w:gridCol w:w="114"/>
        <w:gridCol w:w="771"/>
        <w:gridCol w:w="920"/>
      </w:tblGrid>
      <w:tr w:rsidR="001467C3" w:rsidRPr="007A6171" w:rsidTr="005B2F16">
        <w:trPr>
          <w:gridBefore w:val="1"/>
          <w:wBefore w:w="98" w:type="dxa"/>
          <w:trHeight w:hRule="exact" w:val="383"/>
        </w:trPr>
        <w:tc>
          <w:tcPr>
            <w:tcW w:w="9271" w:type="dxa"/>
            <w:gridSpan w:val="14"/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</w:rPr>
              <w:lastRenderedPageBreak/>
              <w:br w:type="page"/>
            </w: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Payments –Overall</w:t>
            </w:r>
          </w:p>
        </w:tc>
      </w:tr>
      <w:tr w:rsidR="001467C3" w:rsidRPr="007A6171" w:rsidTr="005B2F16">
        <w:trPr>
          <w:gridBefore w:val="1"/>
          <w:wBefore w:w="98" w:type="dxa"/>
          <w:trHeight w:hRule="exact" w:val="383"/>
        </w:trPr>
        <w:tc>
          <w:tcPr>
            <w:tcW w:w="9271" w:type="dxa"/>
            <w:gridSpan w:val="14"/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467C3" w:rsidRPr="007A6171" w:rsidTr="005B2F16">
        <w:trPr>
          <w:gridBefore w:val="1"/>
          <w:wBefore w:w="98" w:type="dxa"/>
          <w:trHeight w:hRule="exact" w:val="245"/>
        </w:trPr>
        <w:tc>
          <w:tcPr>
            <w:tcW w:w="4810" w:type="dxa"/>
            <w:gridSpan w:val="5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1467C3" w:rsidRPr="007A6171" w:rsidTr="005B2F16">
        <w:trPr>
          <w:gridBefore w:val="1"/>
          <w:wBefore w:w="98" w:type="dxa"/>
          <w:cantSplit/>
          <w:trHeight w:hRule="exact" w:val="245"/>
        </w:trPr>
        <w:tc>
          <w:tcPr>
            <w:tcW w:w="3236" w:type="dxa"/>
            <w:gridSpan w:val="2"/>
            <w:vMerge w:val="restart"/>
            <w:tcBorders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94" w:type="dxa"/>
            <w:gridSpan w:val="5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927F4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5B2F1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dxa"/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1467C3" w:rsidRPr="007A6171" w:rsidRDefault="001467C3" w:rsidP="00927F4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5B2F1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" w:type="dxa"/>
            <w:tcBorders>
              <w:top w:val="single" w:sz="12" w:space="0" w:color="auto"/>
            </w:tcBorders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1467C3" w:rsidRPr="007A6171" w:rsidRDefault="001467C3" w:rsidP="00927F4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Jul – Jun</w:t>
            </w:r>
          </w:p>
        </w:tc>
      </w:tr>
      <w:tr w:rsidR="005B2F16" w:rsidRPr="007A6171" w:rsidTr="005B2F16">
        <w:trPr>
          <w:gridBefore w:val="1"/>
          <w:wBefore w:w="98" w:type="dxa"/>
          <w:cantSplit/>
          <w:trHeight w:hRule="exact" w:val="245"/>
        </w:trPr>
        <w:tc>
          <w:tcPr>
            <w:tcW w:w="323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48" w:type="dxa"/>
            <w:noWrap/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52" w:type="dxa"/>
            <w:noWrap/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12</w:t>
            </w: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-1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5B2F16" w:rsidRPr="007A6171" w:rsidRDefault="005B2F16" w:rsidP="00E45CBF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</w:t>
            </w: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tcBorders>
              <w:top w:val="single" w:sz="12" w:space="0" w:color="auto"/>
            </w:tcBorders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Other Investment Assets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-420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-624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442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288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-314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-285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-418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453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124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-126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-91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-139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-204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-8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165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-186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97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Other Investment Liab.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-197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-252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-26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-421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671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715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710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-105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312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-172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91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248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998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398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1,008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499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625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2,530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2,633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Long-term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398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752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499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625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2,274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2,633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Project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364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490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582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2,136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1,781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Program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138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852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Short-term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256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256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Commercial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IDB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256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256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381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696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671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534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2,282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1,577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Long-term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381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435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541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534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1,891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1,477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Short-term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261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130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391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-58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-310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-28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-778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-1,117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220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96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-228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-76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-262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-442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153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136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82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409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558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87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273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107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151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618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638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-91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-51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-53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-362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Net Errors and Omissions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-169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-56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-309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Overall Balance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-603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-1,132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-229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-1,992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-3,275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Reserves and Related Items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1,132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1,992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3,275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Reserve Assets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472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1,323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1,716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1,019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4,530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4,430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Use of Fund Credit and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472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1,323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1,716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1,019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4,530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4,430</w:t>
            </w:r>
          </w:p>
        </w:tc>
      </w:tr>
      <w:tr w:rsidR="009C0E13" w:rsidRPr="007A6171" w:rsidTr="005B2F16">
        <w:trPr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Purchases  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35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5B2F16">
        <w:trPr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7A6171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Repurchases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-444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-720</w:t>
            </w:r>
          </w:p>
        </w:tc>
        <w:tc>
          <w:tcPr>
            <w:tcW w:w="1235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-584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-790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-2,538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-1,155</w:t>
            </w:r>
          </w:p>
        </w:tc>
      </w:tr>
      <w:tr w:rsidR="009C0E1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  Exceptional Financing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C0E13" w:rsidRPr="007A6171" w:rsidTr="00997675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9C0E1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SBP Reserves</w:t>
            </w:r>
          </w:p>
          <w:p w:rsidR="009C0E13" w:rsidRPr="009C0E13" w:rsidRDefault="009C0E13" w:rsidP="00E45CB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444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720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584</w:t>
            </w:r>
          </w:p>
        </w:tc>
        <w:tc>
          <w:tcPr>
            <w:tcW w:w="947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790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2,538</w:t>
            </w:r>
          </w:p>
        </w:tc>
        <w:tc>
          <w:tcPr>
            <w:tcW w:w="920" w:type="dxa"/>
            <w:noWrap/>
            <w:vAlign w:val="bottom"/>
          </w:tcPr>
          <w:p w:rsidR="009C0E13" w:rsidRPr="009C0E13" w:rsidRDefault="009C0E13" w:rsidP="00E45C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0E13">
              <w:rPr>
                <w:rFonts w:ascii="Times New Roman" w:hAnsi="Times New Roman" w:cs="Times New Roman"/>
                <w:bCs/>
                <w:sz w:val="16"/>
                <w:szCs w:val="16"/>
              </w:rPr>
              <w:t>1,155</w:t>
            </w:r>
          </w:p>
        </w:tc>
      </w:tr>
      <w:tr w:rsidR="001467C3" w:rsidRPr="007A6171" w:rsidTr="00997675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E45CBF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467C3" w:rsidRDefault="001467C3" w:rsidP="00E45CBF">
      <w:pPr>
        <w:rPr>
          <w:rFonts w:ascii="Times New Roman" w:hAnsi="Times New Roman" w:cs="Times New Roman"/>
        </w:rPr>
      </w:pPr>
    </w:p>
    <w:sectPr w:rsidR="001467C3" w:rsidSect="00DE5B7B">
      <w:footerReference w:type="default" r:id="rId20"/>
      <w:pgSz w:w="12240" w:h="15840"/>
      <w:pgMar w:top="1440" w:right="1440" w:bottom="1440" w:left="1440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3D" w:rsidRDefault="00D13D3D" w:rsidP="00E32A0A">
      <w:pPr>
        <w:spacing w:after="0" w:line="240" w:lineRule="auto"/>
      </w:pPr>
      <w:r>
        <w:separator/>
      </w:r>
    </w:p>
  </w:endnote>
  <w:endnote w:type="continuationSeparator" w:id="0">
    <w:p w:rsidR="00D13D3D" w:rsidRDefault="00D13D3D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724AE" w:rsidRPr="001724AE" w:rsidRDefault="00E30825">
        <w:pPr>
          <w:pStyle w:val="Footer"/>
          <w:jc w:val="center"/>
          <w:rPr>
            <w:rFonts w:ascii="Times New Roman" w:hAnsi="Times New Roman" w:cs="Times New Roman"/>
          </w:rPr>
        </w:pPr>
        <w:r w:rsidRPr="001724AE">
          <w:rPr>
            <w:rFonts w:ascii="Times New Roman" w:hAnsi="Times New Roman" w:cs="Times New Roman"/>
          </w:rPr>
          <w:fldChar w:fldCharType="begin"/>
        </w:r>
        <w:r w:rsidR="001724AE" w:rsidRPr="001724AE">
          <w:rPr>
            <w:rFonts w:ascii="Times New Roman" w:hAnsi="Times New Roman" w:cs="Times New Roman"/>
          </w:rPr>
          <w:instrText xml:space="preserve"> PAGE   \* MERGEFORMAT </w:instrText>
        </w:r>
        <w:r w:rsidRPr="001724AE">
          <w:rPr>
            <w:rFonts w:ascii="Times New Roman" w:hAnsi="Times New Roman" w:cs="Times New Roman"/>
          </w:rPr>
          <w:fldChar w:fldCharType="separate"/>
        </w:r>
        <w:r w:rsidR="00927F42">
          <w:rPr>
            <w:rFonts w:ascii="Times New Roman" w:hAnsi="Times New Roman" w:cs="Times New Roman"/>
            <w:noProof/>
          </w:rPr>
          <w:t>xvii</w:t>
        </w:r>
        <w:r w:rsidRPr="001724AE">
          <w:rPr>
            <w:rFonts w:ascii="Times New Roman" w:hAnsi="Times New Roman" w:cs="Times New Roman"/>
          </w:rPr>
          <w:fldChar w:fldCharType="end"/>
        </w:r>
      </w:p>
    </w:sdtContent>
  </w:sdt>
  <w:p w:rsidR="00997675" w:rsidRDefault="00997675" w:rsidP="0099767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3D" w:rsidRDefault="00D13D3D" w:rsidP="00E32A0A">
      <w:pPr>
        <w:spacing w:after="0" w:line="240" w:lineRule="auto"/>
      </w:pPr>
      <w:r>
        <w:separator/>
      </w:r>
    </w:p>
  </w:footnote>
  <w:footnote w:type="continuationSeparator" w:id="0">
    <w:p w:rsidR="00D13D3D" w:rsidRDefault="00D13D3D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C2AD3"/>
    <w:rsid w:val="0000029A"/>
    <w:rsid w:val="00007C9E"/>
    <w:rsid w:val="00010C5F"/>
    <w:rsid w:val="00014CF3"/>
    <w:rsid w:val="00017B85"/>
    <w:rsid w:val="00025641"/>
    <w:rsid w:val="0003102D"/>
    <w:rsid w:val="00031382"/>
    <w:rsid w:val="0003656B"/>
    <w:rsid w:val="00040BC9"/>
    <w:rsid w:val="00040F26"/>
    <w:rsid w:val="000429A5"/>
    <w:rsid w:val="0004467D"/>
    <w:rsid w:val="00046BBE"/>
    <w:rsid w:val="000549A5"/>
    <w:rsid w:val="00054FA8"/>
    <w:rsid w:val="000555E2"/>
    <w:rsid w:val="00057505"/>
    <w:rsid w:val="00061751"/>
    <w:rsid w:val="00066F5B"/>
    <w:rsid w:val="000671B5"/>
    <w:rsid w:val="00070FBE"/>
    <w:rsid w:val="000736C5"/>
    <w:rsid w:val="00074C8E"/>
    <w:rsid w:val="00075708"/>
    <w:rsid w:val="00077BD5"/>
    <w:rsid w:val="0008086A"/>
    <w:rsid w:val="0008336A"/>
    <w:rsid w:val="00084371"/>
    <w:rsid w:val="00084D90"/>
    <w:rsid w:val="00085F84"/>
    <w:rsid w:val="000911A3"/>
    <w:rsid w:val="000918CB"/>
    <w:rsid w:val="00093ACA"/>
    <w:rsid w:val="000A19AB"/>
    <w:rsid w:val="000A2E98"/>
    <w:rsid w:val="000A6484"/>
    <w:rsid w:val="000A6C5C"/>
    <w:rsid w:val="000B1B85"/>
    <w:rsid w:val="000B3D46"/>
    <w:rsid w:val="000B7DC0"/>
    <w:rsid w:val="000C0A57"/>
    <w:rsid w:val="000C0F5E"/>
    <w:rsid w:val="000C108E"/>
    <w:rsid w:val="000C3B38"/>
    <w:rsid w:val="000C4AE0"/>
    <w:rsid w:val="000C614E"/>
    <w:rsid w:val="000D100F"/>
    <w:rsid w:val="000D19BF"/>
    <w:rsid w:val="000D3314"/>
    <w:rsid w:val="000D3384"/>
    <w:rsid w:val="000D76FF"/>
    <w:rsid w:val="000D7C3C"/>
    <w:rsid w:val="000E38F6"/>
    <w:rsid w:val="000E3F2B"/>
    <w:rsid w:val="000E6B4F"/>
    <w:rsid w:val="000F13AD"/>
    <w:rsid w:val="000F66AF"/>
    <w:rsid w:val="00100145"/>
    <w:rsid w:val="00101C4E"/>
    <w:rsid w:val="00103D64"/>
    <w:rsid w:val="00104C21"/>
    <w:rsid w:val="00112DD9"/>
    <w:rsid w:val="00114027"/>
    <w:rsid w:val="00116664"/>
    <w:rsid w:val="001209BA"/>
    <w:rsid w:val="00122C04"/>
    <w:rsid w:val="001245D6"/>
    <w:rsid w:val="00131486"/>
    <w:rsid w:val="00132DFF"/>
    <w:rsid w:val="00133558"/>
    <w:rsid w:val="001344DA"/>
    <w:rsid w:val="001352C3"/>
    <w:rsid w:val="00135D5C"/>
    <w:rsid w:val="00140A92"/>
    <w:rsid w:val="0014326F"/>
    <w:rsid w:val="001467C3"/>
    <w:rsid w:val="00147401"/>
    <w:rsid w:val="0015243A"/>
    <w:rsid w:val="00153458"/>
    <w:rsid w:val="00157619"/>
    <w:rsid w:val="00161FB7"/>
    <w:rsid w:val="00162C25"/>
    <w:rsid w:val="00165FCC"/>
    <w:rsid w:val="00170E1B"/>
    <w:rsid w:val="001724AE"/>
    <w:rsid w:val="001825DE"/>
    <w:rsid w:val="001859D2"/>
    <w:rsid w:val="00186EC8"/>
    <w:rsid w:val="001920A0"/>
    <w:rsid w:val="00192673"/>
    <w:rsid w:val="001931CE"/>
    <w:rsid w:val="0019338E"/>
    <w:rsid w:val="001936F3"/>
    <w:rsid w:val="00196CDA"/>
    <w:rsid w:val="001A0234"/>
    <w:rsid w:val="001A0B3E"/>
    <w:rsid w:val="001A5CD7"/>
    <w:rsid w:val="001B16CD"/>
    <w:rsid w:val="001B3D3E"/>
    <w:rsid w:val="001B42E5"/>
    <w:rsid w:val="001D22E7"/>
    <w:rsid w:val="001D2DEB"/>
    <w:rsid w:val="001D3602"/>
    <w:rsid w:val="001D5D32"/>
    <w:rsid w:val="001E7B26"/>
    <w:rsid w:val="001F0C99"/>
    <w:rsid w:val="001F1E99"/>
    <w:rsid w:val="001F2B73"/>
    <w:rsid w:val="001F6150"/>
    <w:rsid w:val="001F70AB"/>
    <w:rsid w:val="00201968"/>
    <w:rsid w:val="00202E36"/>
    <w:rsid w:val="002055B6"/>
    <w:rsid w:val="002059E7"/>
    <w:rsid w:val="002067E6"/>
    <w:rsid w:val="002205C4"/>
    <w:rsid w:val="00224B89"/>
    <w:rsid w:val="002261D9"/>
    <w:rsid w:val="00226975"/>
    <w:rsid w:val="00227F4E"/>
    <w:rsid w:val="00230E41"/>
    <w:rsid w:val="00230E85"/>
    <w:rsid w:val="00231777"/>
    <w:rsid w:val="00235CAB"/>
    <w:rsid w:val="002362DE"/>
    <w:rsid w:val="00240B35"/>
    <w:rsid w:val="00241BBC"/>
    <w:rsid w:val="00246CB5"/>
    <w:rsid w:val="00247995"/>
    <w:rsid w:val="00252D42"/>
    <w:rsid w:val="00253839"/>
    <w:rsid w:val="0026033F"/>
    <w:rsid w:val="0026196D"/>
    <w:rsid w:val="002667E0"/>
    <w:rsid w:val="002733B4"/>
    <w:rsid w:val="00276530"/>
    <w:rsid w:val="00277736"/>
    <w:rsid w:val="002779C7"/>
    <w:rsid w:val="002805D6"/>
    <w:rsid w:val="0028155E"/>
    <w:rsid w:val="00282D98"/>
    <w:rsid w:val="0028305E"/>
    <w:rsid w:val="00285039"/>
    <w:rsid w:val="00287EF6"/>
    <w:rsid w:val="00293F16"/>
    <w:rsid w:val="00294923"/>
    <w:rsid w:val="00295D66"/>
    <w:rsid w:val="002A2714"/>
    <w:rsid w:val="002A455B"/>
    <w:rsid w:val="002A7E4C"/>
    <w:rsid w:val="002B25EA"/>
    <w:rsid w:val="002B2AFC"/>
    <w:rsid w:val="002B483C"/>
    <w:rsid w:val="002B5359"/>
    <w:rsid w:val="002B5B9D"/>
    <w:rsid w:val="002C0E76"/>
    <w:rsid w:val="002C2154"/>
    <w:rsid w:val="002C451C"/>
    <w:rsid w:val="002C522C"/>
    <w:rsid w:val="002D1FC0"/>
    <w:rsid w:val="002D2160"/>
    <w:rsid w:val="002D31D3"/>
    <w:rsid w:val="002D75DC"/>
    <w:rsid w:val="002E321E"/>
    <w:rsid w:val="002E7D70"/>
    <w:rsid w:val="002F23E6"/>
    <w:rsid w:val="002F37F3"/>
    <w:rsid w:val="002F66FD"/>
    <w:rsid w:val="002F7CFA"/>
    <w:rsid w:val="00300DDC"/>
    <w:rsid w:val="00305BD6"/>
    <w:rsid w:val="00310CC2"/>
    <w:rsid w:val="0031435D"/>
    <w:rsid w:val="003176AA"/>
    <w:rsid w:val="00322D60"/>
    <w:rsid w:val="00324F0B"/>
    <w:rsid w:val="00331F50"/>
    <w:rsid w:val="00344DBE"/>
    <w:rsid w:val="0034545E"/>
    <w:rsid w:val="0035018A"/>
    <w:rsid w:val="003506DC"/>
    <w:rsid w:val="003563D2"/>
    <w:rsid w:val="00360D24"/>
    <w:rsid w:val="0036346C"/>
    <w:rsid w:val="003643AA"/>
    <w:rsid w:val="00365F0C"/>
    <w:rsid w:val="00365F3B"/>
    <w:rsid w:val="00367F20"/>
    <w:rsid w:val="0037000D"/>
    <w:rsid w:val="0037018E"/>
    <w:rsid w:val="00372C4A"/>
    <w:rsid w:val="00372F55"/>
    <w:rsid w:val="00376003"/>
    <w:rsid w:val="003761F5"/>
    <w:rsid w:val="003818DD"/>
    <w:rsid w:val="003835B0"/>
    <w:rsid w:val="0038518C"/>
    <w:rsid w:val="0038748D"/>
    <w:rsid w:val="00387B64"/>
    <w:rsid w:val="003963B1"/>
    <w:rsid w:val="00396ABB"/>
    <w:rsid w:val="003A70F3"/>
    <w:rsid w:val="003A7BB6"/>
    <w:rsid w:val="003B2EF3"/>
    <w:rsid w:val="003B30AE"/>
    <w:rsid w:val="003B6116"/>
    <w:rsid w:val="003C65B7"/>
    <w:rsid w:val="003C74F5"/>
    <w:rsid w:val="003D4428"/>
    <w:rsid w:val="003D45FF"/>
    <w:rsid w:val="003D6ABB"/>
    <w:rsid w:val="003D6AD6"/>
    <w:rsid w:val="003E2B43"/>
    <w:rsid w:val="003E47AF"/>
    <w:rsid w:val="003E4E62"/>
    <w:rsid w:val="003F1F5B"/>
    <w:rsid w:val="003F3562"/>
    <w:rsid w:val="003F3E87"/>
    <w:rsid w:val="003F6A7B"/>
    <w:rsid w:val="003F6E03"/>
    <w:rsid w:val="003F6EBE"/>
    <w:rsid w:val="004008AB"/>
    <w:rsid w:val="004012D4"/>
    <w:rsid w:val="004022B3"/>
    <w:rsid w:val="00402585"/>
    <w:rsid w:val="00402CA3"/>
    <w:rsid w:val="00402DB2"/>
    <w:rsid w:val="00404338"/>
    <w:rsid w:val="00410EC8"/>
    <w:rsid w:val="00411692"/>
    <w:rsid w:val="00414078"/>
    <w:rsid w:val="00415637"/>
    <w:rsid w:val="0042368E"/>
    <w:rsid w:val="004250AB"/>
    <w:rsid w:val="00427178"/>
    <w:rsid w:val="00434680"/>
    <w:rsid w:val="00435298"/>
    <w:rsid w:val="00436491"/>
    <w:rsid w:val="00442B0A"/>
    <w:rsid w:val="00446B54"/>
    <w:rsid w:val="00447BCC"/>
    <w:rsid w:val="00452DBC"/>
    <w:rsid w:val="0045760A"/>
    <w:rsid w:val="00460253"/>
    <w:rsid w:val="00462D97"/>
    <w:rsid w:val="004633E0"/>
    <w:rsid w:val="00465138"/>
    <w:rsid w:val="00465559"/>
    <w:rsid w:val="00466CF9"/>
    <w:rsid w:val="00475E39"/>
    <w:rsid w:val="00476C54"/>
    <w:rsid w:val="0047750D"/>
    <w:rsid w:val="004825F3"/>
    <w:rsid w:val="00485C3C"/>
    <w:rsid w:val="00490428"/>
    <w:rsid w:val="00493E26"/>
    <w:rsid w:val="00494277"/>
    <w:rsid w:val="004A316B"/>
    <w:rsid w:val="004B4534"/>
    <w:rsid w:val="004B4A15"/>
    <w:rsid w:val="004B5126"/>
    <w:rsid w:val="004B57A9"/>
    <w:rsid w:val="004C6CFA"/>
    <w:rsid w:val="004C7EFA"/>
    <w:rsid w:val="004D297C"/>
    <w:rsid w:val="004D29E4"/>
    <w:rsid w:val="004D2DDC"/>
    <w:rsid w:val="004D4AAA"/>
    <w:rsid w:val="004D4AD8"/>
    <w:rsid w:val="004D6F4D"/>
    <w:rsid w:val="004D7A22"/>
    <w:rsid w:val="004E0E6B"/>
    <w:rsid w:val="004E3627"/>
    <w:rsid w:val="004E38D7"/>
    <w:rsid w:val="004E4608"/>
    <w:rsid w:val="004E6822"/>
    <w:rsid w:val="004F1203"/>
    <w:rsid w:val="004F26D6"/>
    <w:rsid w:val="004F3885"/>
    <w:rsid w:val="004F3FD9"/>
    <w:rsid w:val="004F6CA8"/>
    <w:rsid w:val="00500ECC"/>
    <w:rsid w:val="00501219"/>
    <w:rsid w:val="00501FB4"/>
    <w:rsid w:val="00502858"/>
    <w:rsid w:val="00504196"/>
    <w:rsid w:val="005058D7"/>
    <w:rsid w:val="00505E89"/>
    <w:rsid w:val="00512A65"/>
    <w:rsid w:val="0051334C"/>
    <w:rsid w:val="00514854"/>
    <w:rsid w:val="005204E9"/>
    <w:rsid w:val="0052297C"/>
    <w:rsid w:val="0052415D"/>
    <w:rsid w:val="005250CD"/>
    <w:rsid w:val="00532291"/>
    <w:rsid w:val="005401A2"/>
    <w:rsid w:val="00540F6E"/>
    <w:rsid w:val="005419AD"/>
    <w:rsid w:val="00542D1F"/>
    <w:rsid w:val="00544C8A"/>
    <w:rsid w:val="0054605C"/>
    <w:rsid w:val="00551BEB"/>
    <w:rsid w:val="00553421"/>
    <w:rsid w:val="005600F0"/>
    <w:rsid w:val="005603A7"/>
    <w:rsid w:val="00561D06"/>
    <w:rsid w:val="00565045"/>
    <w:rsid w:val="00567BF7"/>
    <w:rsid w:val="0057452E"/>
    <w:rsid w:val="005768BA"/>
    <w:rsid w:val="00577D3A"/>
    <w:rsid w:val="00577D51"/>
    <w:rsid w:val="00585116"/>
    <w:rsid w:val="005860CE"/>
    <w:rsid w:val="0058626B"/>
    <w:rsid w:val="00591907"/>
    <w:rsid w:val="00594CF6"/>
    <w:rsid w:val="00594D62"/>
    <w:rsid w:val="00597F63"/>
    <w:rsid w:val="005A3876"/>
    <w:rsid w:val="005A6985"/>
    <w:rsid w:val="005B0606"/>
    <w:rsid w:val="005B09D9"/>
    <w:rsid w:val="005B2F16"/>
    <w:rsid w:val="005B4458"/>
    <w:rsid w:val="005C1078"/>
    <w:rsid w:val="005C22FD"/>
    <w:rsid w:val="005C2DF5"/>
    <w:rsid w:val="005C5DFF"/>
    <w:rsid w:val="005C75CF"/>
    <w:rsid w:val="005D1739"/>
    <w:rsid w:val="005D4C4A"/>
    <w:rsid w:val="005D5CD4"/>
    <w:rsid w:val="005D73BF"/>
    <w:rsid w:val="005E1D73"/>
    <w:rsid w:val="005E31A7"/>
    <w:rsid w:val="005E412E"/>
    <w:rsid w:val="005E70D2"/>
    <w:rsid w:val="005F24B6"/>
    <w:rsid w:val="005F2BC5"/>
    <w:rsid w:val="005F2EC7"/>
    <w:rsid w:val="005F497B"/>
    <w:rsid w:val="0060021A"/>
    <w:rsid w:val="00601FD4"/>
    <w:rsid w:val="00602D0D"/>
    <w:rsid w:val="00603231"/>
    <w:rsid w:val="00604D08"/>
    <w:rsid w:val="006105F5"/>
    <w:rsid w:val="0061393D"/>
    <w:rsid w:val="00617712"/>
    <w:rsid w:val="00620CF6"/>
    <w:rsid w:val="00621222"/>
    <w:rsid w:val="006221DC"/>
    <w:rsid w:val="00622FCD"/>
    <w:rsid w:val="00625F9D"/>
    <w:rsid w:val="00627594"/>
    <w:rsid w:val="00631448"/>
    <w:rsid w:val="006314CC"/>
    <w:rsid w:val="00633358"/>
    <w:rsid w:val="0063456B"/>
    <w:rsid w:val="006401AD"/>
    <w:rsid w:val="00641495"/>
    <w:rsid w:val="00641DC9"/>
    <w:rsid w:val="006428D3"/>
    <w:rsid w:val="00644F44"/>
    <w:rsid w:val="00646B44"/>
    <w:rsid w:val="006471D1"/>
    <w:rsid w:val="00647AD9"/>
    <w:rsid w:val="00647BFE"/>
    <w:rsid w:val="00647F26"/>
    <w:rsid w:val="00650BBC"/>
    <w:rsid w:val="00654EED"/>
    <w:rsid w:val="00656840"/>
    <w:rsid w:val="00661562"/>
    <w:rsid w:val="006640E5"/>
    <w:rsid w:val="00670864"/>
    <w:rsid w:val="006857E9"/>
    <w:rsid w:val="00691CE6"/>
    <w:rsid w:val="006934BE"/>
    <w:rsid w:val="00694D52"/>
    <w:rsid w:val="006A19FB"/>
    <w:rsid w:val="006B1FBA"/>
    <w:rsid w:val="006B2356"/>
    <w:rsid w:val="006B526D"/>
    <w:rsid w:val="006C0A2E"/>
    <w:rsid w:val="006C178A"/>
    <w:rsid w:val="006C2A13"/>
    <w:rsid w:val="006C4301"/>
    <w:rsid w:val="006C4716"/>
    <w:rsid w:val="006C4BA1"/>
    <w:rsid w:val="006C6207"/>
    <w:rsid w:val="006C7610"/>
    <w:rsid w:val="006D2AED"/>
    <w:rsid w:val="006D66B6"/>
    <w:rsid w:val="006E0086"/>
    <w:rsid w:val="006E2CC3"/>
    <w:rsid w:val="006E7041"/>
    <w:rsid w:val="006F0493"/>
    <w:rsid w:val="006F0BD6"/>
    <w:rsid w:val="006F0F14"/>
    <w:rsid w:val="006F6011"/>
    <w:rsid w:val="007102E3"/>
    <w:rsid w:val="00711F40"/>
    <w:rsid w:val="007153CC"/>
    <w:rsid w:val="00721719"/>
    <w:rsid w:val="0072310A"/>
    <w:rsid w:val="00726F14"/>
    <w:rsid w:val="00727EC6"/>
    <w:rsid w:val="007329C0"/>
    <w:rsid w:val="00732CE2"/>
    <w:rsid w:val="00734268"/>
    <w:rsid w:val="007342EB"/>
    <w:rsid w:val="00740BCC"/>
    <w:rsid w:val="007413CB"/>
    <w:rsid w:val="00741495"/>
    <w:rsid w:val="007423C5"/>
    <w:rsid w:val="00750A42"/>
    <w:rsid w:val="00750E5D"/>
    <w:rsid w:val="00752E66"/>
    <w:rsid w:val="00763C2E"/>
    <w:rsid w:val="00765438"/>
    <w:rsid w:val="00774CA7"/>
    <w:rsid w:val="00776825"/>
    <w:rsid w:val="0077717D"/>
    <w:rsid w:val="0077779E"/>
    <w:rsid w:val="00785DB5"/>
    <w:rsid w:val="00787B13"/>
    <w:rsid w:val="00791B98"/>
    <w:rsid w:val="0079247D"/>
    <w:rsid w:val="007959C1"/>
    <w:rsid w:val="007A7275"/>
    <w:rsid w:val="007B06BD"/>
    <w:rsid w:val="007C264F"/>
    <w:rsid w:val="007C2AD3"/>
    <w:rsid w:val="007C5E32"/>
    <w:rsid w:val="007C6524"/>
    <w:rsid w:val="007C710A"/>
    <w:rsid w:val="007D4A69"/>
    <w:rsid w:val="007D683B"/>
    <w:rsid w:val="007E3BC4"/>
    <w:rsid w:val="007E58C7"/>
    <w:rsid w:val="007F2974"/>
    <w:rsid w:val="007F3970"/>
    <w:rsid w:val="007F3F34"/>
    <w:rsid w:val="007F70B5"/>
    <w:rsid w:val="007F7605"/>
    <w:rsid w:val="007F7840"/>
    <w:rsid w:val="007F7C35"/>
    <w:rsid w:val="008022C9"/>
    <w:rsid w:val="00803123"/>
    <w:rsid w:val="0080399A"/>
    <w:rsid w:val="00811BF9"/>
    <w:rsid w:val="0081735D"/>
    <w:rsid w:val="00822309"/>
    <w:rsid w:val="00822F02"/>
    <w:rsid w:val="00830F21"/>
    <w:rsid w:val="00831BBD"/>
    <w:rsid w:val="0083238E"/>
    <w:rsid w:val="0083373D"/>
    <w:rsid w:val="008342E7"/>
    <w:rsid w:val="00836C67"/>
    <w:rsid w:val="00840293"/>
    <w:rsid w:val="008406AB"/>
    <w:rsid w:val="008406C4"/>
    <w:rsid w:val="00841836"/>
    <w:rsid w:val="00846561"/>
    <w:rsid w:val="00847145"/>
    <w:rsid w:val="008504F2"/>
    <w:rsid w:val="00851D24"/>
    <w:rsid w:val="008608B5"/>
    <w:rsid w:val="00860E40"/>
    <w:rsid w:val="0086222A"/>
    <w:rsid w:val="008633B5"/>
    <w:rsid w:val="008633B9"/>
    <w:rsid w:val="00865C10"/>
    <w:rsid w:val="00866390"/>
    <w:rsid w:val="0086786A"/>
    <w:rsid w:val="00874EF3"/>
    <w:rsid w:val="0088217D"/>
    <w:rsid w:val="008849C5"/>
    <w:rsid w:val="008859B8"/>
    <w:rsid w:val="00887551"/>
    <w:rsid w:val="008919FB"/>
    <w:rsid w:val="00891C6F"/>
    <w:rsid w:val="008942DB"/>
    <w:rsid w:val="008A4E68"/>
    <w:rsid w:val="008A5318"/>
    <w:rsid w:val="008B06D7"/>
    <w:rsid w:val="008B18D5"/>
    <w:rsid w:val="008B6DCF"/>
    <w:rsid w:val="008C2659"/>
    <w:rsid w:val="008C67CD"/>
    <w:rsid w:val="008D0F5C"/>
    <w:rsid w:val="008D18CF"/>
    <w:rsid w:val="008D25DD"/>
    <w:rsid w:val="008D439A"/>
    <w:rsid w:val="008D46B4"/>
    <w:rsid w:val="008E626B"/>
    <w:rsid w:val="008E63B3"/>
    <w:rsid w:val="008F52A8"/>
    <w:rsid w:val="008F535B"/>
    <w:rsid w:val="008F59E6"/>
    <w:rsid w:val="008F6E10"/>
    <w:rsid w:val="008F6FE4"/>
    <w:rsid w:val="008F7DD9"/>
    <w:rsid w:val="009017FA"/>
    <w:rsid w:val="009024CD"/>
    <w:rsid w:val="009055B5"/>
    <w:rsid w:val="00907485"/>
    <w:rsid w:val="00907D0E"/>
    <w:rsid w:val="0091019F"/>
    <w:rsid w:val="00915444"/>
    <w:rsid w:val="00915ADA"/>
    <w:rsid w:val="00920B11"/>
    <w:rsid w:val="00927F42"/>
    <w:rsid w:val="00930F50"/>
    <w:rsid w:val="00933220"/>
    <w:rsid w:val="00935C7C"/>
    <w:rsid w:val="00936867"/>
    <w:rsid w:val="00941E4A"/>
    <w:rsid w:val="0094339C"/>
    <w:rsid w:val="009433B3"/>
    <w:rsid w:val="00943DC5"/>
    <w:rsid w:val="00950046"/>
    <w:rsid w:val="00952554"/>
    <w:rsid w:val="00956C6C"/>
    <w:rsid w:val="0095719E"/>
    <w:rsid w:val="00961203"/>
    <w:rsid w:val="00967520"/>
    <w:rsid w:val="00971735"/>
    <w:rsid w:val="0097490C"/>
    <w:rsid w:val="009829B7"/>
    <w:rsid w:val="00986E9E"/>
    <w:rsid w:val="009963F7"/>
    <w:rsid w:val="00997675"/>
    <w:rsid w:val="009A1426"/>
    <w:rsid w:val="009A1617"/>
    <w:rsid w:val="009A2D17"/>
    <w:rsid w:val="009B045B"/>
    <w:rsid w:val="009B57B4"/>
    <w:rsid w:val="009B7102"/>
    <w:rsid w:val="009C0218"/>
    <w:rsid w:val="009C0E13"/>
    <w:rsid w:val="009C6828"/>
    <w:rsid w:val="009D0709"/>
    <w:rsid w:val="009D1998"/>
    <w:rsid w:val="009D1C41"/>
    <w:rsid w:val="009D391A"/>
    <w:rsid w:val="009D4BD8"/>
    <w:rsid w:val="009D4D20"/>
    <w:rsid w:val="009D72E8"/>
    <w:rsid w:val="009D7F13"/>
    <w:rsid w:val="009E0F1D"/>
    <w:rsid w:val="009E602F"/>
    <w:rsid w:val="009E74B4"/>
    <w:rsid w:val="009F0445"/>
    <w:rsid w:val="009F1CB6"/>
    <w:rsid w:val="009F1E3B"/>
    <w:rsid w:val="009F425D"/>
    <w:rsid w:val="009F621A"/>
    <w:rsid w:val="00A03847"/>
    <w:rsid w:val="00A044C6"/>
    <w:rsid w:val="00A04728"/>
    <w:rsid w:val="00A06F5B"/>
    <w:rsid w:val="00A11C36"/>
    <w:rsid w:val="00A12EC4"/>
    <w:rsid w:val="00A1495A"/>
    <w:rsid w:val="00A20182"/>
    <w:rsid w:val="00A21F64"/>
    <w:rsid w:val="00A23757"/>
    <w:rsid w:val="00A255D7"/>
    <w:rsid w:val="00A25987"/>
    <w:rsid w:val="00A27544"/>
    <w:rsid w:val="00A302B2"/>
    <w:rsid w:val="00A346AB"/>
    <w:rsid w:val="00A36939"/>
    <w:rsid w:val="00A37932"/>
    <w:rsid w:val="00A418C4"/>
    <w:rsid w:val="00A41FC6"/>
    <w:rsid w:val="00A45CB5"/>
    <w:rsid w:val="00A652C1"/>
    <w:rsid w:val="00A71BFA"/>
    <w:rsid w:val="00A71F91"/>
    <w:rsid w:val="00A74806"/>
    <w:rsid w:val="00A75420"/>
    <w:rsid w:val="00A80969"/>
    <w:rsid w:val="00A82976"/>
    <w:rsid w:val="00A85D15"/>
    <w:rsid w:val="00A860E8"/>
    <w:rsid w:val="00A939F2"/>
    <w:rsid w:val="00A95071"/>
    <w:rsid w:val="00A9557E"/>
    <w:rsid w:val="00AA0939"/>
    <w:rsid w:val="00AA7CE1"/>
    <w:rsid w:val="00AB27BE"/>
    <w:rsid w:val="00AC0803"/>
    <w:rsid w:val="00AC0D1A"/>
    <w:rsid w:val="00AC0E79"/>
    <w:rsid w:val="00AD37B3"/>
    <w:rsid w:val="00AD58E5"/>
    <w:rsid w:val="00AD6647"/>
    <w:rsid w:val="00AE13A5"/>
    <w:rsid w:val="00AE2636"/>
    <w:rsid w:val="00AE56EB"/>
    <w:rsid w:val="00AE76BB"/>
    <w:rsid w:val="00AF29EA"/>
    <w:rsid w:val="00AF3B3F"/>
    <w:rsid w:val="00B00D67"/>
    <w:rsid w:val="00B00D77"/>
    <w:rsid w:val="00B0151F"/>
    <w:rsid w:val="00B02F7D"/>
    <w:rsid w:val="00B07D0F"/>
    <w:rsid w:val="00B1128C"/>
    <w:rsid w:val="00B16134"/>
    <w:rsid w:val="00B200DB"/>
    <w:rsid w:val="00B20B79"/>
    <w:rsid w:val="00B24BC8"/>
    <w:rsid w:val="00B302DB"/>
    <w:rsid w:val="00B320D0"/>
    <w:rsid w:val="00B3337F"/>
    <w:rsid w:val="00B33E68"/>
    <w:rsid w:val="00B345E7"/>
    <w:rsid w:val="00B34B23"/>
    <w:rsid w:val="00B34CFD"/>
    <w:rsid w:val="00B34FAA"/>
    <w:rsid w:val="00B35045"/>
    <w:rsid w:val="00B37CFA"/>
    <w:rsid w:val="00B37DC2"/>
    <w:rsid w:val="00B417CF"/>
    <w:rsid w:val="00B41895"/>
    <w:rsid w:val="00B436F4"/>
    <w:rsid w:val="00B44354"/>
    <w:rsid w:val="00B452D4"/>
    <w:rsid w:val="00B46D3B"/>
    <w:rsid w:val="00B51C60"/>
    <w:rsid w:val="00B544D4"/>
    <w:rsid w:val="00B54536"/>
    <w:rsid w:val="00B556C1"/>
    <w:rsid w:val="00B55BC2"/>
    <w:rsid w:val="00B56750"/>
    <w:rsid w:val="00B57935"/>
    <w:rsid w:val="00B57E4D"/>
    <w:rsid w:val="00B62E3F"/>
    <w:rsid w:val="00B653EB"/>
    <w:rsid w:val="00B75495"/>
    <w:rsid w:val="00B80D90"/>
    <w:rsid w:val="00B8159D"/>
    <w:rsid w:val="00B8709F"/>
    <w:rsid w:val="00B928C6"/>
    <w:rsid w:val="00B93679"/>
    <w:rsid w:val="00B95A59"/>
    <w:rsid w:val="00B9668C"/>
    <w:rsid w:val="00B96CAD"/>
    <w:rsid w:val="00BA280C"/>
    <w:rsid w:val="00BB34B0"/>
    <w:rsid w:val="00BB3DA5"/>
    <w:rsid w:val="00BB4BB5"/>
    <w:rsid w:val="00BD4B9F"/>
    <w:rsid w:val="00BD4D43"/>
    <w:rsid w:val="00BE17A7"/>
    <w:rsid w:val="00BE2529"/>
    <w:rsid w:val="00BE77A2"/>
    <w:rsid w:val="00BF1EFF"/>
    <w:rsid w:val="00BF3290"/>
    <w:rsid w:val="00BF3FA0"/>
    <w:rsid w:val="00BF6EC5"/>
    <w:rsid w:val="00BF7926"/>
    <w:rsid w:val="00BF7E5F"/>
    <w:rsid w:val="00C04585"/>
    <w:rsid w:val="00C1479D"/>
    <w:rsid w:val="00C17A11"/>
    <w:rsid w:val="00C260C5"/>
    <w:rsid w:val="00C27EA9"/>
    <w:rsid w:val="00C33896"/>
    <w:rsid w:val="00C362E6"/>
    <w:rsid w:val="00C36404"/>
    <w:rsid w:val="00C370E3"/>
    <w:rsid w:val="00C47471"/>
    <w:rsid w:val="00C5015D"/>
    <w:rsid w:val="00C514F8"/>
    <w:rsid w:val="00C55EC5"/>
    <w:rsid w:val="00C65403"/>
    <w:rsid w:val="00C70B21"/>
    <w:rsid w:val="00C7414F"/>
    <w:rsid w:val="00C74529"/>
    <w:rsid w:val="00C8643B"/>
    <w:rsid w:val="00C91C4D"/>
    <w:rsid w:val="00C92A7F"/>
    <w:rsid w:val="00C952F3"/>
    <w:rsid w:val="00C96943"/>
    <w:rsid w:val="00C97D6C"/>
    <w:rsid w:val="00CA145C"/>
    <w:rsid w:val="00CA4ECB"/>
    <w:rsid w:val="00CC0197"/>
    <w:rsid w:val="00CC66E1"/>
    <w:rsid w:val="00CD40FC"/>
    <w:rsid w:val="00CD5763"/>
    <w:rsid w:val="00CD5D25"/>
    <w:rsid w:val="00CE17A6"/>
    <w:rsid w:val="00CE33FB"/>
    <w:rsid w:val="00CE39B6"/>
    <w:rsid w:val="00CE56E0"/>
    <w:rsid w:val="00CE570D"/>
    <w:rsid w:val="00CF1C11"/>
    <w:rsid w:val="00D00C7A"/>
    <w:rsid w:val="00D02BFC"/>
    <w:rsid w:val="00D119B9"/>
    <w:rsid w:val="00D13D3D"/>
    <w:rsid w:val="00D14241"/>
    <w:rsid w:val="00D15655"/>
    <w:rsid w:val="00D26575"/>
    <w:rsid w:val="00D26E20"/>
    <w:rsid w:val="00D32C52"/>
    <w:rsid w:val="00D35509"/>
    <w:rsid w:val="00D36DE5"/>
    <w:rsid w:val="00D41027"/>
    <w:rsid w:val="00D42342"/>
    <w:rsid w:val="00D461D3"/>
    <w:rsid w:val="00D515F6"/>
    <w:rsid w:val="00D54B70"/>
    <w:rsid w:val="00D5774C"/>
    <w:rsid w:val="00D612C9"/>
    <w:rsid w:val="00D63ABD"/>
    <w:rsid w:val="00D642F0"/>
    <w:rsid w:val="00D6727D"/>
    <w:rsid w:val="00D715D1"/>
    <w:rsid w:val="00D7322D"/>
    <w:rsid w:val="00D760FB"/>
    <w:rsid w:val="00D7676E"/>
    <w:rsid w:val="00D77E59"/>
    <w:rsid w:val="00D852DF"/>
    <w:rsid w:val="00D90BEC"/>
    <w:rsid w:val="00D9260B"/>
    <w:rsid w:val="00D934CA"/>
    <w:rsid w:val="00DA4680"/>
    <w:rsid w:val="00DA4F9D"/>
    <w:rsid w:val="00DB177E"/>
    <w:rsid w:val="00DB1FF5"/>
    <w:rsid w:val="00DB37AC"/>
    <w:rsid w:val="00DB430A"/>
    <w:rsid w:val="00DB6E6C"/>
    <w:rsid w:val="00DC2031"/>
    <w:rsid w:val="00DC6125"/>
    <w:rsid w:val="00DC65BD"/>
    <w:rsid w:val="00DD0FA1"/>
    <w:rsid w:val="00DE2300"/>
    <w:rsid w:val="00DE3BCB"/>
    <w:rsid w:val="00DE5B7B"/>
    <w:rsid w:val="00DE63F9"/>
    <w:rsid w:val="00DF50BB"/>
    <w:rsid w:val="00E0082B"/>
    <w:rsid w:val="00E07EA8"/>
    <w:rsid w:val="00E12AA0"/>
    <w:rsid w:val="00E13EB0"/>
    <w:rsid w:val="00E143DA"/>
    <w:rsid w:val="00E17899"/>
    <w:rsid w:val="00E2402E"/>
    <w:rsid w:val="00E26B50"/>
    <w:rsid w:val="00E276C9"/>
    <w:rsid w:val="00E279FA"/>
    <w:rsid w:val="00E30797"/>
    <w:rsid w:val="00E30825"/>
    <w:rsid w:val="00E32976"/>
    <w:rsid w:val="00E32A0A"/>
    <w:rsid w:val="00E370BD"/>
    <w:rsid w:val="00E40B30"/>
    <w:rsid w:val="00E41557"/>
    <w:rsid w:val="00E43C27"/>
    <w:rsid w:val="00E45CBF"/>
    <w:rsid w:val="00E46EFF"/>
    <w:rsid w:val="00E571F5"/>
    <w:rsid w:val="00E5734D"/>
    <w:rsid w:val="00E603D3"/>
    <w:rsid w:val="00E60A56"/>
    <w:rsid w:val="00E669D2"/>
    <w:rsid w:val="00E67666"/>
    <w:rsid w:val="00E67AB7"/>
    <w:rsid w:val="00E71D86"/>
    <w:rsid w:val="00E75F95"/>
    <w:rsid w:val="00E7696B"/>
    <w:rsid w:val="00E820CB"/>
    <w:rsid w:val="00E832E8"/>
    <w:rsid w:val="00E84A14"/>
    <w:rsid w:val="00E85EBD"/>
    <w:rsid w:val="00E864F3"/>
    <w:rsid w:val="00E913CC"/>
    <w:rsid w:val="00E950AD"/>
    <w:rsid w:val="00EA2C2D"/>
    <w:rsid w:val="00EA3DEB"/>
    <w:rsid w:val="00EA54D8"/>
    <w:rsid w:val="00EA5E90"/>
    <w:rsid w:val="00EA633F"/>
    <w:rsid w:val="00EA6A6C"/>
    <w:rsid w:val="00EA78F5"/>
    <w:rsid w:val="00EB01DB"/>
    <w:rsid w:val="00EB0C87"/>
    <w:rsid w:val="00EB4BFD"/>
    <w:rsid w:val="00EC50F9"/>
    <w:rsid w:val="00EC6124"/>
    <w:rsid w:val="00ED1051"/>
    <w:rsid w:val="00ED1758"/>
    <w:rsid w:val="00ED2B99"/>
    <w:rsid w:val="00ED77DC"/>
    <w:rsid w:val="00ED7A89"/>
    <w:rsid w:val="00EF376D"/>
    <w:rsid w:val="00EF3EDE"/>
    <w:rsid w:val="00EF52D9"/>
    <w:rsid w:val="00EF5799"/>
    <w:rsid w:val="00F01593"/>
    <w:rsid w:val="00F037A0"/>
    <w:rsid w:val="00F20470"/>
    <w:rsid w:val="00F21E1F"/>
    <w:rsid w:val="00F24C7A"/>
    <w:rsid w:val="00F30351"/>
    <w:rsid w:val="00F31D2D"/>
    <w:rsid w:val="00F33587"/>
    <w:rsid w:val="00F34414"/>
    <w:rsid w:val="00F3657E"/>
    <w:rsid w:val="00F42773"/>
    <w:rsid w:val="00F467B5"/>
    <w:rsid w:val="00F46E13"/>
    <w:rsid w:val="00F51D59"/>
    <w:rsid w:val="00F52AF3"/>
    <w:rsid w:val="00F54063"/>
    <w:rsid w:val="00F54AC5"/>
    <w:rsid w:val="00F54D37"/>
    <w:rsid w:val="00F553F8"/>
    <w:rsid w:val="00F62D89"/>
    <w:rsid w:val="00F638D8"/>
    <w:rsid w:val="00F638FC"/>
    <w:rsid w:val="00F66D86"/>
    <w:rsid w:val="00F706E8"/>
    <w:rsid w:val="00F722C1"/>
    <w:rsid w:val="00F74830"/>
    <w:rsid w:val="00F7497C"/>
    <w:rsid w:val="00F82322"/>
    <w:rsid w:val="00F91D01"/>
    <w:rsid w:val="00F94043"/>
    <w:rsid w:val="00F9749C"/>
    <w:rsid w:val="00FA44DC"/>
    <w:rsid w:val="00FA5361"/>
    <w:rsid w:val="00FA7F1D"/>
    <w:rsid w:val="00FB0404"/>
    <w:rsid w:val="00FB0FE7"/>
    <w:rsid w:val="00FB4404"/>
    <w:rsid w:val="00FB4BD1"/>
    <w:rsid w:val="00FB54F4"/>
    <w:rsid w:val="00FB64F3"/>
    <w:rsid w:val="00FC39F7"/>
    <w:rsid w:val="00FC4827"/>
    <w:rsid w:val="00FC614D"/>
    <w:rsid w:val="00FD04EE"/>
    <w:rsid w:val="00FD052A"/>
    <w:rsid w:val="00FD4A6B"/>
    <w:rsid w:val="00FD5254"/>
    <w:rsid w:val="00FD673A"/>
    <w:rsid w:val="00FD6A27"/>
    <w:rsid w:val="00FE4E65"/>
    <w:rsid w:val="00FF241E"/>
    <w:rsid w:val="00FF252A"/>
    <w:rsid w:val="00FF254A"/>
    <w:rsid w:val="00FF276D"/>
    <w:rsid w:val="00FF42B2"/>
    <w:rsid w:val="00FF4DF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semiHidden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  <w:style w:type="character" w:styleId="Hyperlink">
    <w:name w:val="Hyperlink"/>
    <w:basedOn w:val="DefaultParagraphFont"/>
    <w:uiPriority w:val="99"/>
    <w:unhideWhenUsed/>
    <w:rsid w:val="006A1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12EB-278B-4606-9CB2-BF4D15FF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8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uzma8889</dc:creator>
  <cp:lastModifiedBy>muhammad irfan</cp:lastModifiedBy>
  <cp:revision>69</cp:revision>
  <cp:lastPrinted>2014-02-13T06:04:00Z</cp:lastPrinted>
  <dcterms:created xsi:type="dcterms:W3CDTF">2013-03-29T09:44:00Z</dcterms:created>
  <dcterms:modified xsi:type="dcterms:W3CDTF">2014-02-27T04:55:00Z</dcterms:modified>
</cp:coreProperties>
</file>