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6B" w:rsidRPr="005B1C6B" w:rsidRDefault="00B271BC" w:rsidP="00CC5FEF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107D6A">
        <w:rPr>
          <w:rFonts w:cs="Arial"/>
          <w:b/>
          <w:sz w:val="28"/>
          <w:szCs w:val="28"/>
          <w:u w:val="single"/>
        </w:rPr>
        <w:t>Record Note</w:t>
      </w:r>
      <w:r w:rsidR="00FE1768">
        <w:rPr>
          <w:rFonts w:cs="Arial"/>
          <w:b/>
          <w:sz w:val="28"/>
          <w:szCs w:val="28"/>
          <w:u w:val="single"/>
        </w:rPr>
        <w:t xml:space="preserve"> </w:t>
      </w:r>
      <w:r w:rsidR="00107D6A">
        <w:rPr>
          <w:rFonts w:cs="Arial"/>
          <w:b/>
          <w:sz w:val="28"/>
          <w:szCs w:val="28"/>
          <w:u w:val="single"/>
        </w:rPr>
        <w:t>for</w:t>
      </w:r>
      <w:r w:rsidR="005B1C6B">
        <w:rPr>
          <w:rFonts w:cs="Arial"/>
          <w:b/>
          <w:sz w:val="28"/>
          <w:szCs w:val="28"/>
          <w:u w:val="single"/>
        </w:rPr>
        <w:t xml:space="preserve"> </w:t>
      </w:r>
      <w:r w:rsidR="00CC5FEF">
        <w:rPr>
          <w:rFonts w:cs="Arial"/>
          <w:b/>
          <w:bCs/>
          <w:sz w:val="28"/>
          <w:szCs w:val="28"/>
          <w:u w:val="single"/>
        </w:rPr>
        <w:t>1</w:t>
      </w:r>
      <w:r w:rsidR="004022EA">
        <w:rPr>
          <w:rFonts w:cs="Arial"/>
          <w:b/>
          <w:bCs/>
          <w:sz w:val="28"/>
          <w:szCs w:val="28"/>
          <w:u w:val="single"/>
          <w:vertAlign w:val="superscript"/>
        </w:rPr>
        <w:t>st</w:t>
      </w:r>
      <w:r w:rsidR="00CC5FEF">
        <w:rPr>
          <w:rFonts w:cs="Arial"/>
          <w:b/>
          <w:bCs/>
          <w:sz w:val="28"/>
          <w:szCs w:val="28"/>
          <w:u w:val="single"/>
        </w:rPr>
        <w:t xml:space="preserve"> </w:t>
      </w:r>
      <w:r w:rsidR="005B1C6B" w:rsidRPr="005B1C6B">
        <w:rPr>
          <w:rFonts w:cs="Arial"/>
          <w:b/>
          <w:bCs/>
          <w:sz w:val="28"/>
          <w:szCs w:val="28"/>
          <w:u w:val="single"/>
          <w:vertAlign w:val="superscript"/>
        </w:rPr>
        <w:t xml:space="preserve"> </w:t>
      </w:r>
      <w:r w:rsidR="005B1C6B" w:rsidRPr="005B1C6B">
        <w:rPr>
          <w:rFonts w:cs="Arial"/>
          <w:b/>
          <w:bCs/>
          <w:sz w:val="28"/>
          <w:szCs w:val="28"/>
          <w:u w:val="single"/>
        </w:rPr>
        <w:t>Biannual Meeting of Regional Focus Group</w:t>
      </w:r>
    </w:p>
    <w:p w:rsidR="006D26E8" w:rsidRPr="009517D8" w:rsidRDefault="005B1C6B" w:rsidP="005B3E7E">
      <w:pPr>
        <w:jc w:val="center"/>
        <w:rPr>
          <w:rFonts w:cs="Arial"/>
          <w:b/>
          <w:sz w:val="28"/>
          <w:szCs w:val="28"/>
          <w:u w:val="single"/>
        </w:rPr>
      </w:pPr>
      <w:r w:rsidRPr="005B1C6B">
        <w:rPr>
          <w:rFonts w:cs="Arial"/>
          <w:b/>
          <w:bCs/>
          <w:sz w:val="28"/>
          <w:szCs w:val="28"/>
          <w:u w:val="single"/>
        </w:rPr>
        <w:t xml:space="preserve">For </w:t>
      </w:r>
      <w:r w:rsidR="005B3E7E">
        <w:rPr>
          <w:rFonts w:cs="Arial"/>
          <w:b/>
          <w:bCs/>
          <w:sz w:val="28"/>
          <w:szCs w:val="28"/>
          <w:u w:val="single"/>
        </w:rPr>
        <w:t>Microfinance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5845"/>
      </w:tblGrid>
      <w:tr w:rsidR="00B271BC" w:rsidRPr="00B271BC" w:rsidTr="00311B8E">
        <w:trPr>
          <w:trHeight w:val="315"/>
          <w:jc w:val="center"/>
        </w:trPr>
        <w:tc>
          <w:tcPr>
            <w:tcW w:w="3505" w:type="dxa"/>
            <w:vAlign w:val="center"/>
            <w:hideMark/>
          </w:tcPr>
          <w:p w:rsidR="00B271BC" w:rsidRPr="00B271BC" w:rsidRDefault="00B271BC" w:rsidP="0045689E">
            <w:pPr>
              <w:rPr>
                <w:b/>
                <w:bCs/>
              </w:rPr>
            </w:pPr>
            <w:r w:rsidRPr="00B271BC">
              <w:rPr>
                <w:b/>
                <w:bCs/>
              </w:rPr>
              <w:t>Name of BSC Office:</w:t>
            </w:r>
          </w:p>
        </w:tc>
        <w:tc>
          <w:tcPr>
            <w:tcW w:w="5845" w:type="dxa"/>
            <w:vAlign w:val="center"/>
            <w:hideMark/>
          </w:tcPr>
          <w:p w:rsidR="00B271BC" w:rsidRPr="00B271BC" w:rsidRDefault="00106933" w:rsidP="00620E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SBP BSC </w:t>
            </w:r>
            <w:r w:rsidR="00620E38">
              <w:rPr>
                <w:i/>
                <w:iCs/>
              </w:rPr>
              <w:t>FAISALABAD</w:t>
            </w:r>
          </w:p>
        </w:tc>
      </w:tr>
      <w:tr w:rsidR="00D07A4D" w:rsidRPr="00B271BC" w:rsidTr="00311B8E">
        <w:trPr>
          <w:trHeight w:val="305"/>
          <w:jc w:val="center"/>
        </w:trPr>
        <w:tc>
          <w:tcPr>
            <w:tcW w:w="3505" w:type="dxa"/>
            <w:vAlign w:val="center"/>
          </w:tcPr>
          <w:p w:rsidR="00D07A4D" w:rsidRDefault="00D07A4D" w:rsidP="00D07A4D">
            <w:pPr>
              <w:rPr>
                <w:b/>
                <w:bCs/>
              </w:rPr>
            </w:pPr>
            <w:r>
              <w:rPr>
                <w:b/>
                <w:bCs/>
              </w:rPr>
              <w:t>Event Category:</w:t>
            </w:r>
          </w:p>
        </w:tc>
        <w:tc>
          <w:tcPr>
            <w:tcW w:w="5845" w:type="dxa"/>
            <w:vAlign w:val="center"/>
          </w:tcPr>
          <w:p w:rsidR="00D07A4D" w:rsidRDefault="005B1C6B">
            <w:pPr>
              <w:rPr>
                <w:i/>
                <w:iCs/>
              </w:rPr>
            </w:pPr>
            <w:r>
              <w:rPr>
                <w:i/>
                <w:iCs/>
              </w:rPr>
              <w:t>Focus Group Meeting</w:t>
            </w:r>
            <w:r w:rsidR="00224549">
              <w:rPr>
                <w:i/>
                <w:iCs/>
              </w:rPr>
              <w:t xml:space="preserve"> (Online via Zoom)</w:t>
            </w:r>
          </w:p>
        </w:tc>
      </w:tr>
      <w:tr w:rsidR="00D43797" w:rsidRPr="00B271BC" w:rsidTr="00311B8E">
        <w:trPr>
          <w:trHeight w:val="260"/>
          <w:jc w:val="center"/>
        </w:trPr>
        <w:tc>
          <w:tcPr>
            <w:tcW w:w="3505" w:type="dxa"/>
            <w:vAlign w:val="center"/>
          </w:tcPr>
          <w:p w:rsidR="00D43797" w:rsidRDefault="00D07A4D">
            <w:pPr>
              <w:rPr>
                <w:b/>
                <w:bCs/>
              </w:rPr>
            </w:pPr>
            <w:r>
              <w:rPr>
                <w:b/>
                <w:bCs/>
              </w:rPr>
              <w:t>Program Title</w:t>
            </w:r>
            <w:r w:rsidR="00D43797">
              <w:rPr>
                <w:b/>
                <w:bCs/>
              </w:rPr>
              <w:t>:</w:t>
            </w:r>
          </w:p>
        </w:tc>
        <w:tc>
          <w:tcPr>
            <w:tcW w:w="5845" w:type="dxa"/>
            <w:vAlign w:val="center"/>
          </w:tcPr>
          <w:p w:rsidR="005B1C6B" w:rsidRPr="005B1C6B" w:rsidRDefault="00CF01F4" w:rsidP="005B1C6B">
            <w:r>
              <w:t xml:space="preserve">Online </w:t>
            </w:r>
            <w:r w:rsidR="00CC5FEF">
              <w:t>1</w:t>
            </w:r>
            <w:r w:rsidR="00CC5FEF">
              <w:rPr>
                <w:vertAlign w:val="superscript"/>
              </w:rPr>
              <w:t>st</w:t>
            </w:r>
            <w:r w:rsidR="005B1C6B" w:rsidRPr="005B1C6B">
              <w:rPr>
                <w:vertAlign w:val="superscript"/>
              </w:rPr>
              <w:t xml:space="preserve"> </w:t>
            </w:r>
            <w:r w:rsidR="005B1C6B" w:rsidRPr="005B1C6B">
              <w:t>Biannual Meeting of Regional Focus Group</w:t>
            </w:r>
          </w:p>
          <w:p w:rsidR="005B1C6B" w:rsidRPr="005B1C6B" w:rsidRDefault="005B1C6B" w:rsidP="005B3E7E">
            <w:r w:rsidRPr="005B1C6B">
              <w:t xml:space="preserve">For </w:t>
            </w:r>
            <w:r w:rsidR="005B3E7E">
              <w:t>Microfinance</w:t>
            </w:r>
          </w:p>
          <w:p w:rsidR="00D43797" w:rsidRPr="00B271BC" w:rsidRDefault="00D43797">
            <w:pPr>
              <w:rPr>
                <w:i/>
                <w:iCs/>
              </w:rPr>
            </w:pPr>
          </w:p>
        </w:tc>
      </w:tr>
      <w:tr w:rsidR="00414B2F" w:rsidRPr="00B271BC" w:rsidTr="00311B8E">
        <w:trPr>
          <w:trHeight w:val="315"/>
          <w:jc w:val="center"/>
        </w:trPr>
        <w:tc>
          <w:tcPr>
            <w:tcW w:w="3505" w:type="dxa"/>
            <w:vAlign w:val="center"/>
            <w:hideMark/>
          </w:tcPr>
          <w:p w:rsidR="00414B2F" w:rsidRPr="00B271BC" w:rsidRDefault="00414B2F" w:rsidP="005B1C6B">
            <w:pPr>
              <w:rPr>
                <w:b/>
                <w:bCs/>
              </w:rPr>
            </w:pPr>
            <w:r>
              <w:rPr>
                <w:b/>
                <w:bCs/>
              </w:rPr>
              <w:t>Main Responsibility &amp; Cluster (Name of Organizing Association)</w:t>
            </w:r>
          </w:p>
        </w:tc>
        <w:tc>
          <w:tcPr>
            <w:tcW w:w="5845" w:type="dxa"/>
            <w:vAlign w:val="center"/>
            <w:hideMark/>
          </w:tcPr>
          <w:p w:rsidR="00414B2F" w:rsidRPr="00B271BC" w:rsidRDefault="00106933" w:rsidP="005B1C6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Program was arranged by SBP BSC </w:t>
            </w:r>
            <w:r w:rsidR="00620E38">
              <w:rPr>
                <w:i/>
                <w:iCs/>
              </w:rPr>
              <w:t xml:space="preserve">Faisalabad </w:t>
            </w:r>
          </w:p>
        </w:tc>
      </w:tr>
      <w:tr w:rsidR="00B271BC" w:rsidRPr="00B271BC" w:rsidTr="00311B8E">
        <w:trPr>
          <w:trHeight w:val="315"/>
          <w:jc w:val="center"/>
        </w:trPr>
        <w:tc>
          <w:tcPr>
            <w:tcW w:w="3505" w:type="dxa"/>
            <w:vAlign w:val="center"/>
            <w:hideMark/>
          </w:tcPr>
          <w:p w:rsidR="00B271BC" w:rsidRPr="00B271BC" w:rsidRDefault="00414B2F" w:rsidP="00510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  <w:r w:rsidR="00B271BC" w:rsidRPr="00B271BC">
              <w:rPr>
                <w:b/>
                <w:bCs/>
              </w:rPr>
              <w:t xml:space="preserve">Date: </w:t>
            </w:r>
          </w:p>
        </w:tc>
        <w:tc>
          <w:tcPr>
            <w:tcW w:w="5845" w:type="dxa"/>
            <w:vAlign w:val="center"/>
            <w:hideMark/>
          </w:tcPr>
          <w:p w:rsidR="00B271BC" w:rsidRPr="00B271BC" w:rsidRDefault="00DF5877" w:rsidP="005B3E7E">
            <w:pPr>
              <w:rPr>
                <w:i/>
                <w:iCs/>
              </w:rPr>
            </w:pPr>
            <w:r>
              <w:rPr>
                <w:i/>
                <w:iCs/>
              </w:rPr>
              <w:t>February 08</w:t>
            </w:r>
            <w:r w:rsidR="005B3E7E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2022</w:t>
            </w:r>
          </w:p>
        </w:tc>
      </w:tr>
      <w:tr w:rsidR="00B271BC" w:rsidRPr="00B271BC" w:rsidTr="00311B8E">
        <w:trPr>
          <w:trHeight w:val="323"/>
          <w:jc w:val="center"/>
        </w:trPr>
        <w:tc>
          <w:tcPr>
            <w:tcW w:w="3505" w:type="dxa"/>
            <w:vAlign w:val="center"/>
            <w:hideMark/>
          </w:tcPr>
          <w:p w:rsidR="00B271BC" w:rsidRPr="00B271BC" w:rsidRDefault="00414B2F" w:rsidP="00510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  <w:r w:rsidR="00B271BC" w:rsidRPr="00B271BC">
              <w:rPr>
                <w:b/>
                <w:bCs/>
              </w:rPr>
              <w:t xml:space="preserve">Time: </w:t>
            </w:r>
          </w:p>
        </w:tc>
        <w:tc>
          <w:tcPr>
            <w:tcW w:w="5845" w:type="dxa"/>
            <w:vAlign w:val="center"/>
            <w:hideMark/>
          </w:tcPr>
          <w:p w:rsidR="00B271BC" w:rsidRPr="00B271BC" w:rsidRDefault="00C34B98" w:rsidP="00840DCA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1B3675">
              <w:rPr>
                <w:i/>
                <w:iCs/>
              </w:rPr>
              <w:t>:</w:t>
            </w:r>
            <w:r w:rsidR="00AD3388">
              <w:rPr>
                <w:i/>
                <w:iCs/>
              </w:rPr>
              <w:t>00</w:t>
            </w:r>
            <w:r w:rsidR="006A68C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AM</w:t>
            </w:r>
            <w:r w:rsidR="00EB3505" w:rsidRPr="003C1919">
              <w:rPr>
                <w:i/>
                <w:iCs/>
              </w:rPr>
              <w:t xml:space="preserve"> </w:t>
            </w:r>
            <w:r w:rsidR="0009471E">
              <w:rPr>
                <w:i/>
                <w:iCs/>
              </w:rPr>
              <w:t>–</w:t>
            </w:r>
            <w:r w:rsidR="001B367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12:30</w:t>
            </w:r>
            <w:r w:rsidR="006A68C3">
              <w:rPr>
                <w:i/>
                <w:iCs/>
              </w:rPr>
              <w:t xml:space="preserve"> PM</w:t>
            </w:r>
          </w:p>
        </w:tc>
      </w:tr>
      <w:tr w:rsidR="00B271BC" w:rsidRPr="00B271BC" w:rsidTr="00311B8E">
        <w:trPr>
          <w:trHeight w:val="305"/>
          <w:jc w:val="center"/>
        </w:trPr>
        <w:tc>
          <w:tcPr>
            <w:tcW w:w="3505" w:type="dxa"/>
            <w:vAlign w:val="center"/>
            <w:hideMark/>
          </w:tcPr>
          <w:p w:rsidR="00B271BC" w:rsidRPr="00B271BC" w:rsidRDefault="00414B2F" w:rsidP="00510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  <w:r w:rsidR="00C75544">
              <w:rPr>
                <w:b/>
                <w:bCs/>
              </w:rPr>
              <w:t>Location (Venue &amp;</w:t>
            </w:r>
            <w:r w:rsidR="00B271BC" w:rsidRPr="00B271BC">
              <w:rPr>
                <w:b/>
                <w:bCs/>
              </w:rPr>
              <w:t xml:space="preserve"> City): </w:t>
            </w:r>
          </w:p>
        </w:tc>
        <w:tc>
          <w:tcPr>
            <w:tcW w:w="5845" w:type="dxa"/>
            <w:vAlign w:val="center"/>
            <w:hideMark/>
          </w:tcPr>
          <w:p w:rsidR="00B271BC" w:rsidRPr="00B271BC" w:rsidRDefault="00840DCA" w:rsidP="00620E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Via Zoom Application, </w:t>
            </w:r>
            <w:r w:rsidR="008C49C0">
              <w:rPr>
                <w:i/>
                <w:iCs/>
              </w:rPr>
              <w:t xml:space="preserve">SBPBSC Bank Faisalabad </w:t>
            </w:r>
          </w:p>
        </w:tc>
      </w:tr>
      <w:tr w:rsidR="00B271BC" w:rsidRPr="00B271BC" w:rsidTr="00311B8E">
        <w:trPr>
          <w:trHeight w:val="260"/>
          <w:jc w:val="center"/>
        </w:trPr>
        <w:tc>
          <w:tcPr>
            <w:tcW w:w="3505" w:type="dxa"/>
            <w:vAlign w:val="center"/>
            <w:hideMark/>
          </w:tcPr>
          <w:p w:rsidR="00B271BC" w:rsidRPr="00B271BC" w:rsidRDefault="00B271BC" w:rsidP="0051018C">
            <w:pPr>
              <w:rPr>
                <w:b/>
                <w:bCs/>
              </w:rPr>
            </w:pPr>
            <w:r w:rsidRPr="00B271BC">
              <w:rPr>
                <w:b/>
                <w:bCs/>
              </w:rPr>
              <w:t>Present</w:t>
            </w:r>
            <w:r w:rsidR="0051018C">
              <w:rPr>
                <w:b/>
                <w:bCs/>
              </w:rPr>
              <w:t>ations ma</w:t>
            </w:r>
            <w:r w:rsidRPr="00B271BC">
              <w:rPr>
                <w:b/>
                <w:bCs/>
              </w:rPr>
              <w:t>d</w:t>
            </w:r>
            <w:r w:rsidR="0051018C">
              <w:rPr>
                <w:b/>
                <w:bCs/>
              </w:rPr>
              <w:t>e</w:t>
            </w:r>
            <w:r w:rsidRPr="00B271BC">
              <w:rPr>
                <w:b/>
                <w:bCs/>
              </w:rPr>
              <w:t xml:space="preserve"> By:</w:t>
            </w:r>
          </w:p>
        </w:tc>
        <w:tc>
          <w:tcPr>
            <w:tcW w:w="5845" w:type="dxa"/>
            <w:vAlign w:val="center"/>
            <w:hideMark/>
          </w:tcPr>
          <w:p w:rsidR="00B271BC" w:rsidRDefault="00840DCA" w:rsidP="00840DCA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AFU Officials, SBP BSC Faisalabad</w:t>
            </w:r>
          </w:p>
          <w:p w:rsidR="00840DCA" w:rsidRPr="00840DCA" w:rsidRDefault="00840DCA" w:rsidP="00840DCA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Regional Heads of Banks</w:t>
            </w:r>
          </w:p>
        </w:tc>
      </w:tr>
      <w:tr w:rsidR="00B271BC" w:rsidRPr="00B271BC" w:rsidTr="00311B8E">
        <w:trPr>
          <w:trHeight w:val="278"/>
          <w:jc w:val="center"/>
        </w:trPr>
        <w:tc>
          <w:tcPr>
            <w:tcW w:w="3505" w:type="dxa"/>
            <w:vAlign w:val="center"/>
            <w:hideMark/>
          </w:tcPr>
          <w:p w:rsidR="00B271BC" w:rsidRPr="00B271BC" w:rsidRDefault="009D7AB7" w:rsidP="0045689E">
            <w:pPr>
              <w:rPr>
                <w:b/>
                <w:bCs/>
              </w:rPr>
            </w:pPr>
            <w:r>
              <w:rPr>
                <w:b/>
                <w:bCs/>
              </w:rPr>
              <w:t>Total no. of participants:</w:t>
            </w:r>
            <w:r w:rsidR="00B271BC" w:rsidRPr="00B271BC">
              <w:rPr>
                <w:b/>
                <w:bCs/>
              </w:rPr>
              <w:t xml:space="preserve"> </w:t>
            </w:r>
          </w:p>
        </w:tc>
        <w:tc>
          <w:tcPr>
            <w:tcW w:w="5845" w:type="dxa"/>
            <w:vAlign w:val="center"/>
            <w:hideMark/>
          </w:tcPr>
          <w:p w:rsidR="00B271BC" w:rsidRPr="00B271BC" w:rsidRDefault="00CB228D" w:rsidP="001A5D08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B271BC" w:rsidRPr="00B271BC" w:rsidTr="00311B8E">
        <w:trPr>
          <w:trHeight w:val="332"/>
          <w:jc w:val="center"/>
        </w:trPr>
        <w:tc>
          <w:tcPr>
            <w:tcW w:w="9350" w:type="dxa"/>
            <w:gridSpan w:val="2"/>
            <w:vAlign w:val="center"/>
            <w:hideMark/>
          </w:tcPr>
          <w:p w:rsidR="00B271BC" w:rsidRPr="0037579C" w:rsidRDefault="00EB3505" w:rsidP="0045689E">
            <w:pPr>
              <w:rPr>
                <w:b/>
                <w:bCs/>
              </w:rPr>
            </w:pPr>
            <w:r>
              <w:rPr>
                <w:b/>
                <w:bCs/>
              </w:rPr>
              <w:t>Summary of Discussion</w:t>
            </w:r>
            <w:r w:rsidR="0037579C" w:rsidRPr="0037579C">
              <w:rPr>
                <w:b/>
                <w:bCs/>
              </w:rPr>
              <w:t>:</w:t>
            </w:r>
          </w:p>
        </w:tc>
      </w:tr>
      <w:tr w:rsidR="00B271BC" w:rsidRPr="00B271BC" w:rsidTr="00311B8E">
        <w:trPr>
          <w:trHeight w:val="638"/>
          <w:jc w:val="center"/>
        </w:trPr>
        <w:tc>
          <w:tcPr>
            <w:tcW w:w="9350" w:type="dxa"/>
            <w:gridSpan w:val="2"/>
            <w:hideMark/>
          </w:tcPr>
          <w:p w:rsidR="00224549" w:rsidRDefault="00224549" w:rsidP="0022454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9648D" w:rsidRPr="00224549" w:rsidRDefault="003912F3" w:rsidP="00462CB1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Proceedings of the session commenced with </w:t>
            </w:r>
            <w:r w:rsidR="00462C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Tilawat e Quran e Pak</w:t>
            </w:r>
            <w:r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224549" w:rsidRDefault="00224549" w:rsidP="0022454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B3E7E" w:rsidRDefault="003912F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Mr. </w:t>
            </w:r>
            <w:r w:rsidR="00224549"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Sarfraz Ahmed Na</w:t>
            </w:r>
            <w:r w:rsidR="004574A3"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deem</w:t>
            </w:r>
            <w:r w:rsidR="00E63C1E"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0D6A7D"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Chief Manager</w:t>
            </w:r>
            <w:r w:rsidR="00462CB1"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SBP BSC </w:t>
            </w:r>
            <w:r w:rsidR="00620E38" w:rsidRPr="005214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Faisalabad</w:t>
            </w:r>
            <w:r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his welcome address highlighted the importance and key role </w:t>
            </w:r>
            <w:r w:rsidR="00945983"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 </w:t>
            </w:r>
            <w:r w:rsidR="005B3E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Microfinance and Microfinance Banks in our economy</w:t>
            </w:r>
            <w:r w:rsidR="00945983"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DF58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special focus was given to Banking on Equality policy, relaxation for classification of loans and updation of Prudential Regulations</w:t>
            </w:r>
            <w:r w:rsidR="00BF0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microfinance banks.</w:t>
            </w:r>
            <w:r w:rsidR="00DF58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45983"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B3E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his discussion, he devised post COVID-19 scenario in our region and asked Microfinance Banks to observe process of collection </w:t>
            </w:r>
            <w:r w:rsidR="00462C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with due </w:t>
            </w:r>
            <w:r w:rsidR="005B3E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norms of the sector in order to revamp financing portfolio of respective banks. </w:t>
            </w:r>
            <w:r w:rsidR="00BF0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conclusion participants were encouraged to provide real time feedback for policy updation.</w:t>
            </w:r>
          </w:p>
          <w:p w:rsidR="004574A3" w:rsidRPr="00224549" w:rsidRDefault="004574A3" w:rsidP="0022454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574A3" w:rsidRPr="00224549" w:rsidRDefault="00BF0EF5" w:rsidP="002B272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After this, </w:t>
            </w:r>
            <w:r w:rsidRPr="00A16E5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Mr. Tahir Abbas, ACM-AFU</w:t>
            </w:r>
            <w:r w:rsidR="004574A3" w:rsidRPr="00A16E5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 SBP BSC Faisalabad</w:t>
            </w:r>
            <w:r w:rsidR="004574A3"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B3E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carried on discussion of agenda points submitted by Banks earlier and the responses of DFSD and State Bank respectively. </w:t>
            </w:r>
          </w:p>
          <w:p w:rsidR="004574A3" w:rsidRPr="00224549" w:rsidRDefault="004574A3" w:rsidP="0022454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574A3" w:rsidRPr="00224549" w:rsidRDefault="002B2722" w:rsidP="00224549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</w:t>
            </w:r>
            <w:r w:rsidR="004574A3"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in pursuance to procession of the meeting, discussed one by one agenda point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4574A3"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/issues/suggestions with Regional Heads of different banks.</w:t>
            </w:r>
            <w:r w:rsidR="004574A3" w:rsidRPr="0022454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4574A3" w:rsidRPr="00224549" w:rsidRDefault="004574A3" w:rsidP="00224549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="004574A3" w:rsidRDefault="004574A3" w:rsidP="0022454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245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Some highlights are as following: </w:t>
            </w:r>
          </w:p>
          <w:p w:rsidR="006E0FCD" w:rsidRPr="00224549" w:rsidRDefault="006E0FCD" w:rsidP="0022454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4574A3" w:rsidRPr="00752356" w:rsidRDefault="006A26DB" w:rsidP="00BF0EF5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FINCA Microfinance Bank Limited. has submitted </w:t>
            </w:r>
            <w:proofErr w:type="spellStart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it’s</w:t>
            </w:r>
            <w:proofErr w:type="spellEnd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point regarding </w:t>
            </w:r>
            <w:r w:rsidR="00BF0EF5" w:rsidRPr="00752356">
              <w:rPr>
                <w:rFonts w:eastAsia="Calibri"/>
                <w:bCs/>
                <w:i/>
                <w:iCs/>
                <w:color w:val="auto"/>
                <w:sz w:val="18"/>
                <w:szCs w:val="18"/>
              </w:rPr>
              <w:t>Increasing Trends of stay Orders and Legal Cases.</w:t>
            </w: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which was addressed by </w:t>
            </w:r>
            <w:r w:rsidR="00BF0EF5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suggesting various options i.e. to</w:t>
            </w: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F0EF5" w:rsidRPr="00752356">
              <w:rPr>
                <w:rFonts w:asciiTheme="minorHAnsi" w:hAnsiTheme="minorHAnsi" w:cs="Times New Roman"/>
                <w:bCs/>
                <w:i/>
                <w:iCs/>
                <w:color w:val="auto"/>
                <w:sz w:val="18"/>
                <w:szCs w:val="18"/>
              </w:rPr>
              <w:t>review its recovery strategy, so that less no of borrowers opt for court proceedings.</w:t>
            </w:r>
          </w:p>
          <w:p w:rsidR="006A26DB" w:rsidRPr="00752356" w:rsidRDefault="006A26DB" w:rsidP="00E86D65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FINCA Microfinance Bank Limited. </w:t>
            </w:r>
            <w:proofErr w:type="gramStart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has</w:t>
            </w:r>
            <w:proofErr w:type="gramEnd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submitted </w:t>
            </w:r>
            <w:r w:rsidR="00E86D65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another</w:t>
            </w: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point regarding </w:t>
            </w:r>
            <w:r w:rsidR="008042D3" w:rsidRPr="00752356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Poor Trends of collection particularly of the portfolio deferment and restructured cases. It was responded as</w:t>
            </w:r>
            <w:r w:rsidR="008042D3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042D3" w:rsidRPr="00752356">
              <w:rPr>
                <w:rFonts w:eastAsia="Calibri" w:cs="Times New Roman"/>
                <w:i/>
                <w:iCs/>
                <w:color w:val="auto"/>
                <w:sz w:val="18"/>
                <w:szCs w:val="18"/>
              </w:rPr>
              <w:t>SBP is closely monitoring the situation in collaboration with the MFBs and the larger industry. Where necessary, relaxations deemed are being awarded.</w:t>
            </w:r>
            <w:r w:rsidR="00E86D65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86D65" w:rsidRPr="00752356" w:rsidRDefault="00E86D65" w:rsidP="0022454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FINCA Microfinance Bank Limited. </w:t>
            </w:r>
            <w:proofErr w:type="gramStart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has</w:t>
            </w:r>
            <w:proofErr w:type="gramEnd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also submitted their</w:t>
            </w:r>
            <w:r w:rsidR="008042D3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point on </w:t>
            </w: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042D3" w:rsidRPr="00752356">
              <w:rPr>
                <w:rFonts w:eastAsia="Calibri"/>
                <w:bCs/>
                <w:i/>
                <w:iCs/>
                <w:color w:val="auto"/>
                <w:sz w:val="18"/>
                <w:szCs w:val="18"/>
              </w:rPr>
              <w:t xml:space="preserve">Collection and recovery challenges against Agriculture Portfolio. It was responded as </w:t>
            </w:r>
            <w:r w:rsidR="008042D3" w:rsidRPr="00752356">
              <w:rPr>
                <w:rFonts w:eastAsia="Calibri" w:cs="Times New Roman"/>
                <w:i/>
                <w:iCs/>
                <w:color w:val="auto"/>
                <w:sz w:val="18"/>
                <w:szCs w:val="18"/>
              </w:rPr>
              <w:t>MFBs should focus to revisit and alter their product offering besides credit underwriting standards. This will not only improve the overall portfolio quality, but will also make recovery easy.</w:t>
            </w:r>
          </w:p>
          <w:p w:rsidR="00E86D65" w:rsidRPr="00752356" w:rsidRDefault="008042D3" w:rsidP="008042D3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Khushhali</w:t>
            </w:r>
            <w:proofErr w:type="spellEnd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Bank. </w:t>
            </w:r>
            <w:proofErr w:type="gramStart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had</w:t>
            </w:r>
            <w:proofErr w:type="gramEnd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asked to refer the cases to special courts instead of ordinary courts</w:t>
            </w:r>
            <w:r w:rsidR="00E86D65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As this does not fall in the ambit of SBP-BSC but bank was asked to come up with the specific proposal to refer to the concerned authorities.</w:t>
            </w:r>
          </w:p>
          <w:p w:rsidR="000B70B0" w:rsidRPr="00752356" w:rsidRDefault="00C74A0A" w:rsidP="000B70B0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Khushhali</w:t>
            </w:r>
            <w:proofErr w:type="spellEnd"/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Bank</w:t>
            </w:r>
            <w:r w:rsidR="000B70B0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0B70B0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had</w:t>
            </w:r>
            <w:proofErr w:type="gramEnd"/>
            <w:r w:rsidR="000B70B0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also asked to </w:t>
            </w:r>
            <w:r w:rsidR="00920650" w:rsidRPr="00752356">
              <w:rPr>
                <w:rFonts w:eastAsia="Calibri"/>
                <w:bCs/>
                <w:i/>
                <w:iCs/>
                <w:color w:val="auto"/>
                <w:sz w:val="18"/>
                <w:szCs w:val="18"/>
              </w:rPr>
              <w:t>Review in microfinance PR of NPLS classification as there is change in loan amount and tenure of loan in Housing and MSME and SME</w:t>
            </w:r>
            <w:r w:rsidR="000B70B0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920650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They were responded by recent updates in PRs.</w:t>
            </w:r>
          </w:p>
          <w:p w:rsidR="00A70E18" w:rsidRPr="00752356" w:rsidRDefault="00A70E18" w:rsidP="000B70B0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Performance of participating banks </w:t>
            </w:r>
            <w:r w:rsidR="001251DB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under MPMG was also discussed, </w:t>
            </w:r>
            <w:proofErr w:type="spellStart"/>
            <w:r w:rsidR="001251DB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Khushali</w:t>
            </w:r>
            <w:proofErr w:type="spellEnd"/>
            <w:r w:rsidR="001251DB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bank presented their performance in form of 50 cases amounting </w:t>
            </w:r>
            <w:proofErr w:type="spellStart"/>
            <w:r w:rsidR="001251DB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Rs</w:t>
            </w:r>
            <w:proofErr w:type="spellEnd"/>
            <w:r w:rsidR="001251DB"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. 90 million.</w:t>
            </w:r>
          </w:p>
          <w:p w:rsidR="001251DB" w:rsidRPr="00752356" w:rsidRDefault="001251DB" w:rsidP="000B70B0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NRSP apprised that they have disbursed 75 cases and they also have engaged 10 officials especially for this scheme.</w:t>
            </w:r>
          </w:p>
          <w:p w:rsidR="001251DB" w:rsidRPr="00752356" w:rsidRDefault="001251DB" w:rsidP="000B70B0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5235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 Bank apprised the participants that they have disbursed 5 cases under MPMG</w:t>
            </w:r>
          </w:p>
          <w:p w:rsidR="005D62C2" w:rsidRPr="00224549" w:rsidRDefault="005D62C2" w:rsidP="00224549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="005D62C2" w:rsidRPr="00224549" w:rsidRDefault="005D62C2" w:rsidP="0009517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Later, worthy CM asked </w:t>
            </w:r>
            <w:r w:rsidR="0009517A" w:rsidRPr="000951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Deputy Chief Manager – DFD, </w:t>
            </w:r>
            <w:r w:rsidR="007523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Mr. Asif Jabbar</w:t>
            </w:r>
            <w:r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</w:t>
            </w:r>
            <w:r w:rsidR="000951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discuss </w:t>
            </w:r>
            <w:r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comments of DFSD</w:t>
            </w:r>
            <w:r w:rsidR="000951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State Bank among participants of the meeting. Which were deliberately devised and feedback was called from </w:t>
            </w:r>
            <w:r w:rsidR="00BD41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such dealing </w:t>
            </w:r>
            <w:r w:rsidR="000951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</w:t>
            </w:r>
            <w:r w:rsidR="00BD41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nks on post COVID-19 scenario, their strategies and plans for future. </w:t>
            </w:r>
          </w:p>
          <w:p w:rsidR="005D62C2" w:rsidRPr="00224549" w:rsidRDefault="005D62C2" w:rsidP="0022454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45983" w:rsidRPr="00224549" w:rsidRDefault="00945983" w:rsidP="00BD41E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4549">
              <w:rPr>
                <w:rFonts w:asciiTheme="minorHAnsi" w:hAnsiTheme="minorHAnsi" w:cstheme="minorHAnsi"/>
                <w:sz w:val="22"/>
                <w:szCs w:val="22"/>
              </w:rPr>
              <w:t xml:space="preserve">He expressed his hope that </w:t>
            </w:r>
            <w:r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banks operating in the region would actively be participating in meetings towards </w:t>
            </w:r>
            <w:r w:rsidR="005D62C2"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smooth functioning of </w:t>
            </w:r>
            <w:r w:rsidR="00BD41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Microf</w:t>
            </w:r>
            <w:r w:rsidRPr="00224549">
              <w:rPr>
                <w:rFonts w:asciiTheme="minorHAnsi" w:hAnsiTheme="minorHAnsi" w:cstheme="minorHAnsi"/>
                <w:color w:val="000000" w:themeColor="text1"/>
              </w:rPr>
              <w:t>inance keeping in view its overall significance in economy</w:t>
            </w:r>
            <w:r w:rsidR="00C5695F" w:rsidRPr="0022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145506" w:rsidRPr="00224549" w:rsidRDefault="00145506" w:rsidP="0022454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283" w:rsidRPr="00224549" w:rsidRDefault="005D62C2" w:rsidP="00E5478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549">
              <w:rPr>
                <w:rFonts w:asciiTheme="minorHAnsi" w:hAnsiTheme="minorHAnsi" w:cstheme="minorHAnsi"/>
                <w:sz w:val="22"/>
                <w:szCs w:val="22"/>
              </w:rPr>
              <w:t xml:space="preserve">Concluding the meeting, </w:t>
            </w:r>
            <w:r w:rsidR="00752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Mr. Sarfraz Ahmad Nadeem Chief Manager SBP-BSC Faisalabad</w:t>
            </w:r>
            <w:r w:rsidRPr="002245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95F" w:rsidRPr="00224549">
              <w:rPr>
                <w:rFonts w:asciiTheme="minorHAnsi" w:hAnsiTheme="minorHAnsi" w:cstheme="minorHAnsi"/>
                <w:sz w:val="22"/>
                <w:szCs w:val="22"/>
              </w:rPr>
              <w:t xml:space="preserve">thanked participating </w:t>
            </w:r>
            <w:r w:rsidRPr="00224549">
              <w:rPr>
                <w:rFonts w:asciiTheme="minorHAnsi" w:hAnsiTheme="minorHAnsi" w:cstheme="minorHAnsi"/>
                <w:sz w:val="22"/>
                <w:szCs w:val="22"/>
              </w:rPr>
              <w:t xml:space="preserve">banks </w:t>
            </w:r>
            <w:r w:rsidR="00C5695F" w:rsidRPr="00224549">
              <w:rPr>
                <w:rFonts w:asciiTheme="minorHAnsi" w:hAnsiTheme="minorHAnsi" w:cstheme="minorHAnsi"/>
                <w:sz w:val="22"/>
                <w:szCs w:val="22"/>
              </w:rPr>
              <w:t xml:space="preserve">and they </w:t>
            </w:r>
            <w:r w:rsidRPr="00224549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="00E5478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245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95F" w:rsidRPr="00224549">
              <w:rPr>
                <w:rFonts w:asciiTheme="minorHAnsi" w:hAnsiTheme="minorHAnsi" w:cstheme="minorHAnsi"/>
                <w:sz w:val="22"/>
                <w:szCs w:val="22"/>
              </w:rPr>
              <w:t xml:space="preserve">their cooperation in future. </w:t>
            </w:r>
          </w:p>
          <w:p w:rsidR="00755C80" w:rsidRPr="00224549" w:rsidRDefault="00755C80" w:rsidP="0022454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283" w:rsidRDefault="00755C80" w:rsidP="00224549">
            <w:pPr>
              <w:jc w:val="both"/>
              <w:rPr>
                <w:rFonts w:cstheme="minorHAnsi"/>
              </w:rPr>
            </w:pPr>
            <w:r w:rsidRPr="00224549">
              <w:rPr>
                <w:rFonts w:cstheme="minorHAnsi"/>
              </w:rPr>
              <w:t>There being no other point, the meeting ended with a vote of thanks to the chair.</w:t>
            </w:r>
          </w:p>
          <w:p w:rsidR="00E54788" w:rsidRPr="00224549" w:rsidRDefault="00E54788" w:rsidP="00224549">
            <w:pPr>
              <w:jc w:val="both"/>
              <w:rPr>
                <w:rFonts w:cstheme="minorHAnsi"/>
              </w:rPr>
            </w:pPr>
          </w:p>
        </w:tc>
      </w:tr>
      <w:tr w:rsidR="005210AB" w:rsidRPr="00B271BC" w:rsidTr="00311B8E">
        <w:trPr>
          <w:trHeight w:val="233"/>
          <w:jc w:val="center"/>
        </w:trPr>
        <w:tc>
          <w:tcPr>
            <w:tcW w:w="9350" w:type="dxa"/>
            <w:gridSpan w:val="2"/>
          </w:tcPr>
          <w:p w:rsidR="005210AB" w:rsidRPr="00B271BC" w:rsidRDefault="005210AB" w:rsidP="005210AB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A</w:t>
            </w:r>
            <w:r w:rsidRPr="00B271BC">
              <w:rPr>
                <w:b/>
                <w:bCs/>
              </w:rPr>
              <w:t xml:space="preserve">ction </w:t>
            </w:r>
            <w:r>
              <w:rPr>
                <w:b/>
                <w:bCs/>
              </w:rPr>
              <w:t>P</w:t>
            </w:r>
            <w:r w:rsidRPr="00B271BC">
              <w:rPr>
                <w:b/>
                <w:bCs/>
              </w:rPr>
              <w:t>lans</w:t>
            </w:r>
            <w:r>
              <w:rPr>
                <w:b/>
                <w:bCs/>
              </w:rPr>
              <w:t>/Agreement Points:</w:t>
            </w:r>
            <w:r>
              <w:t xml:space="preserve"> </w:t>
            </w:r>
            <w:r w:rsidRPr="009517D8">
              <w:rPr>
                <w:i/>
                <w:iCs/>
              </w:rPr>
              <w:t>[</w:t>
            </w:r>
            <w:r>
              <w:t xml:space="preserve">What, Why, Impacts, </w:t>
            </w:r>
            <w:r w:rsidRPr="00B271BC">
              <w:t xml:space="preserve">Task, </w:t>
            </w:r>
            <w:r w:rsidRPr="001101FA">
              <w:t>Assigned to</w:t>
            </w:r>
            <w:r>
              <w:t>, Timeline</w:t>
            </w:r>
            <w:r w:rsidRPr="00B271BC">
              <w:rPr>
                <w:i/>
                <w:iCs/>
              </w:rPr>
              <w:t>]</w:t>
            </w:r>
          </w:p>
        </w:tc>
      </w:tr>
      <w:tr w:rsidR="005210AB" w:rsidRPr="00B271BC" w:rsidTr="00311B8E">
        <w:trPr>
          <w:trHeight w:val="350"/>
          <w:jc w:val="center"/>
        </w:trPr>
        <w:tc>
          <w:tcPr>
            <w:tcW w:w="9350" w:type="dxa"/>
            <w:gridSpan w:val="2"/>
          </w:tcPr>
          <w:p w:rsidR="00601283" w:rsidRDefault="00601283" w:rsidP="00707B29">
            <w:pPr>
              <w:jc w:val="both"/>
              <w:rPr>
                <w:i/>
                <w:iCs/>
              </w:rPr>
            </w:pPr>
          </w:p>
          <w:p w:rsidR="005210AB" w:rsidRDefault="00C1318B" w:rsidP="003F57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N/A</w:t>
            </w:r>
          </w:p>
          <w:p w:rsidR="00601283" w:rsidRPr="00707B29" w:rsidRDefault="00601283" w:rsidP="00707B29">
            <w:pPr>
              <w:jc w:val="both"/>
              <w:rPr>
                <w:szCs w:val="16"/>
              </w:rPr>
            </w:pPr>
          </w:p>
        </w:tc>
      </w:tr>
      <w:tr w:rsidR="005210AB" w:rsidRPr="00B271BC" w:rsidTr="00311B8E">
        <w:trPr>
          <w:trHeight w:val="332"/>
          <w:jc w:val="center"/>
        </w:trPr>
        <w:tc>
          <w:tcPr>
            <w:tcW w:w="9350" w:type="dxa"/>
            <w:gridSpan w:val="2"/>
            <w:hideMark/>
          </w:tcPr>
          <w:p w:rsidR="005210AB" w:rsidRPr="00107D6A" w:rsidRDefault="005210AB" w:rsidP="005210AB">
            <w:pPr>
              <w:spacing w:after="160" w:line="259" w:lineRule="auto"/>
              <w:rPr>
                <w:b/>
                <w:bCs/>
              </w:rPr>
            </w:pPr>
            <w:r w:rsidRPr="00B271BC">
              <w:rPr>
                <w:b/>
                <w:bCs/>
              </w:rPr>
              <w:t>S</w:t>
            </w:r>
            <w:r>
              <w:rPr>
                <w:b/>
                <w:bCs/>
              </w:rPr>
              <w:t>uggestions/</w:t>
            </w:r>
            <w:r w:rsidRPr="00B271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Queries/Issues or any other discussion points other than the agenda of program:</w:t>
            </w:r>
          </w:p>
        </w:tc>
      </w:tr>
      <w:tr w:rsidR="005210AB" w:rsidRPr="00B271BC" w:rsidTr="00C5695F">
        <w:trPr>
          <w:trHeight w:val="683"/>
          <w:jc w:val="center"/>
        </w:trPr>
        <w:tc>
          <w:tcPr>
            <w:tcW w:w="9350" w:type="dxa"/>
            <w:gridSpan w:val="2"/>
            <w:vAlign w:val="center"/>
            <w:hideMark/>
          </w:tcPr>
          <w:p w:rsidR="00B10073" w:rsidRPr="00C5695F" w:rsidRDefault="00C5695F" w:rsidP="00C5695F">
            <w:pPr>
              <w:rPr>
                <w:i/>
                <w:iCs/>
              </w:rPr>
            </w:pPr>
            <w:r>
              <w:rPr>
                <w:i/>
                <w:iCs/>
              </w:rPr>
              <w:t>N/A</w:t>
            </w:r>
          </w:p>
        </w:tc>
      </w:tr>
      <w:tr w:rsidR="005210AB" w:rsidRPr="00B271BC" w:rsidTr="00311B8E">
        <w:trPr>
          <w:trHeight w:val="332"/>
          <w:jc w:val="center"/>
        </w:trPr>
        <w:tc>
          <w:tcPr>
            <w:tcW w:w="9350" w:type="dxa"/>
            <w:gridSpan w:val="2"/>
            <w:hideMark/>
          </w:tcPr>
          <w:p w:rsidR="005210AB" w:rsidRPr="009517D8" w:rsidRDefault="005210AB" w:rsidP="005210AB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Deferred Items</w:t>
            </w:r>
            <w:r w:rsidRPr="009517D8">
              <w:rPr>
                <w:rFonts w:cs="Arial"/>
                <w:b/>
              </w:rPr>
              <w:t xml:space="preserve"> </w:t>
            </w:r>
            <w:r w:rsidRPr="009517D8">
              <w:rPr>
                <w:i/>
                <w:iCs/>
              </w:rPr>
              <w:t>[</w:t>
            </w:r>
            <w:r w:rsidRPr="009517D8">
              <w:rPr>
                <w:rFonts w:cs="Arial"/>
                <w:bCs/>
                <w:i/>
                <w:iCs/>
              </w:rPr>
              <w:t>Describe any items that may have been deferred for a later discussion]</w:t>
            </w:r>
          </w:p>
        </w:tc>
      </w:tr>
      <w:tr w:rsidR="005210AB" w:rsidRPr="00B271BC" w:rsidTr="00C5695F">
        <w:trPr>
          <w:trHeight w:val="683"/>
          <w:jc w:val="center"/>
        </w:trPr>
        <w:tc>
          <w:tcPr>
            <w:tcW w:w="9350" w:type="dxa"/>
            <w:gridSpan w:val="2"/>
            <w:vAlign w:val="center"/>
            <w:hideMark/>
          </w:tcPr>
          <w:p w:rsidR="005210AB" w:rsidRPr="00107D6A" w:rsidRDefault="005210AB" w:rsidP="00C5695F">
            <w:pPr>
              <w:spacing w:after="160" w:line="259" w:lineRule="auto"/>
              <w:rPr>
                <w:b/>
                <w:bCs/>
              </w:rPr>
            </w:pPr>
            <w:r w:rsidRPr="009517D8">
              <w:rPr>
                <w:i/>
                <w:iCs/>
              </w:rPr>
              <w:t>[</w:t>
            </w:r>
            <w:r w:rsidR="00EF26DA">
              <w:rPr>
                <w:i/>
                <w:iCs/>
              </w:rPr>
              <w:t>Nil</w:t>
            </w:r>
            <w:r w:rsidRPr="009517D8">
              <w:rPr>
                <w:i/>
                <w:iCs/>
              </w:rPr>
              <w:t>]</w:t>
            </w:r>
          </w:p>
        </w:tc>
      </w:tr>
    </w:tbl>
    <w:p w:rsidR="008D657B" w:rsidRDefault="008D657B" w:rsidP="003A4E34"/>
    <w:p w:rsidR="008D657B" w:rsidRDefault="008D657B">
      <w:r>
        <w:br w:type="page"/>
      </w:r>
    </w:p>
    <w:p w:rsidR="00B756A0" w:rsidRPr="009368AC" w:rsidRDefault="00A44265" w:rsidP="009368AC">
      <w:pPr>
        <w:jc w:val="center"/>
        <w:rPr>
          <w:b/>
          <w:sz w:val="28"/>
        </w:rPr>
      </w:pPr>
      <w:bookmarkStart w:id="0" w:name="_GoBack"/>
      <w:r w:rsidRPr="00A44265">
        <w:rPr>
          <w:b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2409825</wp:posOffset>
            </wp:positionV>
            <wp:extent cx="3657600" cy="2286000"/>
            <wp:effectExtent l="0" t="0" r="0" b="0"/>
            <wp:wrapNone/>
            <wp:docPr id="1" name="Picture 1" descr="D:\Aqeel AFU\FOCUS GROUP\pictures\Screenshot_20220208-111248_Zoo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eel AFU\FOCUS GROUP\pictures\Screenshot_20220208-111248_Zoo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24C1" w:rsidRPr="00752356">
        <w:rPr>
          <w:b/>
          <w:noProof/>
          <w:sz w:val="20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2405380</wp:posOffset>
            </wp:positionV>
            <wp:extent cx="3657600" cy="2286000"/>
            <wp:effectExtent l="0" t="0" r="0" b="0"/>
            <wp:wrapNone/>
            <wp:docPr id="4" name="Picture 4" descr="D:\Aqeel AFU\FOCUS GROUP\pictures\Screenshot_20220208-111129_Zoo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eel AFU\FOCUS GROUP\pictures\Screenshot_20220208-111129_Zoo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AC">
        <w:rPr>
          <w:b/>
          <w:sz w:val="28"/>
        </w:rPr>
        <w:t xml:space="preserve">Screenshots of </w:t>
      </w:r>
      <w:r w:rsidR="008F1DEA" w:rsidRPr="00752356">
        <w:rPr>
          <w:b/>
          <w:noProof/>
          <w:sz w:val="20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254635</wp:posOffset>
            </wp:positionV>
            <wp:extent cx="3657600" cy="2286000"/>
            <wp:effectExtent l="0" t="0" r="0" b="0"/>
            <wp:wrapNone/>
            <wp:docPr id="9" name="Picture 9" descr="D:\Aqeel AFU\FOCUS GROUP\pictures\Screenshot_20220208-111203_Zoo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qeel AFU\FOCUS GROUP\pictures\Screenshot_20220208-111203_Zoo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DEA" w:rsidRPr="00752356">
        <w:rPr>
          <w:b/>
          <w:noProof/>
          <w:sz w:val="20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264160</wp:posOffset>
            </wp:positionV>
            <wp:extent cx="3657600" cy="2286000"/>
            <wp:effectExtent l="0" t="0" r="0" b="0"/>
            <wp:wrapNone/>
            <wp:docPr id="16" name="Picture 16" descr="D:\Aqeel AFU\FOCUS GROUP\pictures\Screenshot_20220208-111720_Zoo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qeel AFU\FOCUS GROUP\pictures\Screenshot_20220208-111720_Zoo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56" w:rsidRPr="00752356">
        <w:rPr>
          <w:b/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-5286375</wp:posOffset>
            </wp:positionV>
            <wp:extent cx="3657600" cy="2286000"/>
            <wp:effectExtent l="0" t="0" r="0" b="0"/>
            <wp:wrapNone/>
            <wp:docPr id="12" name="Picture 12" descr="D:\Aqeel AFU\FOCUS GROUP\pictures\Screenshot_20220208-111248_Zoo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qeel AFU\FOCUS GROUP\pictures\Screenshot_20220208-111248_Zoo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AC">
        <w:rPr>
          <w:b/>
          <w:sz w:val="28"/>
        </w:rPr>
        <w:t>Meeting</w:t>
      </w:r>
      <w:r w:rsidRPr="00A4426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756A0" w:rsidRPr="009368AC" w:rsidSect="00323C67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37C"/>
    <w:multiLevelType w:val="hybridMultilevel"/>
    <w:tmpl w:val="7AF6AD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4ED"/>
    <w:multiLevelType w:val="hybridMultilevel"/>
    <w:tmpl w:val="0130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16C71"/>
    <w:multiLevelType w:val="hybridMultilevel"/>
    <w:tmpl w:val="16F0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33FF"/>
    <w:multiLevelType w:val="hybridMultilevel"/>
    <w:tmpl w:val="00C02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17B8F"/>
    <w:multiLevelType w:val="hybridMultilevel"/>
    <w:tmpl w:val="C24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EED"/>
    <w:multiLevelType w:val="hybridMultilevel"/>
    <w:tmpl w:val="9A1C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790B"/>
    <w:multiLevelType w:val="hybridMultilevel"/>
    <w:tmpl w:val="B960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05E6FAA"/>
    <w:multiLevelType w:val="hybridMultilevel"/>
    <w:tmpl w:val="1DC0A0A4"/>
    <w:lvl w:ilvl="0" w:tplc="2668AD8C">
      <w:start w:val="1"/>
      <w:numFmt w:val="lowerRoman"/>
      <w:lvlText w:val="%1."/>
      <w:lvlJc w:val="righ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52A4A"/>
    <w:multiLevelType w:val="hybridMultilevel"/>
    <w:tmpl w:val="56E29C12"/>
    <w:lvl w:ilvl="0" w:tplc="FE68A74E">
      <w:start w:val="1"/>
      <w:numFmt w:val="lowerRoman"/>
      <w:lvlText w:val="%1."/>
      <w:lvlJc w:val="righ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F73EF"/>
    <w:multiLevelType w:val="hybridMultilevel"/>
    <w:tmpl w:val="BAAC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5478"/>
    <w:multiLevelType w:val="hybridMultilevel"/>
    <w:tmpl w:val="56E29C12"/>
    <w:lvl w:ilvl="0" w:tplc="FE68A74E">
      <w:start w:val="1"/>
      <w:numFmt w:val="lowerRoman"/>
      <w:lvlText w:val="%1."/>
      <w:lvlJc w:val="righ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9"/>
    <w:rsid w:val="00035037"/>
    <w:rsid w:val="00037E5D"/>
    <w:rsid w:val="00044667"/>
    <w:rsid w:val="00045575"/>
    <w:rsid w:val="0009471E"/>
    <w:rsid w:val="0009517A"/>
    <w:rsid w:val="000B70B0"/>
    <w:rsid w:val="000D6A7D"/>
    <w:rsid w:val="00104A1D"/>
    <w:rsid w:val="00106933"/>
    <w:rsid w:val="00107D6A"/>
    <w:rsid w:val="001101FA"/>
    <w:rsid w:val="00115F26"/>
    <w:rsid w:val="001251DB"/>
    <w:rsid w:val="001263B2"/>
    <w:rsid w:val="00130743"/>
    <w:rsid w:val="00135BFA"/>
    <w:rsid w:val="00145506"/>
    <w:rsid w:val="001530D5"/>
    <w:rsid w:val="00157E26"/>
    <w:rsid w:val="00160370"/>
    <w:rsid w:val="001739D7"/>
    <w:rsid w:val="0017548F"/>
    <w:rsid w:val="0018563E"/>
    <w:rsid w:val="001A00FC"/>
    <w:rsid w:val="001A37D6"/>
    <w:rsid w:val="001A5D08"/>
    <w:rsid w:val="001B3675"/>
    <w:rsid w:val="002147DE"/>
    <w:rsid w:val="00224549"/>
    <w:rsid w:val="00235006"/>
    <w:rsid w:val="002723CE"/>
    <w:rsid w:val="00280B34"/>
    <w:rsid w:val="0029002E"/>
    <w:rsid w:val="002900F3"/>
    <w:rsid w:val="002A36D8"/>
    <w:rsid w:val="002A4E97"/>
    <w:rsid w:val="002B2722"/>
    <w:rsid w:val="002C3752"/>
    <w:rsid w:val="002C4F34"/>
    <w:rsid w:val="002E0911"/>
    <w:rsid w:val="002E4F40"/>
    <w:rsid w:val="00302C32"/>
    <w:rsid w:val="00302ED2"/>
    <w:rsid w:val="00311B8E"/>
    <w:rsid w:val="00323C67"/>
    <w:rsid w:val="0033505D"/>
    <w:rsid w:val="00344F54"/>
    <w:rsid w:val="00364DD6"/>
    <w:rsid w:val="0037579C"/>
    <w:rsid w:val="00386A3F"/>
    <w:rsid w:val="003912F3"/>
    <w:rsid w:val="00393C01"/>
    <w:rsid w:val="003A4E34"/>
    <w:rsid w:val="003B1033"/>
    <w:rsid w:val="003B23B5"/>
    <w:rsid w:val="003C1919"/>
    <w:rsid w:val="003D38D3"/>
    <w:rsid w:val="003F57B7"/>
    <w:rsid w:val="004022EA"/>
    <w:rsid w:val="0041386A"/>
    <w:rsid w:val="00414B2F"/>
    <w:rsid w:val="00447ED6"/>
    <w:rsid w:val="0045689E"/>
    <w:rsid w:val="004574A3"/>
    <w:rsid w:val="00462CB1"/>
    <w:rsid w:val="00480FA5"/>
    <w:rsid w:val="004967CB"/>
    <w:rsid w:val="004A2441"/>
    <w:rsid w:val="004A4FD4"/>
    <w:rsid w:val="004A64AD"/>
    <w:rsid w:val="004E14D5"/>
    <w:rsid w:val="00501A48"/>
    <w:rsid w:val="0051018C"/>
    <w:rsid w:val="0051202F"/>
    <w:rsid w:val="00517107"/>
    <w:rsid w:val="005210AB"/>
    <w:rsid w:val="005214DD"/>
    <w:rsid w:val="005411EC"/>
    <w:rsid w:val="00546FFC"/>
    <w:rsid w:val="00562342"/>
    <w:rsid w:val="005672EC"/>
    <w:rsid w:val="00572E17"/>
    <w:rsid w:val="0058358E"/>
    <w:rsid w:val="00584DFE"/>
    <w:rsid w:val="00591056"/>
    <w:rsid w:val="005A57A3"/>
    <w:rsid w:val="005B1C6B"/>
    <w:rsid w:val="005B3E7E"/>
    <w:rsid w:val="005C2287"/>
    <w:rsid w:val="005C6834"/>
    <w:rsid w:val="005D62C2"/>
    <w:rsid w:val="00601283"/>
    <w:rsid w:val="00620E38"/>
    <w:rsid w:val="0062498F"/>
    <w:rsid w:val="00627A77"/>
    <w:rsid w:val="00634A12"/>
    <w:rsid w:val="006357FB"/>
    <w:rsid w:val="006550E9"/>
    <w:rsid w:val="00681A34"/>
    <w:rsid w:val="0068225A"/>
    <w:rsid w:val="006A240A"/>
    <w:rsid w:val="006A26DB"/>
    <w:rsid w:val="006A68C3"/>
    <w:rsid w:val="006B36D4"/>
    <w:rsid w:val="006D1593"/>
    <w:rsid w:val="006D26E8"/>
    <w:rsid w:val="006E0FCD"/>
    <w:rsid w:val="00700CF2"/>
    <w:rsid w:val="00707A2D"/>
    <w:rsid w:val="00707B29"/>
    <w:rsid w:val="00707F84"/>
    <w:rsid w:val="007171F6"/>
    <w:rsid w:val="00733500"/>
    <w:rsid w:val="00752356"/>
    <w:rsid w:val="00755C80"/>
    <w:rsid w:val="00765D47"/>
    <w:rsid w:val="00767972"/>
    <w:rsid w:val="007C7263"/>
    <w:rsid w:val="007D3659"/>
    <w:rsid w:val="007D3CA3"/>
    <w:rsid w:val="007D6F16"/>
    <w:rsid w:val="007F3D2A"/>
    <w:rsid w:val="007F4517"/>
    <w:rsid w:val="00803BA3"/>
    <w:rsid w:val="008042D3"/>
    <w:rsid w:val="008214B5"/>
    <w:rsid w:val="00826DC0"/>
    <w:rsid w:val="0083633D"/>
    <w:rsid w:val="00840DCA"/>
    <w:rsid w:val="00846A2C"/>
    <w:rsid w:val="00866B70"/>
    <w:rsid w:val="0087797A"/>
    <w:rsid w:val="0088306E"/>
    <w:rsid w:val="008A0A7F"/>
    <w:rsid w:val="008B49F3"/>
    <w:rsid w:val="008C49C0"/>
    <w:rsid w:val="008D657B"/>
    <w:rsid w:val="008F1DEA"/>
    <w:rsid w:val="008F3F8E"/>
    <w:rsid w:val="00920650"/>
    <w:rsid w:val="00921BEA"/>
    <w:rsid w:val="009368AC"/>
    <w:rsid w:val="00945983"/>
    <w:rsid w:val="009517D8"/>
    <w:rsid w:val="00962307"/>
    <w:rsid w:val="0096799E"/>
    <w:rsid w:val="009769C3"/>
    <w:rsid w:val="009824E9"/>
    <w:rsid w:val="00982C92"/>
    <w:rsid w:val="009D01CA"/>
    <w:rsid w:val="009D5C06"/>
    <w:rsid w:val="009D7AB7"/>
    <w:rsid w:val="009F239B"/>
    <w:rsid w:val="00A16E57"/>
    <w:rsid w:val="00A2355F"/>
    <w:rsid w:val="00A40773"/>
    <w:rsid w:val="00A44265"/>
    <w:rsid w:val="00A45423"/>
    <w:rsid w:val="00A56C5B"/>
    <w:rsid w:val="00A70E18"/>
    <w:rsid w:val="00A76FC7"/>
    <w:rsid w:val="00A8149F"/>
    <w:rsid w:val="00A84C6D"/>
    <w:rsid w:val="00A9648D"/>
    <w:rsid w:val="00AA4820"/>
    <w:rsid w:val="00AC52DF"/>
    <w:rsid w:val="00AD3388"/>
    <w:rsid w:val="00AF410C"/>
    <w:rsid w:val="00B015D6"/>
    <w:rsid w:val="00B05250"/>
    <w:rsid w:val="00B10073"/>
    <w:rsid w:val="00B22210"/>
    <w:rsid w:val="00B271BC"/>
    <w:rsid w:val="00B40A89"/>
    <w:rsid w:val="00B41C74"/>
    <w:rsid w:val="00B55A4D"/>
    <w:rsid w:val="00B63971"/>
    <w:rsid w:val="00B74BA6"/>
    <w:rsid w:val="00B756A0"/>
    <w:rsid w:val="00B81DA1"/>
    <w:rsid w:val="00B84CB6"/>
    <w:rsid w:val="00B85579"/>
    <w:rsid w:val="00B87A4F"/>
    <w:rsid w:val="00BB33EE"/>
    <w:rsid w:val="00BB6182"/>
    <w:rsid w:val="00BC351F"/>
    <w:rsid w:val="00BD41E2"/>
    <w:rsid w:val="00BD69BC"/>
    <w:rsid w:val="00BE1B76"/>
    <w:rsid w:val="00BF0EF5"/>
    <w:rsid w:val="00C01F45"/>
    <w:rsid w:val="00C06253"/>
    <w:rsid w:val="00C1239A"/>
    <w:rsid w:val="00C1318B"/>
    <w:rsid w:val="00C132DC"/>
    <w:rsid w:val="00C20EAC"/>
    <w:rsid w:val="00C34B98"/>
    <w:rsid w:val="00C424C1"/>
    <w:rsid w:val="00C4741B"/>
    <w:rsid w:val="00C5091D"/>
    <w:rsid w:val="00C544F0"/>
    <w:rsid w:val="00C5695F"/>
    <w:rsid w:val="00C66007"/>
    <w:rsid w:val="00C74A0A"/>
    <w:rsid w:val="00C75544"/>
    <w:rsid w:val="00C80DCD"/>
    <w:rsid w:val="00C94807"/>
    <w:rsid w:val="00C97063"/>
    <w:rsid w:val="00CA274D"/>
    <w:rsid w:val="00CB01D3"/>
    <w:rsid w:val="00CB228D"/>
    <w:rsid w:val="00CC5FEF"/>
    <w:rsid w:val="00CE1417"/>
    <w:rsid w:val="00CE7E71"/>
    <w:rsid w:val="00CF01F4"/>
    <w:rsid w:val="00D0121D"/>
    <w:rsid w:val="00D03CC8"/>
    <w:rsid w:val="00D04D09"/>
    <w:rsid w:val="00D07A4D"/>
    <w:rsid w:val="00D249A2"/>
    <w:rsid w:val="00D327EE"/>
    <w:rsid w:val="00D43797"/>
    <w:rsid w:val="00D50E74"/>
    <w:rsid w:val="00D753D5"/>
    <w:rsid w:val="00D772E7"/>
    <w:rsid w:val="00D87408"/>
    <w:rsid w:val="00D9003D"/>
    <w:rsid w:val="00DA6337"/>
    <w:rsid w:val="00DD2EBD"/>
    <w:rsid w:val="00DD4C42"/>
    <w:rsid w:val="00DE5629"/>
    <w:rsid w:val="00DF5877"/>
    <w:rsid w:val="00DF5F4B"/>
    <w:rsid w:val="00E04C6C"/>
    <w:rsid w:val="00E06C26"/>
    <w:rsid w:val="00E10A57"/>
    <w:rsid w:val="00E15865"/>
    <w:rsid w:val="00E206E1"/>
    <w:rsid w:val="00E26AEE"/>
    <w:rsid w:val="00E31DB1"/>
    <w:rsid w:val="00E36C87"/>
    <w:rsid w:val="00E469FE"/>
    <w:rsid w:val="00E5362E"/>
    <w:rsid w:val="00E54788"/>
    <w:rsid w:val="00E57D93"/>
    <w:rsid w:val="00E63C1E"/>
    <w:rsid w:val="00E64494"/>
    <w:rsid w:val="00E67BCB"/>
    <w:rsid w:val="00E701F0"/>
    <w:rsid w:val="00E86D65"/>
    <w:rsid w:val="00EB3505"/>
    <w:rsid w:val="00EC3C17"/>
    <w:rsid w:val="00EC6FA9"/>
    <w:rsid w:val="00ED1196"/>
    <w:rsid w:val="00ED5DCF"/>
    <w:rsid w:val="00EF26DA"/>
    <w:rsid w:val="00EF32F2"/>
    <w:rsid w:val="00EF6F1C"/>
    <w:rsid w:val="00F33A34"/>
    <w:rsid w:val="00F65DE0"/>
    <w:rsid w:val="00F82BDD"/>
    <w:rsid w:val="00F96E80"/>
    <w:rsid w:val="00FA1CA9"/>
    <w:rsid w:val="00FC5E0D"/>
    <w:rsid w:val="00FC7112"/>
    <w:rsid w:val="00FE02E6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191BC-38B5-4388-9A4E-4B0341FC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18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437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A7F"/>
    <w:pPr>
      <w:ind w:left="720"/>
      <w:contextualSpacing/>
    </w:pPr>
  </w:style>
  <w:style w:type="paragraph" w:customStyle="1" w:styleId="Default">
    <w:name w:val="Default"/>
    <w:rsid w:val="00A56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45983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4598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983"/>
    <w:rPr>
      <w:rFonts w:ascii="Times New Roman" w:eastAsia="Calibri" w:hAnsi="Times New Roman" w:cs="Times New Roman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 Pitafi - BSC (DFSD)</dc:creator>
  <cp:lastModifiedBy>Hafiz Muhammad Aqeel - AFU (FSD)</cp:lastModifiedBy>
  <cp:revision>50</cp:revision>
  <cp:lastPrinted>2018-07-16T11:38:00Z</cp:lastPrinted>
  <dcterms:created xsi:type="dcterms:W3CDTF">2019-12-04T11:28:00Z</dcterms:created>
  <dcterms:modified xsi:type="dcterms:W3CDTF">2022-02-09T13:46:00Z</dcterms:modified>
</cp:coreProperties>
</file>